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900"/>
      </w:pPr>
    </w:p>
    <w:p>
      <w:pPr>
        <w:spacing w:after="40"/>
        <w:jc w:val="center"/>
      </w:pPr>
      <w:r>
        <w:rPr>
          <w:rFonts w:ascii="Arial" w:cs="Arial" w:eastAsia="Arial" w:hAnsi="Arial"/>
          <w:b/>
          <w:bCs/>
          <w:color w:val="B5780F"/>
          <w:spacing w:val="40"/>
          <w:sz w:val="22"/>
          <w:szCs w:val="22"/>
        </w:rPr>
        <w:t xml:space="preserve">BRADFORD VTS TEACHING AIDS</w:t>
      </w:r>
    </w:p>
    <w:p>
      <w:pPr>
        <w:pBdr>
          <w:bottom w:val="single" w:color="0F6E78" w:sz="12" w:space="6"/>
        </w:pBdr>
        <w:spacing w:after="480"/>
        <w:jc w:val="center"/>
      </w:pPr>
      <w:r>
        <w:rPr>
          <w:rFonts w:ascii="Arial" w:cs="Arial" w:eastAsia="Arial" w:hAnsi="Arial"/>
          <w:color w:val="44555A"/>
          <w:spacing w:val="16"/>
          <w:sz w:val="18"/>
          <w:szCs w:val="18"/>
        </w:rPr>
        <w:t xml:space="preserve">Postgraduate GP Education</w:t>
      </w:r>
    </w:p>
    <w:p>
      <w:pPr>
        <w:spacing w:after="600"/>
      </w:pPr>
    </w:p>
    <w:p>
      <w:pPr>
        <w:spacing w:after="0"/>
        <w:jc w:val="center"/>
      </w:pPr>
      <w:r>
        <w:rPr>
          <w:rFonts w:ascii="Arial" w:cs="Arial" w:eastAsia="Arial" w:hAnsi="Arial"/>
          <w:b/>
          <w:bCs/>
          <w:color w:val="0F6E78"/>
          <w:spacing w:val="30"/>
          <w:sz w:val="76"/>
          <w:szCs w:val="76"/>
        </w:rPr>
        <w:t xml:space="preserve">OPHTHALMOLOGY</w:t>
      </w:r>
    </w:p>
    <w:p>
      <w:pPr>
        <w:spacing w:after="360" w:before="60"/>
        <w:jc w:val="center"/>
      </w:pPr>
      <w:r>
        <w:rPr>
          <w:rFonts w:ascii="Arial" w:cs="Arial" w:eastAsia="Arial" w:hAnsi="Arial"/>
          <w:color w:val="B5780F"/>
          <w:sz w:val="44"/>
          <w:szCs w:val="44"/>
        </w:rPr>
        <w:t xml:space="preserve">Core Curriculum</w:t>
      </w:r>
    </w:p>
    <w:p>
      <w:pPr>
        <w:spacing w:after="360"/>
        <w:jc w:val="center"/>
      </w:pPr>
      <w:r>
        <w:rPr>
          <w:rFonts w:ascii="Arial" w:cs="Arial" w:eastAsia="Arial" w:hAnsi="Arial"/>
          <w:color w:val="2A8F99"/>
          <w:sz w:val="28"/>
          <w:szCs w:val="28"/>
        </w:rPr>
        <w:t xml:space="preserve">•  •  •</w:t>
      </w:r>
    </w:p>
    <w:p>
      <w:pPr>
        <w:spacing w:after="1000"/>
        <w:jc w:val="center"/>
      </w:pPr>
      <w:r>
        <w:rPr>
          <w:rFonts w:ascii="Arial" w:cs="Arial" w:eastAsia="Arial" w:hAnsi="Arial"/>
          <w:i/>
          <w:iCs/>
          <w:color w:val="44555A"/>
          <w:sz w:val="26"/>
          <w:szCs w:val="26"/>
        </w:rPr>
        <w:t xml:space="preserve">Educational aims for GP vocational training</w:t>
      </w:r>
    </w:p>
    <w:p>
      <w:pPr>
        <w:spacing w:after="1600"/>
      </w:pPr>
    </w:p>
    <w:p>
      <w:pPr>
        <w:pBdr>
          <w:top w:val="single" w:color="D5E2E4" w:sz="8" w:space="8"/>
        </w:pBdr>
        <w:spacing w:after="30"/>
        <w:jc w:val="center"/>
      </w:pPr>
      <w:r>
        <w:rPr>
          <w:rFonts w:ascii="Arial" w:cs="Arial" w:eastAsia="Arial" w:hAnsi="Arial"/>
          <w:b/>
          <w:bCs/>
          <w:color w:val="0F6E78"/>
          <w:sz w:val="20"/>
          <w:szCs w:val="20"/>
        </w:rPr>
        <w:t xml:space="preserve">Bradford VTS Teaching Aids</w:t>
      </w:r>
    </w:p>
    <w:p>
      <w:pPr>
        <w:spacing w:after="20"/>
        <w:jc w:val="center"/>
      </w:pPr>
      <w:r>
        <w:rPr>
          <w:rFonts w:ascii="Arial" w:cs="Arial" w:eastAsia="Arial" w:hAnsi="Arial"/>
          <w:color w:val="44555A"/>
          <w:sz w:val="19"/>
          <w:szCs w:val="19"/>
        </w:rPr>
        <w:t xml:space="preserve">June 2026</w:t>
      </w:r>
    </w:p>
    <w:p>
      <w:pPr>
        <w:jc w:val="center"/>
      </w:pPr>
      <w:r>
        <w:rPr>
          <w:rFonts w:ascii="Arial" w:cs="Arial" w:eastAsia="Arial" w:hAnsi="Arial"/>
          <w:i/>
          <w:iCs/>
          <w:color w:val="44555A"/>
          <w:sz w:val="17"/>
          <w:szCs w:val="17"/>
        </w:rPr>
        <w:t xml:space="preserve">Adapted from Cleveland VTS</w:t>
      </w:r>
    </w:p>
    <w:p>
      <w:r>
        <w:br w:type="page"/>
      </w:r>
    </w:p>
    <w:p>
      <w:pPr>
        <w:sectPr>
          <w:pgSz w:w="12240" w:h="15840" w:orient="portrait"/>
          <w:pgMar w:top="1440" w:right="1440" w:bottom="1440" w:left="1440" w:header="708" w:footer="708" w:gutter="0"/>
          <w:pgNumType/>
          <w:docGrid w:linePitch="360"/>
        </w:sectPr>
      </w:pPr>
    </w:p>
    <w:p>
      <w:pPr>
        <w:spacing w:after="120" w:before="0"/>
      </w:pPr>
      <w:r>
        <w:rPr>
          <w:rFonts w:ascii="Arial" w:cs="Arial" w:eastAsia="Arial" w:hAnsi="Arial"/>
          <w:b/>
          <w:bCs/>
          <w:color w:val="0F6E78"/>
          <w:sz w:val="34"/>
          <w:szCs w:val="34"/>
        </w:rPr>
        <w:t xml:space="preserve">About this curriculum</w:t>
      </w:r>
    </w:p>
    <w:p>
      <w:pPr>
        <w:spacing w:after="120" w:line="300"/>
      </w:pPr>
      <w:r>
        <w:rPr>
          <w:rFonts w:ascii="Arial" w:cs="Arial" w:eastAsia="Arial" w:hAnsi="Arial"/>
          <w:color w:val="1F2A2D"/>
          <w:sz w:val="22"/>
          <w:szCs w:val="22"/>
        </w:rPr>
        <w:t xml:space="preserve">This guide sets out what a GP should know about the eye. The educational aims are grouped into five categories. By the end of vocational training, the doctor should be confident in the topics listed below.</w:t>
      </w:r>
    </w:p>
    <w:tbl>
      <w:tblPr>
        <w:tblW w:type="dxa" w:w="9360"/>
        <w:tblBorders>
          <w:top w:val="single" w:color="FFFFFF" w:sz="4"/>
          <w:left w:val="none"/>
          <w:bottom w:val="single" w:color="FFFFFF" w:sz="4"/>
          <w:right w:val="none"/>
          <w:insideH w:val="single" w:color="FFFFFF" w:sz="10"/>
          <w:insideV w:val="single" w:color="FFFFFF" w:sz="10"/>
        </w:tblBorders>
      </w:tblPr>
      <w:tblGrid>
        <w:gridCol w:w="1100"/>
        <w:gridCol w:w="8260"/>
      </w:tblGrid>
      <w:tr>
        <w:tc>
          <w:tcPr>
            <w:tcW w:type="dxa" w:w="1100"/>
            <w:shd w:fill="0F6E78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1</w:t>
            </w:r>
          </w:p>
        </w:tc>
        <w:tc>
          <w:tcPr>
            <w:tcW w:type="dxa" w:w="8260"/>
            <w:shd w:fill="E3F0F1" w:val="clear"/>
            <w:tcMar>
              <w:top w:type="dxa" w:w="110"/>
              <w:left w:type="dxa" w:w="220"/>
              <w:bottom w:type="dxa" w:w="11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A4D54"/>
                <w:sz w:val="24"/>
                <w:szCs w:val="24"/>
              </w:rPr>
              <w:t xml:space="preserve">Health and Diseases</w:t>
            </w:r>
          </w:p>
        </w:tc>
      </w:tr>
      <w:tr>
        <w:tc>
          <w:tcPr>
            <w:tcW w:type="dxa" w:w="1100"/>
            <w:shd w:fill="0F6E78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2</w:t>
            </w:r>
          </w:p>
        </w:tc>
        <w:tc>
          <w:tcPr>
            <w:tcW w:type="dxa" w:w="8260"/>
            <w:shd w:fill="F2F8F9" w:val="clear"/>
            <w:tcMar>
              <w:top w:type="dxa" w:w="110"/>
              <w:left w:type="dxa" w:w="220"/>
              <w:bottom w:type="dxa" w:w="11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A4D54"/>
                <w:sz w:val="24"/>
                <w:szCs w:val="24"/>
              </w:rPr>
              <w:t xml:space="preserve">Human Development</w:t>
            </w:r>
          </w:p>
        </w:tc>
      </w:tr>
      <w:tr>
        <w:tc>
          <w:tcPr>
            <w:tcW w:type="dxa" w:w="1100"/>
            <w:shd w:fill="0F6E78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3</w:t>
            </w:r>
          </w:p>
        </w:tc>
        <w:tc>
          <w:tcPr>
            <w:tcW w:type="dxa" w:w="8260"/>
            <w:shd w:fill="E3F0F1" w:val="clear"/>
            <w:tcMar>
              <w:top w:type="dxa" w:w="110"/>
              <w:left w:type="dxa" w:w="220"/>
              <w:bottom w:type="dxa" w:w="11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A4D54"/>
                <w:sz w:val="24"/>
                <w:szCs w:val="24"/>
              </w:rPr>
              <w:t xml:space="preserve">Human Behaviour</w:t>
            </w:r>
          </w:p>
        </w:tc>
      </w:tr>
      <w:tr>
        <w:tc>
          <w:tcPr>
            <w:tcW w:type="dxa" w:w="1100"/>
            <w:shd w:fill="0F6E78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4</w:t>
            </w:r>
          </w:p>
        </w:tc>
        <w:tc>
          <w:tcPr>
            <w:tcW w:type="dxa" w:w="8260"/>
            <w:shd w:fill="F2F8F9" w:val="clear"/>
            <w:tcMar>
              <w:top w:type="dxa" w:w="110"/>
              <w:left w:type="dxa" w:w="220"/>
              <w:bottom w:type="dxa" w:w="11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A4D54"/>
                <w:sz w:val="24"/>
                <w:szCs w:val="24"/>
              </w:rPr>
              <w:t xml:space="preserve">Medicine and Society</w:t>
            </w:r>
          </w:p>
        </w:tc>
      </w:tr>
      <w:tr>
        <w:tc>
          <w:tcPr>
            <w:tcW w:type="dxa" w:w="1100"/>
            <w:shd w:fill="0F6E78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2"/>
                <w:szCs w:val="32"/>
              </w:rPr>
              <w:t xml:space="preserve">5</w:t>
            </w:r>
          </w:p>
        </w:tc>
        <w:tc>
          <w:tcPr>
            <w:tcW w:type="dxa" w:w="8260"/>
            <w:shd w:fill="E3F0F1" w:val="clear"/>
            <w:tcMar>
              <w:top w:type="dxa" w:w="110"/>
              <w:left w:type="dxa" w:w="220"/>
              <w:bottom w:type="dxa" w:w="11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A4D54"/>
                <w:sz w:val="24"/>
                <w:szCs w:val="24"/>
              </w:rPr>
              <w:t xml:space="preserve">The Practice</w:t>
            </w:r>
          </w:p>
        </w:tc>
      </w:tr>
    </w:tbl>
    <w:p>
      <w:pPr>
        <w:spacing w:after="180"/>
      </w:pPr>
    </w:p>
    <w:tbl>
      <w:tblPr>
        <w:tblW w:type="dxa" w:w="9360"/>
        <w:tblBorders>
          <w:top w:val="none"/>
          <w:left w:val="single" w:color="B07A12" w:sz="28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BF3E0" w:val="clear"/>
            <w:tcMar>
              <w:top w:type="dxa" w:w="130"/>
              <w:left w:type="dxa" w:w="220"/>
              <w:bottom w:type="dxa" w:w="13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B07A12"/>
                <w:spacing w:val="8"/>
                <w:sz w:val="19"/>
                <w:szCs w:val="19"/>
              </w:rPr>
              <w:t xml:space="preserve">READING THE STARS</w:t>
            </w:r>
          </w:p>
          <w:p>
            <w:pPr>
              <w:spacing w:after="0" w:line="268"/>
            </w:pPr>
            <w:r>
              <w:rPr>
                <w:rFonts w:ascii="Arial" w:cs="Arial" w:eastAsia="Arial" w:hAnsi="Arial"/>
                <w:color w:val="1F2A2D"/>
                <w:sz w:val="20"/>
                <w:szCs w:val="20"/>
              </w:rPr>
              <w:t xml:space="preserve">★  marks topics where full expertise may need a 6-month hospital post.</w:t>
            </w:r>
          </w:p>
        </w:tc>
      </w:tr>
    </w:tbl>
    <w:p>
      <w:r>
        <w:br w:type="pag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0F6E78" w:val="clear"/>
            <w:tcMar>
              <w:top w:type="dxa" w:w="140"/>
              <w:left w:type="dxa" w:w="220"/>
              <w:bottom w:type="dxa" w:w="140"/>
              <w:right w:type="dxa" w:w="22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BF1DA"/>
                <w:sz w:val="30"/>
                <w:szCs w:val="30"/>
              </w:rPr>
              <w:t xml:space="preserve">1  </w:t>
            </w: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</w:rPr>
              <w:t xml:space="preserve">Health and Diseases</w:t>
            </w:r>
          </w:p>
        </w:tc>
      </w:tr>
    </w:tbl>
    <w:p>
      <w:pPr>
        <w:spacing w:after="60"/>
      </w:pPr>
    </w:p>
    <w:p>
      <w:pPr>
        <w:keepNext/>
        <w:keepLines/>
        <w:pBdr>
          <w:bottom w:val="single" w:color="B5780F" w:sz="10" w:space="4"/>
        </w:pBdr>
        <w:spacing w:after="100" w:before="240"/>
      </w:pPr>
      <w:r>
        <w:rPr>
          <w:rFonts w:ascii="Arial" w:cs="Arial" w:eastAsia="Arial" w:hAnsi="Arial"/>
          <w:b/>
          <w:bCs/>
          <w:color w:val="0A4D54"/>
          <w:spacing w:val="14"/>
          <w:sz w:val="22"/>
          <w:szCs w:val="22"/>
        </w:rPr>
        <w:t xml:space="preserve">CLINICAL METHOD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a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Examination of the eye; direct ophthalmoscopy.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b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Slit-lamp examination; indirect ophthalmoscopy.</w:t>
      </w:r>
      <w:r>
        <w:rPr>
          <w:rFonts w:ascii="Arial" w:cs="Arial" w:eastAsia="Arial" w:hAnsi="Arial"/>
          <w:color w:val="2A8F99"/>
          <w:sz w:val="18"/>
          <w:szCs w:val="18"/>
        </w:rPr>
        <w:t xml:space="preserve">  ★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c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Use of mydriatics and other diagnostic agents.</w:t>
      </w:r>
    </w:p>
    <w:p>
      <w:pPr>
        <w:keepNext/>
        <w:keepLines/>
        <w:pBdr>
          <w:bottom w:val="single" w:color="B5780F" w:sz="10" w:space="4"/>
        </w:pBdr>
        <w:spacing w:after="100" w:before="240"/>
      </w:pPr>
      <w:r>
        <w:rPr>
          <w:rFonts w:ascii="Arial" w:cs="Arial" w:eastAsia="Arial" w:hAnsi="Arial"/>
          <w:b/>
          <w:bCs/>
          <w:color w:val="0A4D54"/>
          <w:spacing w:val="14"/>
          <w:sz w:val="22"/>
          <w:szCs w:val="22"/>
        </w:rPr>
        <w:t xml:space="preserve">EMERGENCIES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a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Penetrating and blunt trauma; chemical and UV radiation injury.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b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Acute angle-closure glaucoma.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c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Retinal detachment.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d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Acute vascular disorders of the retina.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e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Herpes simplex keratitis; herpes zoster ophthalmicus.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f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Facial nerve palsy.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g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Optic neuritis, papilloedema and ischaemic optic neuropathy (arteritic and non-arteritic forms).</w:t>
      </w:r>
      <w:r>
        <w:rPr>
          <w:rFonts w:ascii="Arial" w:cs="Arial" w:eastAsia="Arial" w:hAnsi="Arial"/>
          <w:color w:val="2A8F99"/>
          <w:sz w:val="18"/>
          <w:szCs w:val="18"/>
        </w:rPr>
        <w:t xml:space="preserve">  ★</w:t>
      </w:r>
    </w:p>
    <w:p>
      <w:pPr>
        <w:keepNext/>
        <w:keepLines/>
        <w:pBdr>
          <w:bottom w:val="single" w:color="B5780F" w:sz="10" w:space="4"/>
        </w:pBdr>
        <w:spacing w:after="100" w:before="240"/>
      </w:pPr>
      <w:r>
        <w:rPr>
          <w:rFonts w:ascii="Arial" w:cs="Arial" w:eastAsia="Arial" w:hAnsi="Arial"/>
          <w:b/>
          <w:bCs/>
          <w:color w:val="0A4D54"/>
          <w:spacing w:val="14"/>
          <w:sz w:val="22"/>
          <w:szCs w:val="22"/>
        </w:rPr>
        <w:t xml:space="preserve">COMMON EYE DISORDERS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a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Blepharitis; conjunctivitis.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b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Dacryocystitis and disorders of the tear ducts.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c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Uveitis.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d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Cataract; aphakia; pseudophakia.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e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Age-related macular degeneration.</w:t>
      </w:r>
      <w:r>
        <w:rPr>
          <w:rFonts w:ascii="Arial" w:cs="Arial" w:eastAsia="Arial" w:hAnsi="Arial"/>
          <w:color w:val="2A8F99"/>
          <w:sz w:val="18"/>
          <w:szCs w:val="18"/>
        </w:rPr>
        <w:t xml:space="preserve">  ★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f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Chronic (primary) open-angle glaucoma.</w:t>
      </w:r>
      <w:r>
        <w:rPr>
          <w:rFonts w:ascii="Arial" w:cs="Arial" w:eastAsia="Arial" w:hAnsi="Arial"/>
          <w:color w:val="2A8F99"/>
          <w:sz w:val="18"/>
          <w:szCs w:val="18"/>
        </w:rPr>
        <w:t xml:space="preserve">  ★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g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Effects of hypertension on the eye.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h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Effects of diabetes on the eye.</w:t>
      </w:r>
    </w:p>
    <w:p>
      <w:pPr>
        <w:keepNext/>
        <w:keepLines/>
        <w:pBdr>
          <w:bottom w:val="single" w:color="B5780F" w:sz="10" w:space="4"/>
        </w:pBdr>
        <w:spacing w:after="100" w:before="240"/>
      </w:pPr>
      <w:r>
        <w:rPr>
          <w:rFonts w:ascii="Arial" w:cs="Arial" w:eastAsia="Arial" w:hAnsi="Arial"/>
          <w:b/>
          <w:bCs/>
          <w:color w:val="0A4D54"/>
          <w:spacing w:val="14"/>
          <w:sz w:val="22"/>
          <w:szCs w:val="22"/>
        </w:rPr>
        <w:t xml:space="preserve">NEURO-OPHTHALMOLOGY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a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Paralytic squints.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b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The eye in cerebrovascular disease.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c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Nystagmus.</w:t>
      </w:r>
      <w:r>
        <w:rPr>
          <w:rFonts w:ascii="Arial" w:cs="Arial" w:eastAsia="Arial" w:hAnsi="Arial"/>
          <w:color w:val="2A8F99"/>
          <w:sz w:val="18"/>
          <w:szCs w:val="18"/>
        </w:rPr>
        <w:t xml:space="preserve">  ★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d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Transient loss of vision.</w:t>
      </w:r>
    </w:p>
    <w:p>
      <w:pPr>
        <w:keepNext/>
        <w:keepLines/>
        <w:pBdr>
          <w:bottom w:val="single" w:color="B5780F" w:sz="10" w:space="4"/>
        </w:pBdr>
        <w:spacing w:after="100" w:before="240"/>
      </w:pPr>
      <w:r>
        <w:rPr>
          <w:rFonts w:ascii="Arial" w:cs="Arial" w:eastAsia="Arial" w:hAnsi="Arial"/>
          <w:b/>
          <w:bCs/>
          <w:color w:val="0A4D54"/>
          <w:spacing w:val="14"/>
          <w:sz w:val="22"/>
          <w:szCs w:val="22"/>
        </w:rPr>
        <w:t xml:space="preserve">REFRACTIVE PROBLEMS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a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Myopia; hypermetropia; astigmatism; presbyopia.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b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Assessment of visual acuity.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c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Problems associated with contact lenses.</w:t>
      </w:r>
      <w:r>
        <w:rPr>
          <w:rFonts w:ascii="Arial" w:cs="Arial" w:eastAsia="Arial" w:hAnsi="Arial"/>
          <w:color w:val="2A8F99"/>
          <w:sz w:val="18"/>
          <w:szCs w:val="18"/>
        </w:rPr>
        <w:t xml:space="preserve">  ★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d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The role of surgery in treating refractive error.</w:t>
      </w:r>
      <w:r>
        <w:rPr>
          <w:rFonts w:ascii="Arial" w:cs="Arial" w:eastAsia="Arial" w:hAnsi="Arial"/>
          <w:color w:val="2A8F99"/>
          <w:sz w:val="18"/>
          <w:szCs w:val="18"/>
        </w:rPr>
        <w:t xml:space="preserve">  ★</w:t>
      </w:r>
    </w:p>
    <w:p>
      <w:pPr>
        <w:keepNext/>
        <w:keepLines/>
        <w:pBdr>
          <w:bottom w:val="single" w:color="B5780F" w:sz="10" w:space="4"/>
        </w:pBdr>
        <w:spacing w:after="100" w:before="240"/>
      </w:pPr>
      <w:r>
        <w:rPr>
          <w:rFonts w:ascii="Arial" w:cs="Arial" w:eastAsia="Arial" w:hAnsi="Arial"/>
          <w:b/>
          <w:bCs/>
          <w:color w:val="0A4D54"/>
          <w:spacing w:val="14"/>
          <w:sz w:val="22"/>
          <w:szCs w:val="22"/>
        </w:rPr>
        <w:t xml:space="preserve">TREATMENT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a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The pharmacology and use of oral and topical agents in ophthalmology; the effects of drugs on the eye.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b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Incision of meibomian cysts (chalazia).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c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Dilation of the tear ducts.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d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Removal of conjunctival and corneal foreign bodies.</w:t>
      </w:r>
    </w:p>
    <w:p>
      <w:pPr>
        <w:spacing w:after="22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0F6E78" w:val="clear"/>
            <w:tcMar>
              <w:top w:type="dxa" w:w="140"/>
              <w:left w:type="dxa" w:w="220"/>
              <w:bottom w:type="dxa" w:w="140"/>
              <w:right w:type="dxa" w:w="22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BF1DA"/>
                <w:sz w:val="30"/>
                <w:szCs w:val="30"/>
              </w:rPr>
              <w:t xml:space="preserve">2  </w:t>
            </w: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</w:rPr>
              <w:t xml:space="preserve">Human Development</w:t>
            </w:r>
          </w:p>
        </w:tc>
      </w:tr>
    </w:tbl>
    <w:p>
      <w:pPr>
        <w:spacing w:after="60"/>
      </w:pPr>
    </w:p>
    <w:p>
      <w:pPr>
        <w:keepNext/>
        <w:keepLines/>
        <w:pBdr>
          <w:bottom w:val="single" w:color="B5780F" w:sz="10" w:space="4"/>
        </w:pBdr>
        <w:spacing w:after="100" w:before="240"/>
      </w:pPr>
      <w:r>
        <w:rPr>
          <w:rFonts w:ascii="Arial" w:cs="Arial" w:eastAsia="Arial" w:hAnsi="Arial"/>
          <w:b/>
          <w:bCs/>
          <w:color w:val="0A4D54"/>
          <w:spacing w:val="14"/>
          <w:sz w:val="22"/>
          <w:szCs w:val="22"/>
        </w:rPr>
        <w:t xml:space="preserve">FROM NEWBORN TO SCHOOL AGE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a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Normal development of the eye and visual apparatus.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b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Congenital abnormalities of the eye and eyelids.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c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Normal development of binocular vision and acuity.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d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Detecting visual problems in newborns and infants.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e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Detecting squints.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f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Vision screening in pre-school children.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g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Genetic advice and counselling.</w:t>
      </w:r>
    </w:p>
    <w:p>
      <w:pPr>
        <w:spacing w:after="200"/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0F6E78" w:val="clear"/>
            <w:tcMar>
              <w:top w:type="dxa" w:w="140"/>
              <w:left w:type="dxa" w:w="220"/>
              <w:bottom w:type="dxa" w:w="140"/>
              <w:right w:type="dxa" w:w="22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BF1DA"/>
                <w:sz w:val="30"/>
                <w:szCs w:val="30"/>
              </w:rPr>
              <w:t xml:space="preserve">3  </w:t>
            </w: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</w:rPr>
              <w:t xml:space="preserve">Human Behaviour</w:t>
            </w:r>
          </w:p>
        </w:tc>
      </w:tr>
    </w:tbl>
    <w:p>
      <w:pPr>
        <w:spacing w:after="60"/>
      </w:pPr>
    </w:p>
    <w:p>
      <w:pPr>
        <w:keepNext/>
        <w:keepLines/>
        <w:pBdr>
          <w:bottom w:val="single" w:color="B5780F" w:sz="10" w:space="4"/>
        </w:pBdr>
        <w:spacing w:after="100" w:before="240"/>
      </w:pPr>
      <w:r>
        <w:rPr>
          <w:rFonts w:ascii="Arial" w:cs="Arial" w:eastAsia="Arial" w:hAnsi="Arial"/>
          <w:b/>
          <w:bCs/>
          <w:color w:val="0A4D54"/>
          <w:spacing w:val="14"/>
          <w:sz w:val="22"/>
          <w:szCs w:val="22"/>
        </w:rPr>
        <w:t xml:space="preserve">PREVENTION, EDUCATION AND RECOGNITION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a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The link between eye disorders and other disabilities.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b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Preventing eye injuries at home and at work.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c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Teaching patients how to spot visual problems.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d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The value of regular optician checks; exemption from charges.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e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Functional (non-organic) visual loss — recognition and assessment.</w:t>
      </w:r>
    </w:p>
    <w:p>
      <w:pPr>
        <w:spacing w:after="140"/>
      </w:pPr>
    </w:p>
    <w:tbl>
      <w:tblPr>
        <w:tblW w:type="dxa" w:w="9360"/>
        <w:tblBorders>
          <w:top w:val="none"/>
          <w:left w:val="single" w:color="0F6E78" w:sz="28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E3F0F1" w:val="clear"/>
            <w:tcMar>
              <w:top w:type="dxa" w:w="130"/>
              <w:left w:type="dxa" w:w="220"/>
              <w:bottom w:type="dxa" w:w="13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0A4D54"/>
                <w:spacing w:val="8"/>
                <w:sz w:val="19"/>
                <w:szCs w:val="19"/>
              </w:rPr>
              <w:t xml:space="preserve">TERMINOLOGY NOTE</w:t>
            </w:r>
          </w:p>
          <w:p>
            <w:pPr>
              <w:spacing w:after="0" w:line="268"/>
            </w:pPr>
            <w:r>
              <w:rPr>
                <w:rFonts w:ascii="Arial" w:cs="Arial" w:eastAsia="Arial" w:hAnsi="Arial"/>
                <w:color w:val="1F2A2D"/>
                <w:sz w:val="20"/>
                <w:szCs w:val="20"/>
              </w:rPr>
              <w:t xml:space="preserve">“Functional (non-organic) visual loss” is the current term for visual symptoms with no structural eye disease. The older label “hysteria” is no longer used.</w:t>
            </w:r>
          </w:p>
        </w:tc>
      </w:tr>
    </w:tbl>
    <w:p>
      <w:r>
        <w:br w:type="pag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0F6E78" w:val="clear"/>
            <w:tcMar>
              <w:top w:type="dxa" w:w="140"/>
              <w:left w:type="dxa" w:w="220"/>
              <w:bottom w:type="dxa" w:w="140"/>
              <w:right w:type="dxa" w:w="22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BF1DA"/>
                <w:sz w:val="30"/>
                <w:szCs w:val="30"/>
              </w:rPr>
              <w:t xml:space="preserve">4  </w:t>
            </w: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</w:rPr>
              <w:t xml:space="preserve">Medicine and Society</w:t>
            </w:r>
          </w:p>
        </w:tc>
      </w:tr>
    </w:tbl>
    <w:p>
      <w:pPr>
        <w:spacing w:after="60"/>
      </w:pPr>
    </w:p>
    <w:p>
      <w:pPr>
        <w:keepNext/>
        <w:keepLines/>
        <w:pBdr>
          <w:bottom w:val="single" w:color="B5780F" w:sz="10" w:space="4"/>
        </w:pBdr>
        <w:spacing w:after="100" w:before="240"/>
      </w:pPr>
      <w:r>
        <w:rPr>
          <w:rFonts w:ascii="Arial" w:cs="Arial" w:eastAsia="Arial" w:hAnsi="Arial"/>
          <w:b/>
          <w:bCs/>
          <w:color w:val="0A4D54"/>
          <w:spacing w:val="14"/>
          <w:sz w:val="22"/>
          <w:szCs w:val="22"/>
        </w:rPr>
        <w:t xml:space="preserve">LIVING AND WORKING WITH SIGHT LOSS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a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Vision and driving.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b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Career guidance for people with colour vision deficiency.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c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Certification and registration of sight loss — sight impaired (partially sighted) and severely sight impaired (blind); the Certificate of Vision Impairment (CVI); the value of registration; the role of specialist social workers.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d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Social support for adults with sight loss:</w:t>
      </w:r>
    </w:p>
    <w:p>
      <w:pPr>
        <w:spacing w:after="18" w:before="18" w:line="264"/>
        <w:ind w:left="820" w:hanging="240"/>
      </w:pPr>
      <w:r>
        <w:rPr>
          <w:rFonts w:ascii="Arial" w:cs="Arial" w:eastAsia="Arial" w:hAnsi="Arial"/>
          <w:b/>
          <w:bCs/>
          <w:color w:val="2A8F99"/>
          <w:sz w:val="20"/>
          <w:szCs w:val="20"/>
        </w:rPr>
        <w:t xml:space="preserve">–  </w:t>
      </w:r>
      <w:r>
        <w:rPr>
          <w:rFonts w:ascii="Arial" w:cs="Arial" w:eastAsia="Arial" w:hAnsi="Arial"/>
          <w:color w:val="44555A"/>
          <w:sz w:val="20"/>
          <w:szCs w:val="20"/>
        </w:rPr>
        <w:t xml:space="preserve">RNIB Talking Books service</w:t>
      </w:r>
    </w:p>
    <w:p>
      <w:pPr>
        <w:spacing w:after="18" w:before="18" w:line="264"/>
        <w:ind w:left="820" w:hanging="240"/>
      </w:pPr>
      <w:r>
        <w:rPr>
          <w:rFonts w:ascii="Arial" w:cs="Arial" w:eastAsia="Arial" w:hAnsi="Arial"/>
          <w:b/>
          <w:bCs/>
          <w:color w:val="2A8F99"/>
          <w:sz w:val="20"/>
          <w:szCs w:val="20"/>
        </w:rPr>
        <w:t xml:space="preserve">–  </w:t>
      </w:r>
      <w:r>
        <w:rPr>
          <w:rFonts w:ascii="Arial" w:cs="Arial" w:eastAsia="Arial" w:hAnsi="Arial"/>
          <w:color w:val="44555A"/>
          <w:sz w:val="20"/>
          <w:szCs w:val="20"/>
        </w:rPr>
        <w:t xml:space="preserve">Social services</w:t>
      </w:r>
    </w:p>
    <w:p>
      <w:pPr>
        <w:spacing w:after="18" w:before="18" w:line="264"/>
        <w:ind w:left="820" w:hanging="240"/>
      </w:pPr>
      <w:r>
        <w:rPr>
          <w:rFonts w:ascii="Arial" w:cs="Arial" w:eastAsia="Arial" w:hAnsi="Arial"/>
          <w:b/>
          <w:bCs/>
          <w:color w:val="2A8F99"/>
          <w:sz w:val="20"/>
          <w:szCs w:val="20"/>
        </w:rPr>
        <w:t xml:space="preserve">–  </w:t>
      </w:r>
      <w:r>
        <w:rPr>
          <w:rFonts w:ascii="Arial" w:cs="Arial" w:eastAsia="Arial" w:hAnsi="Arial"/>
          <w:color w:val="44555A"/>
          <w:sz w:val="20"/>
          <w:szCs w:val="20"/>
        </w:rPr>
        <w:t xml:space="preserve">Local services</w:t>
      </w:r>
    </w:p>
    <w:p>
      <w:pPr>
        <w:spacing w:after="18" w:before="18" w:line="264"/>
        <w:ind w:left="820" w:hanging="240"/>
      </w:pPr>
      <w:r>
        <w:rPr>
          <w:rFonts w:ascii="Arial" w:cs="Arial" w:eastAsia="Arial" w:hAnsi="Arial"/>
          <w:b/>
          <w:bCs/>
          <w:color w:val="2A8F99"/>
          <w:sz w:val="20"/>
          <w:szCs w:val="20"/>
        </w:rPr>
        <w:t xml:space="preserve">–  </w:t>
      </w:r>
      <w:r>
        <w:rPr>
          <w:rFonts w:ascii="Arial" w:cs="Arial" w:eastAsia="Arial" w:hAnsi="Arial"/>
          <w:color w:val="44555A"/>
          <w:sz w:val="20"/>
          <w:szCs w:val="20"/>
        </w:rPr>
        <w:t xml:space="preserve">Family care and social support</w:t>
      </w:r>
    </w:p>
    <w:p>
      <w:pPr>
        <w:spacing w:after="18" w:before="18" w:line="264"/>
        <w:ind w:left="820" w:hanging="240"/>
      </w:pPr>
      <w:r>
        <w:rPr>
          <w:rFonts w:ascii="Arial" w:cs="Arial" w:eastAsia="Arial" w:hAnsi="Arial"/>
          <w:b/>
          <w:bCs/>
          <w:color w:val="2A8F99"/>
          <w:sz w:val="20"/>
          <w:szCs w:val="20"/>
        </w:rPr>
        <w:t xml:space="preserve">–  </w:t>
      </w:r>
      <w:r>
        <w:rPr>
          <w:rFonts w:ascii="Arial" w:cs="Arial" w:eastAsia="Arial" w:hAnsi="Arial"/>
          <w:color w:val="44555A"/>
          <w:sz w:val="20"/>
          <w:szCs w:val="20"/>
        </w:rPr>
        <w:t xml:space="preserve">Low-vision aids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e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Social support for children with sight loss:</w:t>
      </w:r>
    </w:p>
    <w:p>
      <w:pPr>
        <w:spacing w:after="18" w:before="18" w:line="264"/>
        <w:ind w:left="820" w:hanging="240"/>
      </w:pPr>
      <w:r>
        <w:rPr>
          <w:rFonts w:ascii="Arial" w:cs="Arial" w:eastAsia="Arial" w:hAnsi="Arial"/>
          <w:b/>
          <w:bCs/>
          <w:color w:val="2A8F99"/>
          <w:sz w:val="20"/>
          <w:szCs w:val="20"/>
        </w:rPr>
        <w:t xml:space="preserve">–  </w:t>
      </w:r>
      <w:r>
        <w:rPr>
          <w:rFonts w:ascii="Arial" w:cs="Arial" w:eastAsia="Arial" w:hAnsi="Arial"/>
          <w:color w:val="44555A"/>
          <w:sz w:val="20"/>
          <w:szCs w:val="20"/>
        </w:rPr>
        <w:t xml:space="preserve">Education, Health and Care (EHC) plans — Children and Families Act 2014</w:t>
      </w:r>
    </w:p>
    <w:p>
      <w:pPr>
        <w:spacing w:after="18" w:before="18" w:line="264"/>
        <w:ind w:left="820" w:hanging="240"/>
      </w:pPr>
      <w:r>
        <w:rPr>
          <w:rFonts w:ascii="Arial" w:cs="Arial" w:eastAsia="Arial" w:hAnsi="Arial"/>
          <w:b/>
          <w:bCs/>
          <w:color w:val="2A8F99"/>
          <w:sz w:val="20"/>
          <w:szCs w:val="20"/>
        </w:rPr>
        <w:t xml:space="preserve">–  </w:t>
      </w:r>
      <w:r>
        <w:rPr>
          <w:rFonts w:ascii="Arial" w:cs="Arial" w:eastAsia="Arial" w:hAnsi="Arial"/>
          <w:color w:val="44555A"/>
          <w:sz w:val="20"/>
          <w:szCs w:val="20"/>
        </w:rPr>
        <w:t xml:space="preserve">Schooling; specialist (QTVI) teachers</w:t>
      </w:r>
    </w:p>
    <w:p>
      <w:pPr>
        <w:spacing w:after="18" w:before="18" w:line="264"/>
        <w:ind w:left="820" w:hanging="240"/>
      </w:pPr>
      <w:r>
        <w:rPr>
          <w:rFonts w:ascii="Arial" w:cs="Arial" w:eastAsia="Arial" w:hAnsi="Arial"/>
          <w:b/>
          <w:bCs/>
          <w:color w:val="2A8F99"/>
          <w:sz w:val="20"/>
          <w:szCs w:val="20"/>
        </w:rPr>
        <w:t xml:space="preserve">–  </w:t>
      </w:r>
      <w:r>
        <w:rPr>
          <w:rFonts w:ascii="Arial" w:cs="Arial" w:eastAsia="Arial" w:hAnsi="Arial"/>
          <w:color w:val="44555A"/>
          <w:sz w:val="20"/>
          <w:szCs w:val="20"/>
        </w:rPr>
        <w:t xml:space="preserve">Career guidance</w:t>
      </w:r>
    </w:p>
    <w:p>
      <w:pPr>
        <w:spacing w:after="140"/>
      </w:pPr>
    </w:p>
    <w:tbl>
      <w:tblPr>
        <w:tblW w:type="dxa" w:w="9360"/>
        <w:tblBorders>
          <w:top w:val="none"/>
          <w:left w:val="single" w:color="2E7D52" w:sz="28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E8F2EC" w:val="clear"/>
            <w:tcMar>
              <w:top w:type="dxa" w:w="130"/>
              <w:left w:type="dxa" w:w="220"/>
              <w:bottom w:type="dxa" w:w="13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2E7D52"/>
                <w:spacing w:val="8"/>
                <w:sz w:val="19"/>
                <w:szCs w:val="19"/>
              </w:rPr>
              <w:t xml:space="preserve">REGISTRATION — HOW IT WORKS NOW</w:t>
            </w:r>
          </w:p>
          <w:p>
            <w:pPr>
              <w:spacing w:after="50" w:line="268"/>
            </w:pPr>
            <w:r>
              <w:rPr>
                <w:rFonts w:ascii="Arial" w:cs="Arial" w:eastAsia="Arial" w:hAnsi="Arial"/>
                <w:color w:val="1F2A2D"/>
                <w:sz w:val="20"/>
                <w:szCs w:val="20"/>
              </w:rPr>
              <w:t xml:space="preserve">A consultant ophthalmologist completes the Certificate of Vision Impairment (CVI). With consent, copies go to the patient, their GP and the local council.</w:t>
            </w:r>
          </w:p>
          <w:p>
            <w:pPr>
              <w:spacing w:after="0" w:line="268"/>
            </w:pPr>
            <w:r>
              <w:rPr>
                <w:rFonts w:ascii="Arial" w:cs="Arial" w:eastAsia="Arial" w:hAnsi="Arial"/>
                <w:color w:val="1F2A2D"/>
                <w:sz w:val="20"/>
                <w:szCs w:val="20"/>
              </w:rPr>
              <w:t xml:space="preserve">The council then offers registration as sight impaired or severely sight impaired. Registration is voluntary and opens the door to support and benefits.</w:t>
            </w:r>
          </w:p>
        </w:tc>
      </w:tr>
    </w:tbl>
    <w:p>
      <w:r>
        <w:br w:type="pag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0F6E78" w:val="clear"/>
            <w:tcMar>
              <w:top w:type="dxa" w:w="140"/>
              <w:left w:type="dxa" w:w="220"/>
              <w:bottom w:type="dxa" w:w="140"/>
              <w:right w:type="dxa" w:w="22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BF1DA"/>
                <w:sz w:val="30"/>
                <w:szCs w:val="30"/>
              </w:rPr>
              <w:t xml:space="preserve">5  </w:t>
            </w: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</w:rPr>
              <w:t xml:space="preserve">The Practice</w:t>
            </w:r>
          </w:p>
        </w:tc>
      </w:tr>
    </w:tbl>
    <w:p>
      <w:pPr>
        <w:spacing w:after="60"/>
      </w:pPr>
    </w:p>
    <w:p>
      <w:pPr>
        <w:keepNext/>
        <w:keepLines/>
        <w:pBdr>
          <w:bottom w:val="single" w:color="B5780F" w:sz="10" w:space="4"/>
        </w:pBdr>
        <w:spacing w:after="100" w:before="240"/>
      </w:pPr>
      <w:r>
        <w:rPr>
          <w:rFonts w:ascii="Arial" w:cs="Arial" w:eastAsia="Arial" w:hAnsi="Arial"/>
          <w:b/>
          <w:bCs/>
          <w:color w:val="0A4D54"/>
          <w:spacing w:val="14"/>
          <w:sz w:val="22"/>
          <w:szCs w:val="22"/>
        </w:rPr>
        <w:t xml:space="preserve">EYE CARE IN GENERAL PRACTICE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a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Equipment needed in general practice; minor surgical procedures.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b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The roles of the GP, optometrist, orthoptist, eye clinic, community eye clinics and school health service.</w:t>
      </w:r>
    </w:p>
    <w:p>
      <w:pPr>
        <w:spacing w:after="36" w:before="36" w:line="276"/>
        <w:ind w:left="360" w:hanging="360"/>
      </w:pPr>
      <w:r>
        <w:rPr>
          <w:rFonts w:ascii="Arial" w:cs="Arial" w:eastAsia="Arial" w:hAnsi="Arial"/>
          <w:b/>
          <w:bCs/>
          <w:color w:val="B5780F"/>
          <w:sz w:val="21"/>
          <w:szCs w:val="21"/>
        </w:rPr>
        <w:t xml:space="preserve">c  </w:t>
      </w:r>
      <w:r>
        <w:rPr>
          <w:rFonts w:ascii="Arial" w:cs="Arial" w:eastAsia="Arial" w:hAnsi="Arial"/>
          <w:color w:val="1F2A2D"/>
          <w:sz w:val="21"/>
          <w:szCs w:val="21"/>
        </w:rPr>
        <w:t xml:space="preserve">Organising screening for:</w:t>
      </w:r>
    </w:p>
    <w:p>
      <w:pPr>
        <w:spacing w:after="18" w:before="18" w:line="264"/>
        <w:ind w:left="820" w:hanging="240"/>
      </w:pPr>
      <w:r>
        <w:rPr>
          <w:rFonts w:ascii="Arial" w:cs="Arial" w:eastAsia="Arial" w:hAnsi="Arial"/>
          <w:b/>
          <w:bCs/>
          <w:color w:val="2A8F99"/>
          <w:sz w:val="20"/>
          <w:szCs w:val="20"/>
        </w:rPr>
        <w:t xml:space="preserve">–  </w:t>
      </w:r>
      <w:r>
        <w:rPr>
          <w:rFonts w:ascii="Arial" w:cs="Arial" w:eastAsia="Arial" w:hAnsi="Arial"/>
          <w:color w:val="44555A"/>
          <w:sz w:val="20"/>
          <w:szCs w:val="20"/>
        </w:rPr>
        <w:t xml:space="preserve">Vision disorders in children</w:t>
      </w:r>
    </w:p>
    <w:p>
      <w:pPr>
        <w:spacing w:after="18" w:before="18" w:line="264"/>
        <w:ind w:left="820" w:hanging="240"/>
      </w:pPr>
      <w:r>
        <w:rPr>
          <w:rFonts w:ascii="Arial" w:cs="Arial" w:eastAsia="Arial" w:hAnsi="Arial"/>
          <w:b/>
          <w:bCs/>
          <w:color w:val="2A8F99"/>
          <w:sz w:val="20"/>
          <w:szCs w:val="20"/>
        </w:rPr>
        <w:t xml:space="preserve">–  </w:t>
      </w:r>
      <w:r>
        <w:rPr>
          <w:rFonts w:ascii="Arial" w:cs="Arial" w:eastAsia="Arial" w:hAnsi="Arial"/>
          <w:color w:val="44555A"/>
          <w:sz w:val="20"/>
          <w:szCs w:val="20"/>
        </w:rPr>
        <w:t xml:space="preserve">Diabetic retinopathy</w:t>
      </w:r>
    </w:p>
    <w:p>
      <w:pPr>
        <w:spacing w:after="18" w:before="18" w:line="264"/>
        <w:ind w:left="820" w:hanging="240"/>
      </w:pPr>
      <w:r>
        <w:rPr>
          <w:rFonts w:ascii="Arial" w:cs="Arial" w:eastAsia="Arial" w:hAnsi="Arial"/>
          <w:b/>
          <w:bCs/>
          <w:color w:val="2A8F99"/>
          <w:sz w:val="20"/>
          <w:szCs w:val="20"/>
        </w:rPr>
        <w:t xml:space="preserve">–  </w:t>
      </w:r>
      <w:r>
        <w:rPr>
          <w:rFonts w:ascii="Arial" w:cs="Arial" w:eastAsia="Arial" w:hAnsi="Arial"/>
          <w:color w:val="44555A"/>
          <w:sz w:val="20"/>
          <w:szCs w:val="20"/>
        </w:rPr>
        <w:t xml:space="preserve">Glaucoma</w:t>
      </w:r>
    </w:p>
    <w:p>
      <w:pPr>
        <w:spacing w:after="260"/>
      </w:pPr>
    </w:p>
    <w:p>
      <w:pPr>
        <w:pBdr>
          <w:top w:val="single" w:color="D5E2E4" w:sz="8" w:space="8"/>
        </w:pBdr>
        <w:spacing w:after="0" w:before="200"/>
        <w:jc w:val="center"/>
      </w:pPr>
      <w:r>
        <w:rPr>
          <w:rFonts w:ascii="Arial" w:cs="Arial" w:eastAsia="Arial" w:hAnsi="Arial"/>
          <w:i/>
          <w:iCs/>
          <w:color w:val="44555A"/>
          <w:sz w:val="18"/>
          <w:szCs w:val="18"/>
        </w:rPr>
        <w:t xml:space="preserve">Adapted from Cleveland VTS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0F6E78" w:sz="6" w:space="6"/>
      </w:pBdr>
      <w:tabs>
        <w:tab w:val="right" w:pos="9360"/>
      </w:tabs>
    </w:pPr>
    <w:r>
      <w:rPr>
        <w:rFonts w:ascii="Arial" w:cs="Arial" w:eastAsia="Arial" w:hAnsi="Arial"/>
        <w:b/>
        <w:bCs/>
        <w:color w:val="0F6E78"/>
        <w:sz w:val="16"/>
        <w:szCs w:val="16"/>
      </w:rPr>
      <w:t xml:space="preserve">Bradford VTS Teaching Aids</w:t>
    </w:r>
    <w:r>
      <w:rPr>
        <w:rFonts w:ascii="Arial" w:cs="Arial" w:eastAsia="Arial" w:hAnsi="Arial"/>
        <w:color w:val="44555A"/>
        <w:sz w:val="16"/>
        <w:szCs w:val="16"/>
      </w:rPr>
      <w:t xml:space="preserve">  ·  Ophthalmology: Core Curriculum  ·  June 2026</w:t>
    </w:r>
    <w:r>
      <w:rPr>
        <w:rFonts w:ascii="Arial" w:cs="Arial" w:eastAsia="Arial" w:hAnsi="Arial"/>
        <w:sz w:val="16"/>
        <w:szCs w:val="16"/>
      </w:rPr>
      <w:t xml:space="preserve">	</w:t>
    </w:r>
    <w:r>
      <w:rPr>
        <w:rFonts w:ascii="Arial" w:cs="Arial" w:eastAsia="Arial" w:hAnsi="Arial"/>
        <w:color w:val="44555A"/>
        <w:sz w:val="16"/>
        <w:szCs w:val="16"/>
      </w:rPr>
      <w:t xml:space="preserve">Page </w:t>
    </w:r>
    <w:r>
      <w:rPr>
        <w:rFonts w:ascii="Arial" w:cs="Arial" w:eastAsia="Arial" w:hAnsi="Arial"/>
        <w:b/>
        <w:bCs/>
        <w:color w:val="0F6E7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A2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2026-06-08T15:27:54.138Z</dcterms:created>
  <dcterms:modified xsi:type="dcterms:W3CDTF">2026-06-08T15:27:54.138Z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