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06"/>
      </w:tblGrid>
      <w:tr w:rsidR="00B239C5" w14:paraId="60FD3013" w14:textId="77777777">
        <w:trPr>
          <w:jc w:val="center"/>
        </w:trPr>
        <w:tc>
          <w:tcPr>
            <w:tcW w:w="9406" w:type="dxa"/>
            <w:shd w:val="clear" w:color="auto" w:fill="E0651F"/>
          </w:tcPr>
          <w:p w14:paraId="5F3EA111" w14:textId="77777777" w:rsidR="00B239C5" w:rsidRDefault="00B239C5"/>
          <w:p w14:paraId="00B5E6B1" w14:textId="77777777" w:rsidR="00B239C5" w:rsidRDefault="00000000">
            <w:pPr>
              <w:spacing w:before="160" w:after="40"/>
              <w:jc w:val="center"/>
            </w:pPr>
            <w:r>
              <w:rPr>
                <w:b/>
                <w:caps/>
                <w:color w:val="FFFFFF"/>
                <w:sz w:val="20"/>
              </w:rPr>
              <w:t>BRADFORD VTS TEACHING AIDS</w:t>
            </w:r>
          </w:p>
          <w:p w14:paraId="5D5FBBC9" w14:textId="77777777" w:rsidR="00B239C5" w:rsidRDefault="00000000">
            <w:pPr>
              <w:spacing w:before="40" w:after="40"/>
              <w:jc w:val="center"/>
            </w:pPr>
            <w:r>
              <w:rPr>
                <w:b/>
                <w:color w:val="FFFFFF"/>
                <w:sz w:val="48"/>
              </w:rPr>
              <w:t>GP Ophthalmology OSCE Teaching Plan</w:t>
            </w:r>
          </w:p>
          <w:p w14:paraId="3CB403A9" w14:textId="77777777" w:rsidR="00B239C5" w:rsidRDefault="00000000">
            <w:pPr>
              <w:spacing w:before="40" w:after="160"/>
              <w:jc w:val="center"/>
            </w:pPr>
            <w:r>
              <w:rPr>
                <w:i/>
                <w:color w:val="FFFFFF"/>
              </w:rPr>
              <w:t>Trainer Resource - Bradford VTS - May 2026</w:t>
            </w:r>
          </w:p>
        </w:tc>
      </w:tr>
    </w:tbl>
    <w:p w14:paraId="6C2A4641" w14:textId="77777777" w:rsidR="00B239C5" w:rsidRDefault="00B239C5">
      <w:pPr>
        <w:spacing w:after="120"/>
      </w:pPr>
    </w:p>
    <w:p w14:paraId="2CD62765" w14:textId="77777777" w:rsidR="00B239C5" w:rsidRDefault="00000000">
      <w:pPr>
        <w:spacing w:before="80" w:after="160"/>
      </w:pPr>
      <w:r>
        <w:t>An updated GP registrar teaching session plan for ophthalmology. Designed as a practical skills-based OSCE-style session, covering ophthalmic history, clinical examination, and appropriate referral decisions. Updated to NICE CKS 2024/2025 and RCGP curriculum 2019.</w:t>
      </w:r>
    </w:p>
    <w:p w14:paraId="2EB22A3B" w14:textId="77777777" w:rsidR="00B239C5" w:rsidRDefault="00000000">
      <w:pPr>
        <w:spacing w:before="200" w:after="80"/>
      </w:pPr>
      <w:r>
        <w:rPr>
          <w:b/>
          <w:color w:val="1B3A6B"/>
          <w:sz w:val="36"/>
        </w:rPr>
        <w:t>Session Overview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B239C5" w14:paraId="5A5D888E" w14:textId="77777777">
        <w:trPr>
          <w:jc w:val="center"/>
        </w:trPr>
        <w:tc>
          <w:tcPr>
            <w:tcW w:w="4703" w:type="dxa"/>
            <w:shd w:val="clear" w:color="auto" w:fill="2C5F9E"/>
          </w:tcPr>
          <w:p w14:paraId="040AD96D" w14:textId="77777777" w:rsidR="00B239C5" w:rsidRDefault="00000000">
            <w:r>
              <w:rPr>
                <w:b/>
                <w:color w:val="FFFFFF"/>
                <w:sz w:val="20"/>
              </w:rPr>
              <w:t>Duration</w:t>
            </w:r>
          </w:p>
        </w:tc>
        <w:tc>
          <w:tcPr>
            <w:tcW w:w="4703" w:type="dxa"/>
          </w:tcPr>
          <w:p w14:paraId="2F43E2B8" w14:textId="77777777" w:rsidR="00B239C5" w:rsidRDefault="00000000">
            <w:r>
              <w:rPr>
                <w:sz w:val="20"/>
              </w:rPr>
              <w:t>90 minutes (2 x 45-minute rotations through 4 stations)</w:t>
            </w:r>
          </w:p>
        </w:tc>
      </w:tr>
      <w:tr w:rsidR="00B239C5" w14:paraId="33EA6A17" w14:textId="77777777">
        <w:trPr>
          <w:jc w:val="center"/>
        </w:trPr>
        <w:tc>
          <w:tcPr>
            <w:tcW w:w="4703" w:type="dxa"/>
            <w:shd w:val="clear" w:color="auto" w:fill="2C5F9E"/>
          </w:tcPr>
          <w:p w14:paraId="514C9603" w14:textId="77777777" w:rsidR="00B239C5" w:rsidRDefault="00000000">
            <w:r>
              <w:rPr>
                <w:b/>
                <w:color w:val="FFFFFF"/>
                <w:sz w:val="20"/>
              </w:rPr>
              <w:t>Group size</w:t>
            </w:r>
          </w:p>
        </w:tc>
        <w:tc>
          <w:tcPr>
            <w:tcW w:w="4703" w:type="dxa"/>
          </w:tcPr>
          <w:p w14:paraId="0223D68C" w14:textId="77777777" w:rsidR="00B239C5" w:rsidRDefault="00000000">
            <w:r>
              <w:rPr>
                <w:sz w:val="20"/>
              </w:rPr>
              <w:t>8-16 GP registrars; groups of 4-6 per station</w:t>
            </w:r>
          </w:p>
        </w:tc>
      </w:tr>
      <w:tr w:rsidR="00B239C5" w14:paraId="71C79B7E" w14:textId="77777777">
        <w:trPr>
          <w:jc w:val="center"/>
        </w:trPr>
        <w:tc>
          <w:tcPr>
            <w:tcW w:w="4703" w:type="dxa"/>
            <w:shd w:val="clear" w:color="auto" w:fill="2C5F9E"/>
          </w:tcPr>
          <w:p w14:paraId="42F4B4CC" w14:textId="77777777" w:rsidR="00B239C5" w:rsidRDefault="00000000">
            <w:r>
              <w:rPr>
                <w:b/>
                <w:color w:val="FFFFFF"/>
                <w:sz w:val="20"/>
              </w:rPr>
              <w:t>Facilitators</w:t>
            </w:r>
          </w:p>
        </w:tc>
        <w:tc>
          <w:tcPr>
            <w:tcW w:w="4703" w:type="dxa"/>
          </w:tcPr>
          <w:p w14:paraId="40C8C8AE" w14:textId="77777777" w:rsidR="00B239C5" w:rsidRDefault="00000000">
            <w:r>
              <w:rPr>
                <w:sz w:val="20"/>
              </w:rPr>
              <w:t>GP tutor + ophthalmologist/ST + optometrist</w:t>
            </w:r>
          </w:p>
        </w:tc>
      </w:tr>
      <w:tr w:rsidR="00B239C5" w14:paraId="0CDF3E4C" w14:textId="77777777">
        <w:trPr>
          <w:jc w:val="center"/>
        </w:trPr>
        <w:tc>
          <w:tcPr>
            <w:tcW w:w="4703" w:type="dxa"/>
            <w:shd w:val="clear" w:color="auto" w:fill="2C5F9E"/>
          </w:tcPr>
          <w:p w14:paraId="11A51A47" w14:textId="77777777" w:rsidR="00B239C5" w:rsidRDefault="00000000">
            <w:r>
              <w:rPr>
                <w:b/>
                <w:color w:val="FFFFFF"/>
                <w:sz w:val="20"/>
              </w:rPr>
              <w:t>Level</w:t>
            </w:r>
          </w:p>
        </w:tc>
        <w:tc>
          <w:tcPr>
            <w:tcW w:w="4703" w:type="dxa"/>
          </w:tcPr>
          <w:p w14:paraId="05EDBFAF" w14:textId="77777777" w:rsidR="00B239C5" w:rsidRDefault="00000000">
            <w:r>
              <w:rPr>
                <w:sz w:val="20"/>
              </w:rPr>
              <w:t>ST1-ST3 GP trainees; assume variable baseline knowledge</w:t>
            </w:r>
          </w:p>
        </w:tc>
      </w:tr>
      <w:tr w:rsidR="00B239C5" w14:paraId="1624B3CD" w14:textId="77777777">
        <w:trPr>
          <w:jc w:val="center"/>
        </w:trPr>
        <w:tc>
          <w:tcPr>
            <w:tcW w:w="4703" w:type="dxa"/>
            <w:shd w:val="clear" w:color="auto" w:fill="2C5F9E"/>
          </w:tcPr>
          <w:p w14:paraId="6B65930B" w14:textId="77777777" w:rsidR="00B239C5" w:rsidRDefault="00000000">
            <w:r>
              <w:rPr>
                <w:b/>
                <w:color w:val="FFFFFF"/>
                <w:sz w:val="20"/>
              </w:rPr>
              <w:t>Format</w:t>
            </w:r>
          </w:p>
        </w:tc>
        <w:tc>
          <w:tcPr>
            <w:tcW w:w="4703" w:type="dxa"/>
          </w:tcPr>
          <w:p w14:paraId="32C6F7FF" w14:textId="77777777" w:rsidR="00B239C5" w:rsidRDefault="00000000">
            <w:r>
              <w:rPr>
                <w:sz w:val="20"/>
              </w:rPr>
              <w:t>Small group rotational OSCE stations; practical skills-based</w:t>
            </w:r>
          </w:p>
        </w:tc>
      </w:tr>
    </w:tbl>
    <w:p w14:paraId="760CAC36" w14:textId="77777777" w:rsidR="00B239C5" w:rsidRDefault="00000000">
      <w:pPr>
        <w:spacing w:before="200" w:after="80"/>
      </w:pPr>
      <w:r>
        <w:rPr>
          <w:b/>
          <w:color w:val="1B3A6B"/>
          <w:sz w:val="36"/>
        </w:rPr>
        <w:t>Learning Objectives</w:t>
      </w:r>
    </w:p>
    <w:p w14:paraId="5F3784E8" w14:textId="77777777" w:rsidR="00B239C5" w:rsidRDefault="00000000">
      <w:pPr>
        <w:pStyle w:val="ListBullet"/>
        <w:spacing w:after="40"/>
      </w:pPr>
      <w:r>
        <w:rPr>
          <w:sz w:val="20"/>
        </w:rPr>
        <w:t>Take a targeted ophthalmic history assessing severity, identifying red flags, and determining GP vs ophthalmology management</w:t>
      </w:r>
    </w:p>
    <w:p w14:paraId="6FF2AAB2" w14:textId="77777777" w:rsidR="00B239C5" w:rsidRDefault="00000000">
      <w:pPr>
        <w:pStyle w:val="ListBullet"/>
        <w:spacing w:after="40"/>
      </w:pPr>
      <w:r>
        <w:rPr>
          <w:sz w:val="20"/>
        </w:rPr>
        <w:t>Perform basic ophthalmic examination: visual acuity (Snellen), pinhole test, pupil assessment (RAPD), visual fields by confrontation, cover test for strabismus</w:t>
      </w:r>
    </w:p>
    <w:p w14:paraId="4B8B5684" w14:textId="77777777" w:rsidR="00B239C5" w:rsidRDefault="00000000">
      <w:pPr>
        <w:pStyle w:val="ListBullet"/>
        <w:spacing w:after="40"/>
      </w:pPr>
      <w:r>
        <w:rPr>
          <w:sz w:val="20"/>
        </w:rPr>
        <w:t>Perform ophthalmoscopy safely and identify key fundal changes (disc, macula, vessels)</w:t>
      </w:r>
    </w:p>
    <w:p w14:paraId="3B82D680" w14:textId="77777777" w:rsidR="00B239C5" w:rsidRDefault="00000000">
      <w:pPr>
        <w:pStyle w:val="ListBullet"/>
        <w:spacing w:after="40"/>
      </w:pPr>
      <w:r>
        <w:rPr>
          <w:sz w:val="20"/>
        </w:rPr>
        <w:t>Apply fluorescein staining to detect corneal pathology</w:t>
      </w:r>
    </w:p>
    <w:p w14:paraId="256BD075" w14:textId="77777777" w:rsidR="00B239C5" w:rsidRDefault="00000000">
      <w:pPr>
        <w:pStyle w:val="ListBullet"/>
        <w:spacing w:after="40"/>
      </w:pPr>
      <w:r>
        <w:rPr>
          <w:sz w:val="20"/>
        </w:rPr>
        <w:t>Understand the role of optometrists in primary care eye screening and GOS referral pathways</w:t>
      </w:r>
    </w:p>
    <w:p w14:paraId="3428D7D2" w14:textId="77777777" w:rsidR="00B239C5" w:rsidRDefault="00000000">
      <w:pPr>
        <w:pStyle w:val="ListBullet"/>
        <w:spacing w:after="40"/>
      </w:pPr>
      <w:r>
        <w:rPr>
          <w:sz w:val="20"/>
        </w:rPr>
        <w:t>Prioritise and communicate urgent ophthalmology referrals confidently</w:t>
      </w:r>
    </w:p>
    <w:p w14:paraId="1DEC596D" w14:textId="77777777" w:rsidR="00B239C5" w:rsidRDefault="00000000">
      <w:pPr>
        <w:pStyle w:val="ListBullet"/>
        <w:spacing w:after="40"/>
      </w:pPr>
      <w:r>
        <w:rPr>
          <w:sz w:val="20"/>
        </w:rPr>
        <w:t>Demonstrate communication skills for SCA-level consultations involving eye conditions</w:t>
      </w:r>
    </w:p>
    <w:p w14:paraId="0F2F5EAD" w14:textId="77777777" w:rsidR="00B239C5" w:rsidRDefault="00000000">
      <w:pPr>
        <w:spacing w:before="200" w:after="80"/>
      </w:pPr>
      <w:r>
        <w:rPr>
          <w:b/>
          <w:color w:val="1B3A6B"/>
          <w:sz w:val="36"/>
        </w:rPr>
        <w:t>Station Plans</w:t>
      </w:r>
    </w:p>
    <w:p w14:paraId="274FCF8B" w14:textId="77777777" w:rsidR="00B239C5" w:rsidRDefault="00000000">
      <w:pPr>
        <w:spacing w:before="200" w:after="80"/>
      </w:pPr>
      <w:r>
        <w:rPr>
          <w:b/>
          <w:color w:val="1B3A6B"/>
          <w:sz w:val="28"/>
        </w:rPr>
        <w:t>Station 1: Ophthalmic History Taking (20 min)</w:t>
      </w:r>
    </w:p>
    <w:p w14:paraId="3BD9BFEB" w14:textId="77777777" w:rsidR="00B239C5" w:rsidRDefault="00000000">
      <w:pPr>
        <w:pStyle w:val="ListBullet"/>
        <w:spacing w:after="40"/>
      </w:pPr>
      <w:r>
        <w:rPr>
          <w:sz w:val="20"/>
        </w:rPr>
        <w:t>Objective: Take a targeted, dynamic history for a patient presenting with red eye or visual loss</w:t>
      </w:r>
    </w:p>
    <w:p w14:paraId="2BA46B98" w14:textId="77777777" w:rsidR="00B239C5" w:rsidRDefault="00000000">
      <w:pPr>
        <w:pStyle w:val="ListBullet"/>
        <w:spacing w:after="40"/>
      </w:pPr>
      <w:r>
        <w:rPr>
          <w:sz w:val="20"/>
        </w:rPr>
        <w:t>Approach: RED framework - R = Red flags, E = Eye examination findings needed, D = Differential + Decision</w:t>
      </w:r>
    </w:p>
    <w:p w14:paraId="5DC07C29" w14:textId="77777777" w:rsidR="00B239C5" w:rsidRDefault="00000000">
      <w:pPr>
        <w:pStyle w:val="ListBullet"/>
        <w:spacing w:after="40"/>
      </w:pPr>
      <w:r>
        <w:rPr>
          <w:sz w:val="20"/>
        </w:rPr>
        <w:t>History template: onset, duration, unilateral/bilateral, pain (type + severity), discharge (type), photophobia, VA change, flashes/floaters, visual field change, systemic symptoms</w:t>
      </w:r>
    </w:p>
    <w:p w14:paraId="3C6817D9" w14:textId="77777777" w:rsidR="00B239C5" w:rsidRDefault="00000000">
      <w:pPr>
        <w:pStyle w:val="ListBullet"/>
        <w:spacing w:after="40"/>
      </w:pPr>
      <w:r>
        <w:rPr>
          <w:sz w:val="20"/>
        </w:rPr>
        <w:t>Red flags to elicit: reduced VA, severe pain, fixed pupil, ciliary flush, contact lens use, GCA symptoms</w:t>
      </w:r>
    </w:p>
    <w:p w14:paraId="0067A957" w14:textId="77777777" w:rsidR="00B239C5" w:rsidRDefault="00000000">
      <w:pPr>
        <w:pStyle w:val="ListBullet"/>
        <w:spacing w:after="40"/>
      </w:pPr>
      <w:r>
        <w:rPr>
          <w:sz w:val="20"/>
        </w:rPr>
        <w:t>Cases to include: (a) Conjunctivitis - manage in primary care; (b) Anterior uveitis - refer same day; (c) Suspected GCA with visual loss - emergency</w:t>
      </w:r>
    </w:p>
    <w:p w14:paraId="23D8295A" w14:textId="77777777" w:rsidR="00B239C5" w:rsidRDefault="00000000">
      <w:pPr>
        <w:pStyle w:val="ListBullet"/>
        <w:spacing w:after="40"/>
      </w:pPr>
      <w:r>
        <w:rPr>
          <w:sz w:val="20"/>
        </w:rPr>
        <w:t>Teaching point: dynamic tailoring of history to degree of severity; what can I treat? what must I refer?</w:t>
      </w:r>
    </w:p>
    <w:p w14:paraId="36B724C2" w14:textId="77777777" w:rsidR="00B239C5" w:rsidRDefault="00000000">
      <w:pPr>
        <w:spacing w:before="200" w:after="80"/>
      </w:pPr>
      <w:r>
        <w:rPr>
          <w:b/>
          <w:color w:val="1B3A6B"/>
          <w:sz w:val="28"/>
        </w:rPr>
        <w:lastRenderedPageBreak/>
        <w:t>Station 2: Visual Acuity, Pupils, Cover Test (20 min)</w:t>
      </w:r>
    </w:p>
    <w:p w14:paraId="2B09FE25" w14:textId="77777777" w:rsidR="00B239C5" w:rsidRDefault="00000000">
      <w:pPr>
        <w:pStyle w:val="ListBullet"/>
        <w:spacing w:after="40"/>
      </w:pPr>
      <w:r>
        <w:rPr>
          <w:sz w:val="20"/>
        </w:rPr>
        <w:t>Equipment: Snellen chart (6m distance), occluder with pinhole, bright torch</w:t>
      </w:r>
    </w:p>
    <w:p w14:paraId="396798D9" w14:textId="77777777" w:rsidR="00B239C5" w:rsidRDefault="00000000">
      <w:pPr>
        <w:pStyle w:val="ListBullet"/>
        <w:spacing w:after="40"/>
      </w:pPr>
      <w:r>
        <w:rPr>
          <w:sz w:val="20"/>
        </w:rPr>
        <w:t>Visual acuity: test each eye separately; record with and without glasses; use pinhole to distinguish refractive vs pathological cause</w:t>
      </w:r>
    </w:p>
    <w:p w14:paraId="565F9AA4" w14:textId="77777777" w:rsidR="00B239C5" w:rsidRDefault="00000000">
      <w:pPr>
        <w:pStyle w:val="ListBullet"/>
        <w:spacing w:after="40"/>
      </w:pPr>
      <w:r>
        <w:rPr>
          <w:sz w:val="20"/>
        </w:rPr>
        <w:t>Snellen notation: top number = distance (usually 6m); bottom = distance at which a normal eye reads that line</w:t>
      </w:r>
    </w:p>
    <w:p w14:paraId="2CBC6F4E" w14:textId="77777777" w:rsidR="00B239C5" w:rsidRDefault="00000000">
      <w:pPr>
        <w:pStyle w:val="ListBullet"/>
        <w:spacing w:after="40"/>
      </w:pPr>
      <w:r>
        <w:rPr>
          <w:sz w:val="20"/>
        </w:rPr>
        <w:t>6/6 = normal; 6/12 = reads at 6m what normal eye reads at 12m; 6/60 = very poor; CF = counting fingers; HM = hand movements; PL = perception of light</w:t>
      </w:r>
    </w:p>
    <w:p w14:paraId="5406C220" w14:textId="77777777" w:rsidR="00B239C5" w:rsidRDefault="00000000">
      <w:pPr>
        <w:pStyle w:val="ListBullet"/>
        <w:spacing w:after="40"/>
      </w:pPr>
      <w:r>
        <w:rPr>
          <w:sz w:val="20"/>
        </w:rPr>
        <w:t>Pinhole: improves VA if refractive cause (myopia/astigmatism); does NOT improve if corneal/retinal/neurological cause</w:t>
      </w:r>
    </w:p>
    <w:p w14:paraId="225227B5" w14:textId="77777777" w:rsidR="00B239C5" w:rsidRDefault="00000000">
      <w:pPr>
        <w:pStyle w:val="ListBullet"/>
        <w:spacing w:after="40"/>
      </w:pPr>
      <w:r>
        <w:rPr>
          <w:sz w:val="20"/>
        </w:rPr>
        <w:t>Pupils: check size, shape, reaction to light (direct and consensual); RAPD testing with swinging torch test</w:t>
      </w:r>
    </w:p>
    <w:p w14:paraId="44CA1BAD" w14:textId="77777777" w:rsidR="00B239C5" w:rsidRDefault="00000000">
      <w:pPr>
        <w:pStyle w:val="ListBullet"/>
        <w:spacing w:after="40"/>
      </w:pPr>
      <w:r>
        <w:rPr>
          <w:sz w:val="20"/>
        </w:rPr>
        <w:t>RAPD = significant optic nerve or retinal disease on the side of the relative afferent defect</w:t>
      </w:r>
    </w:p>
    <w:p w14:paraId="18949C48" w14:textId="77777777" w:rsidR="00B239C5" w:rsidRDefault="00000000">
      <w:pPr>
        <w:pStyle w:val="ListBullet"/>
        <w:spacing w:after="40"/>
      </w:pPr>
      <w:r>
        <w:rPr>
          <w:sz w:val="20"/>
        </w:rPr>
        <w:t>Cover test: detect squint (strabismus); cover one eye - if other eye moves = squint present; use torch-corneal reflex for symmetry</w:t>
      </w:r>
    </w:p>
    <w:p w14:paraId="183C473B" w14:textId="77777777" w:rsidR="00B239C5" w:rsidRDefault="00000000">
      <w:pPr>
        <w:pStyle w:val="ListBullet"/>
        <w:spacing w:after="40"/>
      </w:pPr>
      <w:r>
        <w:rPr>
          <w:sz w:val="20"/>
        </w:rPr>
        <w:t>Teaching point: VA is the single most important examination finding in primary care ophthalmology</w:t>
      </w:r>
    </w:p>
    <w:p w14:paraId="5B856A70" w14:textId="77777777" w:rsidR="00B239C5" w:rsidRDefault="00000000">
      <w:pPr>
        <w:spacing w:before="200" w:after="80"/>
      </w:pPr>
      <w:r>
        <w:rPr>
          <w:b/>
          <w:color w:val="1B3A6B"/>
          <w:sz w:val="28"/>
        </w:rPr>
        <w:t>Station 3: Ophthalmoscopy and External Eye Examination (20 min)</w:t>
      </w:r>
    </w:p>
    <w:p w14:paraId="285139E2" w14:textId="77777777" w:rsidR="00B239C5" w:rsidRDefault="00000000">
      <w:pPr>
        <w:pStyle w:val="ListBullet"/>
        <w:spacing w:after="40"/>
      </w:pPr>
      <w:r>
        <w:rPr>
          <w:sz w:val="20"/>
        </w:rPr>
        <w:t>Equipment: direct ophthalmoscope, fluorescein strips/drops, cobalt blue filter, loupe, bright torch</w:t>
      </w:r>
    </w:p>
    <w:p w14:paraId="4F265BDB" w14:textId="77777777" w:rsidR="00B239C5" w:rsidRDefault="00000000">
      <w:pPr>
        <w:pStyle w:val="ListBullet"/>
        <w:spacing w:after="40"/>
      </w:pPr>
      <w:r>
        <w:rPr>
          <w:sz w:val="20"/>
        </w:rPr>
        <w:t>External exam: lids (blepharitis, entropion, ectropion, ptosis), conjunctiva (injection pattern - diffuse vs ciliary), cornea (clarity), anterior chamber depth (shallow = glaucoma risk)</w:t>
      </w:r>
    </w:p>
    <w:p w14:paraId="0D9EC8B6" w14:textId="77777777" w:rsidR="00B239C5" w:rsidRDefault="00000000">
      <w:pPr>
        <w:pStyle w:val="ListBullet"/>
        <w:spacing w:after="40"/>
      </w:pPr>
      <w:r>
        <w:rPr>
          <w:sz w:val="20"/>
        </w:rPr>
        <w:t>Evert upper lid technique: patient looks DOWN; place cotton bud at upper lid crease; evert lid over cotton bud; inspect for subtarsal FB</w:t>
      </w:r>
    </w:p>
    <w:p w14:paraId="1F86B407" w14:textId="77777777" w:rsidR="00B239C5" w:rsidRDefault="00000000">
      <w:pPr>
        <w:pStyle w:val="ListBullet"/>
        <w:spacing w:after="40"/>
      </w:pPr>
      <w:r>
        <w:rPr>
          <w:sz w:val="20"/>
        </w:rPr>
        <w:t>Fluorescein staining: stains epithelial defects green under cobalt blue light; look for: corneal abrasion (irregular patch), dendritic ulcer (branching pattern = HSV), punctate staining (dry eye/keratitis)</w:t>
      </w:r>
    </w:p>
    <w:p w14:paraId="0DB53614" w14:textId="77777777" w:rsidR="00B239C5" w:rsidRDefault="00000000">
      <w:pPr>
        <w:pStyle w:val="ListBullet"/>
        <w:spacing w:after="40"/>
      </w:pPr>
      <w:r>
        <w:rPr>
          <w:sz w:val="20"/>
        </w:rPr>
        <w:t>Ophthalmoscopy - systematic approach: (1) Set to +8 to check for lens/corneal opacity; (2) Reduce to 0 to examine disc; (3) Look at: disc (colour, margins, cup-disc ratio), vessels (A:V ratio, nipping, silver wiring), macula (last - ask patient to look at light), periphery</w:t>
      </w:r>
    </w:p>
    <w:p w14:paraId="7BE86651" w14:textId="77777777" w:rsidR="00B239C5" w:rsidRPr="00A7160D" w:rsidRDefault="00000000">
      <w:pPr>
        <w:pStyle w:val="ListBullet"/>
        <w:spacing w:after="40"/>
        <w:rPr>
          <w:lang w:val="fr-FR"/>
        </w:rPr>
      </w:pPr>
      <w:r w:rsidRPr="00A7160D">
        <w:rPr>
          <w:sz w:val="20"/>
          <w:lang w:val="fr-FR"/>
        </w:rPr>
        <w:t xml:space="preserve">Normal </w:t>
      </w:r>
      <w:proofErr w:type="spellStart"/>
      <w:proofErr w:type="gramStart"/>
      <w:r w:rsidRPr="00A7160D">
        <w:rPr>
          <w:sz w:val="20"/>
          <w:lang w:val="fr-FR"/>
        </w:rPr>
        <w:t>cup:disc</w:t>
      </w:r>
      <w:proofErr w:type="spellEnd"/>
      <w:proofErr w:type="gramEnd"/>
      <w:r w:rsidRPr="00A7160D">
        <w:rPr>
          <w:sz w:val="20"/>
          <w:lang w:val="fr-FR"/>
        </w:rPr>
        <w:t xml:space="preserve"> ratio &lt;0.5; &gt;0.7 = </w:t>
      </w:r>
      <w:proofErr w:type="spellStart"/>
      <w:r w:rsidRPr="00A7160D">
        <w:rPr>
          <w:sz w:val="20"/>
          <w:lang w:val="fr-FR"/>
        </w:rPr>
        <w:t>glaucoma</w:t>
      </w:r>
      <w:proofErr w:type="spellEnd"/>
      <w:r w:rsidRPr="00A7160D">
        <w:rPr>
          <w:sz w:val="20"/>
          <w:lang w:val="fr-FR"/>
        </w:rPr>
        <w:t xml:space="preserve"> suspect</w:t>
      </w:r>
    </w:p>
    <w:p w14:paraId="1DAA3574" w14:textId="77777777" w:rsidR="00B239C5" w:rsidRPr="00A7160D" w:rsidRDefault="00000000">
      <w:pPr>
        <w:pStyle w:val="ListBullet"/>
        <w:spacing w:after="40"/>
        <w:rPr>
          <w:lang w:val="fr-FR"/>
        </w:rPr>
      </w:pPr>
      <w:r w:rsidRPr="00A7160D">
        <w:rPr>
          <w:sz w:val="20"/>
          <w:lang w:val="fr-FR"/>
        </w:rPr>
        <w:t xml:space="preserve">Key </w:t>
      </w:r>
      <w:proofErr w:type="spellStart"/>
      <w:r w:rsidRPr="00A7160D">
        <w:rPr>
          <w:sz w:val="20"/>
          <w:lang w:val="fr-FR"/>
        </w:rPr>
        <w:t>fundal</w:t>
      </w:r>
      <w:proofErr w:type="spellEnd"/>
      <w:r w:rsidRPr="00A7160D">
        <w:rPr>
          <w:sz w:val="20"/>
          <w:lang w:val="fr-FR"/>
        </w:rPr>
        <w:t xml:space="preserve"> </w:t>
      </w:r>
      <w:proofErr w:type="spellStart"/>
      <w:proofErr w:type="gramStart"/>
      <w:r w:rsidRPr="00A7160D">
        <w:rPr>
          <w:sz w:val="20"/>
          <w:lang w:val="fr-FR"/>
        </w:rPr>
        <w:t>findings</w:t>
      </w:r>
      <w:proofErr w:type="spellEnd"/>
      <w:r w:rsidRPr="00A7160D">
        <w:rPr>
          <w:sz w:val="20"/>
          <w:lang w:val="fr-FR"/>
        </w:rPr>
        <w:t>:</w:t>
      </w:r>
      <w:proofErr w:type="gramEnd"/>
      <w:r w:rsidRPr="00A7160D">
        <w:rPr>
          <w:sz w:val="20"/>
          <w:lang w:val="fr-FR"/>
        </w:rPr>
        <w:t xml:space="preserve"> </w:t>
      </w:r>
      <w:proofErr w:type="spellStart"/>
      <w:r w:rsidRPr="00A7160D">
        <w:rPr>
          <w:sz w:val="20"/>
          <w:lang w:val="fr-FR"/>
        </w:rPr>
        <w:t>papilloedema</w:t>
      </w:r>
      <w:proofErr w:type="spellEnd"/>
      <w:r w:rsidRPr="00A7160D">
        <w:rPr>
          <w:sz w:val="20"/>
          <w:lang w:val="fr-FR"/>
        </w:rPr>
        <w:t xml:space="preserve"> (</w:t>
      </w:r>
      <w:proofErr w:type="spellStart"/>
      <w:r w:rsidRPr="00A7160D">
        <w:rPr>
          <w:sz w:val="20"/>
          <w:lang w:val="fr-FR"/>
        </w:rPr>
        <w:t>blurred</w:t>
      </w:r>
      <w:proofErr w:type="spellEnd"/>
      <w:r w:rsidRPr="00A7160D">
        <w:rPr>
          <w:sz w:val="20"/>
          <w:lang w:val="fr-FR"/>
        </w:rPr>
        <w:t xml:space="preserve"> disc </w:t>
      </w:r>
      <w:proofErr w:type="spellStart"/>
      <w:r w:rsidRPr="00A7160D">
        <w:rPr>
          <w:sz w:val="20"/>
          <w:lang w:val="fr-FR"/>
        </w:rPr>
        <w:t>margins</w:t>
      </w:r>
      <w:proofErr w:type="spellEnd"/>
      <w:r w:rsidRPr="00A7160D">
        <w:rPr>
          <w:sz w:val="20"/>
          <w:lang w:val="fr-FR"/>
        </w:rPr>
        <w:t xml:space="preserve">, </w:t>
      </w:r>
      <w:proofErr w:type="spellStart"/>
      <w:r w:rsidRPr="00A7160D">
        <w:rPr>
          <w:sz w:val="20"/>
          <w:lang w:val="fr-FR"/>
        </w:rPr>
        <w:t>venous</w:t>
      </w:r>
      <w:proofErr w:type="spellEnd"/>
      <w:r w:rsidRPr="00A7160D">
        <w:rPr>
          <w:sz w:val="20"/>
          <w:lang w:val="fr-FR"/>
        </w:rPr>
        <w:t xml:space="preserve"> pulsation absent); GCA-AION (pale </w:t>
      </w:r>
      <w:proofErr w:type="spellStart"/>
      <w:r w:rsidRPr="00A7160D">
        <w:rPr>
          <w:sz w:val="20"/>
          <w:lang w:val="fr-FR"/>
        </w:rPr>
        <w:t>swollen</w:t>
      </w:r>
      <w:proofErr w:type="spellEnd"/>
      <w:r w:rsidRPr="00A7160D">
        <w:rPr>
          <w:sz w:val="20"/>
          <w:lang w:val="fr-FR"/>
        </w:rPr>
        <w:t xml:space="preserve"> disc); CRVO (</w:t>
      </w:r>
      <w:proofErr w:type="spellStart"/>
      <w:r w:rsidRPr="00A7160D">
        <w:rPr>
          <w:sz w:val="20"/>
          <w:lang w:val="fr-FR"/>
        </w:rPr>
        <w:t>blood</w:t>
      </w:r>
      <w:proofErr w:type="spellEnd"/>
      <w:r w:rsidRPr="00A7160D">
        <w:rPr>
          <w:sz w:val="20"/>
          <w:lang w:val="fr-FR"/>
        </w:rPr>
        <w:t xml:space="preserve"> and </w:t>
      </w:r>
      <w:proofErr w:type="spellStart"/>
      <w:r w:rsidRPr="00A7160D">
        <w:rPr>
          <w:sz w:val="20"/>
          <w:lang w:val="fr-FR"/>
        </w:rPr>
        <w:t>thunder</w:t>
      </w:r>
      <w:proofErr w:type="spellEnd"/>
      <w:r w:rsidRPr="00A7160D">
        <w:rPr>
          <w:sz w:val="20"/>
          <w:lang w:val="fr-FR"/>
        </w:rPr>
        <w:t xml:space="preserve"> </w:t>
      </w:r>
      <w:proofErr w:type="spellStart"/>
      <w:r w:rsidRPr="00A7160D">
        <w:rPr>
          <w:sz w:val="20"/>
          <w:lang w:val="fr-FR"/>
        </w:rPr>
        <w:t>haemorrhages</w:t>
      </w:r>
      <w:proofErr w:type="spellEnd"/>
      <w:r w:rsidRPr="00A7160D">
        <w:rPr>
          <w:sz w:val="20"/>
          <w:lang w:val="fr-FR"/>
        </w:rPr>
        <w:t xml:space="preserve">); </w:t>
      </w:r>
      <w:proofErr w:type="spellStart"/>
      <w:r w:rsidRPr="00A7160D">
        <w:rPr>
          <w:sz w:val="20"/>
          <w:lang w:val="fr-FR"/>
        </w:rPr>
        <w:t>diabetic</w:t>
      </w:r>
      <w:proofErr w:type="spellEnd"/>
      <w:r w:rsidRPr="00A7160D">
        <w:rPr>
          <w:sz w:val="20"/>
          <w:lang w:val="fr-FR"/>
        </w:rPr>
        <w:t xml:space="preserve"> </w:t>
      </w:r>
      <w:proofErr w:type="spellStart"/>
      <w:r w:rsidRPr="00A7160D">
        <w:rPr>
          <w:sz w:val="20"/>
          <w:lang w:val="fr-FR"/>
        </w:rPr>
        <w:t>retinopathy</w:t>
      </w:r>
      <w:proofErr w:type="spellEnd"/>
      <w:r w:rsidRPr="00A7160D">
        <w:rPr>
          <w:sz w:val="20"/>
          <w:lang w:val="fr-FR"/>
        </w:rPr>
        <w:t xml:space="preserve"> (</w:t>
      </w:r>
      <w:proofErr w:type="spellStart"/>
      <w:r w:rsidRPr="00A7160D">
        <w:rPr>
          <w:sz w:val="20"/>
          <w:lang w:val="fr-FR"/>
        </w:rPr>
        <w:t>microaneurysms</w:t>
      </w:r>
      <w:proofErr w:type="spellEnd"/>
      <w:r w:rsidRPr="00A7160D">
        <w:rPr>
          <w:sz w:val="20"/>
          <w:lang w:val="fr-FR"/>
        </w:rPr>
        <w:t xml:space="preserve">, </w:t>
      </w:r>
      <w:proofErr w:type="spellStart"/>
      <w:r w:rsidRPr="00A7160D">
        <w:rPr>
          <w:sz w:val="20"/>
          <w:lang w:val="fr-FR"/>
        </w:rPr>
        <w:t>haemorrhages</w:t>
      </w:r>
      <w:proofErr w:type="spellEnd"/>
      <w:r w:rsidRPr="00A7160D">
        <w:rPr>
          <w:sz w:val="20"/>
          <w:lang w:val="fr-FR"/>
        </w:rPr>
        <w:t xml:space="preserve">, </w:t>
      </w:r>
      <w:proofErr w:type="spellStart"/>
      <w:r w:rsidRPr="00A7160D">
        <w:rPr>
          <w:sz w:val="20"/>
          <w:lang w:val="fr-FR"/>
        </w:rPr>
        <w:t>exudates</w:t>
      </w:r>
      <w:proofErr w:type="spellEnd"/>
      <w:r w:rsidRPr="00A7160D">
        <w:rPr>
          <w:sz w:val="20"/>
          <w:lang w:val="fr-FR"/>
        </w:rPr>
        <w:t xml:space="preserve">, new </w:t>
      </w:r>
      <w:proofErr w:type="spellStart"/>
      <w:r w:rsidRPr="00A7160D">
        <w:rPr>
          <w:sz w:val="20"/>
          <w:lang w:val="fr-FR"/>
        </w:rPr>
        <w:t>vessels</w:t>
      </w:r>
      <w:proofErr w:type="spellEnd"/>
      <w:r w:rsidRPr="00A7160D">
        <w:rPr>
          <w:sz w:val="20"/>
          <w:lang w:val="fr-FR"/>
        </w:rPr>
        <w:t>)</w:t>
      </w:r>
    </w:p>
    <w:p w14:paraId="25D158B7" w14:textId="77777777" w:rsidR="00B239C5" w:rsidRDefault="00000000">
      <w:pPr>
        <w:pStyle w:val="ListBullet"/>
        <w:spacing w:after="40"/>
      </w:pPr>
      <w:r>
        <w:rPr>
          <w:sz w:val="20"/>
        </w:rPr>
        <w:t xml:space="preserve">Dilating pupils: tropicamide 1% - ask if driving; warn of blurred close vision for 4-6 </w:t>
      </w:r>
      <w:proofErr w:type="gramStart"/>
      <w:r>
        <w:rPr>
          <w:sz w:val="20"/>
        </w:rPr>
        <w:t>hours</w:t>
      </w:r>
      <w:proofErr w:type="gramEnd"/>
    </w:p>
    <w:p w14:paraId="6B453972" w14:textId="77777777" w:rsidR="00B239C5" w:rsidRDefault="00000000">
      <w:pPr>
        <w:spacing w:before="200" w:after="80"/>
      </w:pPr>
      <w:r>
        <w:rPr>
          <w:b/>
          <w:color w:val="1B3A6B"/>
          <w:sz w:val="28"/>
        </w:rPr>
        <w:t>Station 4: Optometry and Eye Screening (20 min)</w:t>
      </w:r>
    </w:p>
    <w:p w14:paraId="59B9C9DE" w14:textId="77777777" w:rsidR="00B239C5" w:rsidRDefault="00000000">
      <w:pPr>
        <w:pStyle w:val="ListBullet"/>
        <w:spacing w:after="40"/>
      </w:pPr>
      <w:r>
        <w:rPr>
          <w:sz w:val="20"/>
        </w:rPr>
        <w:t>What optometrists do: refraction, IOP measurement, visual fields, disc assessment, fundoscopy, slit-lamp examination, corneal topography</w:t>
      </w:r>
    </w:p>
    <w:p w14:paraId="47822270" w14:textId="77777777" w:rsidR="00B239C5" w:rsidRDefault="00000000">
      <w:pPr>
        <w:pStyle w:val="ListBullet"/>
        <w:spacing w:after="40"/>
      </w:pPr>
      <w:r>
        <w:rPr>
          <w:sz w:val="20"/>
        </w:rPr>
        <w:t>GOS18 form: General Ophthalmic Services - free NHS eye tests for eligible patients (over 60, diabetics, glaucoma history, children, certain benefit recipients)</w:t>
      </w:r>
    </w:p>
    <w:p w14:paraId="667005E4" w14:textId="77777777" w:rsidR="00B239C5" w:rsidRDefault="00000000">
      <w:pPr>
        <w:pStyle w:val="ListBullet"/>
        <w:spacing w:after="40"/>
      </w:pPr>
      <w:r>
        <w:rPr>
          <w:sz w:val="20"/>
        </w:rPr>
        <w:t>Direct optometrist referral to ophthalmology: optometrists can refer directly - GPs should be aware of this and accept/act on optometrist referrals</w:t>
      </w:r>
    </w:p>
    <w:p w14:paraId="729EE88C" w14:textId="77777777" w:rsidR="00B239C5" w:rsidRDefault="00000000">
      <w:pPr>
        <w:pStyle w:val="ListBullet"/>
        <w:spacing w:after="40"/>
      </w:pPr>
      <w:r>
        <w:rPr>
          <w:sz w:val="20"/>
        </w:rPr>
        <w:t>Cataract pathway: optometrist detects; refers to ophthalmology for assessment and surgical listing</w:t>
      </w:r>
    </w:p>
    <w:p w14:paraId="554C3234" w14:textId="77777777" w:rsidR="00B239C5" w:rsidRDefault="00000000">
      <w:pPr>
        <w:pStyle w:val="ListBullet"/>
        <w:spacing w:after="40"/>
      </w:pPr>
      <w:r>
        <w:rPr>
          <w:sz w:val="20"/>
        </w:rPr>
        <w:t>Glaucoma monitoring: optometrists can monitor glaucoma suspects in shared-care schemes in many areas</w:t>
      </w:r>
    </w:p>
    <w:p w14:paraId="672ECBBB" w14:textId="77777777" w:rsidR="00B239C5" w:rsidRDefault="00000000">
      <w:pPr>
        <w:pStyle w:val="ListBullet"/>
        <w:spacing w:after="40"/>
      </w:pPr>
      <w:r>
        <w:rPr>
          <w:sz w:val="20"/>
        </w:rPr>
        <w:t>"Please investigate..." referral letters: be specific about what you want; include VA, history, urgency</w:t>
      </w:r>
    </w:p>
    <w:p w14:paraId="094AB2C8" w14:textId="77777777" w:rsidR="00B239C5" w:rsidRDefault="00000000">
      <w:pPr>
        <w:pStyle w:val="ListBullet"/>
        <w:spacing w:after="40"/>
      </w:pPr>
      <w:r>
        <w:rPr>
          <w:sz w:val="20"/>
        </w:rPr>
        <w:t>Teaching point: optometrists are a key primary care resource - avoid duplicating their assessment; understand when to go direct to ophthalmology vs optometrist</w:t>
      </w:r>
    </w:p>
    <w:p w14:paraId="11B96113" w14:textId="77777777" w:rsidR="00B239C5" w:rsidRDefault="00000000">
      <w:pPr>
        <w:spacing w:before="200" w:after="80"/>
      </w:pPr>
      <w:r>
        <w:rPr>
          <w:b/>
          <w:color w:val="1B3A6B"/>
          <w:sz w:val="36"/>
        </w:rPr>
        <w:lastRenderedPageBreak/>
        <w:t>Core Curriculum - Ophthalmology Conditions for GP Trainees</w:t>
      </w:r>
    </w:p>
    <w:p w14:paraId="0FCDD525" w14:textId="77777777" w:rsidR="00B239C5" w:rsidRDefault="00000000">
      <w:pPr>
        <w:spacing w:before="200" w:after="80"/>
      </w:pPr>
      <w:r>
        <w:rPr>
          <w:b/>
          <w:color w:val="1B3A6B"/>
          <w:sz w:val="28"/>
        </w:rPr>
        <w:t>Conditions to DIAGNOSE and MANAGE in primary care</w:t>
      </w:r>
    </w:p>
    <w:p w14:paraId="6676AB9B" w14:textId="77777777" w:rsidR="00B239C5" w:rsidRDefault="00000000">
      <w:pPr>
        <w:pStyle w:val="ListBullet"/>
        <w:spacing w:after="40"/>
      </w:pPr>
      <w:r>
        <w:rPr>
          <w:sz w:val="20"/>
        </w:rPr>
        <w:t>Bacterial conjunctivitis - chloramphenicol 0.5% drops 1 drop every 2h x48h then QDS (NICE CKS)</w:t>
      </w:r>
    </w:p>
    <w:p w14:paraId="71A237DE" w14:textId="77777777" w:rsidR="00B239C5" w:rsidRDefault="00000000">
      <w:pPr>
        <w:pStyle w:val="ListBullet"/>
        <w:spacing w:after="40"/>
      </w:pPr>
      <w:r>
        <w:rPr>
          <w:sz w:val="20"/>
        </w:rPr>
        <w:t>Viral conjunctivitis - supportive care only; highly contagious (adenovirus); no antibiotics</w:t>
      </w:r>
    </w:p>
    <w:p w14:paraId="77462253" w14:textId="77777777" w:rsidR="00B239C5" w:rsidRDefault="00000000">
      <w:pPr>
        <w:pStyle w:val="ListBullet"/>
        <w:spacing w:after="40"/>
      </w:pPr>
      <w:r>
        <w:rPr>
          <w:sz w:val="20"/>
        </w:rPr>
        <w:t>Allergic conjunctivitis - olopatadine (first-line); sodium cromoglicate; antihistamine eye drops</w:t>
      </w:r>
    </w:p>
    <w:p w14:paraId="589FD2E5" w14:textId="77777777" w:rsidR="00B239C5" w:rsidRDefault="00000000">
      <w:pPr>
        <w:pStyle w:val="ListBullet"/>
        <w:spacing w:after="40"/>
      </w:pPr>
      <w:r>
        <w:rPr>
          <w:sz w:val="20"/>
        </w:rPr>
        <w:t>Episcleritis - reassure; self-limiting; topical lubricants</w:t>
      </w:r>
    </w:p>
    <w:p w14:paraId="066A8811" w14:textId="77777777" w:rsidR="00B239C5" w:rsidRDefault="00000000">
      <w:pPr>
        <w:pStyle w:val="ListBullet"/>
        <w:spacing w:after="40"/>
      </w:pPr>
      <w:r>
        <w:rPr>
          <w:sz w:val="20"/>
        </w:rPr>
        <w:t>Subconjunctival haemorrhage - reassure; check BP; review anticoagulation</w:t>
      </w:r>
    </w:p>
    <w:p w14:paraId="3FF2A4BB" w14:textId="77777777" w:rsidR="00B239C5" w:rsidRDefault="00000000">
      <w:pPr>
        <w:pStyle w:val="ListBullet"/>
        <w:spacing w:after="40"/>
      </w:pPr>
      <w:r>
        <w:rPr>
          <w:sz w:val="20"/>
        </w:rPr>
        <w:t>Blepharitis - lid hygiene (warm compresses + lid scrubs); long-term management</w:t>
      </w:r>
    </w:p>
    <w:p w14:paraId="5AA66862" w14:textId="77777777" w:rsidR="00B239C5" w:rsidRDefault="00000000">
      <w:pPr>
        <w:pStyle w:val="ListBullet"/>
        <w:spacing w:after="40"/>
      </w:pPr>
      <w:r>
        <w:rPr>
          <w:sz w:val="20"/>
        </w:rPr>
        <w:t>Dry eye - artificial tears; treat underlying cause</w:t>
      </w:r>
    </w:p>
    <w:p w14:paraId="3CFF5842" w14:textId="77777777" w:rsidR="00B239C5" w:rsidRDefault="00000000">
      <w:pPr>
        <w:pStyle w:val="ListBullet"/>
        <w:spacing w:after="40"/>
      </w:pPr>
      <w:r>
        <w:rPr>
          <w:sz w:val="20"/>
        </w:rPr>
        <w:t>Corneal abrasion (non-contact lens) - topical chloramphenicol; no patching; review in 48h</w:t>
      </w:r>
    </w:p>
    <w:p w14:paraId="2AE9C1F5" w14:textId="77777777" w:rsidR="00B239C5" w:rsidRDefault="00000000">
      <w:pPr>
        <w:pStyle w:val="ListBullet"/>
        <w:spacing w:after="40"/>
      </w:pPr>
      <w:r>
        <w:rPr>
          <w:sz w:val="20"/>
        </w:rPr>
        <w:t>Arc eye (UV keratitis) - analgesia; lubricants; dark glasses; self-limiting</w:t>
      </w:r>
    </w:p>
    <w:p w14:paraId="64C28FA5" w14:textId="77777777" w:rsidR="00B239C5" w:rsidRDefault="00000000">
      <w:pPr>
        <w:pStyle w:val="ListBullet"/>
        <w:spacing w:after="40"/>
      </w:pPr>
      <w:r>
        <w:rPr>
          <w:sz w:val="20"/>
        </w:rPr>
        <w:t>Stye/chalazion - warm compresses; antibiotics if spreading</w:t>
      </w:r>
    </w:p>
    <w:p w14:paraId="170D9D43" w14:textId="77777777" w:rsidR="00B239C5" w:rsidRDefault="00000000">
      <w:pPr>
        <w:spacing w:before="200" w:after="80"/>
      </w:pPr>
      <w:r>
        <w:rPr>
          <w:b/>
          <w:color w:val="1B3A6B"/>
          <w:sz w:val="28"/>
        </w:rPr>
        <w:t>Conditions to REFER URGENTLY (same day)</w:t>
      </w:r>
    </w:p>
    <w:p w14:paraId="0056D189" w14:textId="77777777" w:rsidR="00B239C5" w:rsidRDefault="00000000">
      <w:pPr>
        <w:pStyle w:val="ListBullet"/>
        <w:spacing w:after="40"/>
      </w:pPr>
      <w:r>
        <w:rPr>
          <w:sz w:val="20"/>
        </w:rPr>
        <w:t>Anterior uveitis (iritis) - all first episodes; steroid + cycloplegic drops by ophthalmology</w:t>
      </w:r>
    </w:p>
    <w:p w14:paraId="1DB11F1B" w14:textId="77777777" w:rsidR="00B239C5" w:rsidRDefault="00000000">
      <w:pPr>
        <w:pStyle w:val="ListBullet"/>
        <w:spacing w:after="40"/>
      </w:pPr>
      <w:r>
        <w:rPr>
          <w:sz w:val="20"/>
        </w:rPr>
        <w:t>Acute angle closure glaucoma - EMERGENCY; IV acetazolamide; laser iridotomy</w:t>
      </w:r>
    </w:p>
    <w:p w14:paraId="2F031A57" w14:textId="77777777" w:rsidR="00B239C5" w:rsidRDefault="00000000">
      <w:pPr>
        <w:pStyle w:val="ListBullet"/>
        <w:spacing w:after="40"/>
      </w:pPr>
      <w:r>
        <w:rPr>
          <w:sz w:val="20"/>
        </w:rPr>
        <w:t>Suspected keratitis (bacterial or herpetic)</w:t>
      </w:r>
    </w:p>
    <w:p w14:paraId="25164111" w14:textId="77777777" w:rsidR="00B239C5" w:rsidRDefault="00000000">
      <w:pPr>
        <w:pStyle w:val="ListBullet"/>
        <w:spacing w:after="40"/>
      </w:pPr>
      <w:r>
        <w:rPr>
          <w:sz w:val="20"/>
        </w:rPr>
        <w:t>Retinal detachment with visual field loss</w:t>
      </w:r>
    </w:p>
    <w:p w14:paraId="61CAEB43" w14:textId="77777777" w:rsidR="00B239C5" w:rsidRDefault="00000000">
      <w:pPr>
        <w:pStyle w:val="ListBullet"/>
        <w:spacing w:after="40"/>
      </w:pPr>
      <w:r>
        <w:rPr>
          <w:sz w:val="20"/>
        </w:rPr>
        <w:t>GCA with visual symptoms - IV methylprednisolone + ophthalmology same day</w:t>
      </w:r>
    </w:p>
    <w:p w14:paraId="40B04B1F" w14:textId="77777777" w:rsidR="00B239C5" w:rsidRDefault="00000000">
      <w:pPr>
        <w:pStyle w:val="ListBullet"/>
        <w:spacing w:after="40"/>
      </w:pPr>
      <w:r>
        <w:rPr>
          <w:sz w:val="20"/>
        </w:rPr>
        <w:t>CRAO (retinal artery occlusion)</w:t>
      </w:r>
    </w:p>
    <w:p w14:paraId="463EBFAD" w14:textId="77777777" w:rsidR="00B239C5" w:rsidRDefault="00000000">
      <w:pPr>
        <w:pStyle w:val="ListBullet"/>
        <w:spacing w:after="40"/>
      </w:pPr>
      <w:r>
        <w:rPr>
          <w:sz w:val="20"/>
        </w:rPr>
        <w:t>Hyphema (blood in anterior chamber)</w:t>
      </w:r>
    </w:p>
    <w:p w14:paraId="704C1A66" w14:textId="77777777" w:rsidR="00B239C5" w:rsidRDefault="00000000">
      <w:pPr>
        <w:pStyle w:val="ListBullet"/>
        <w:spacing w:after="40"/>
      </w:pPr>
      <w:r>
        <w:rPr>
          <w:sz w:val="20"/>
        </w:rPr>
        <w:t>Penetrating eye injury</w:t>
      </w:r>
    </w:p>
    <w:p w14:paraId="329DB0FE" w14:textId="77777777" w:rsidR="00B239C5" w:rsidRDefault="00000000">
      <w:pPr>
        <w:pStyle w:val="ListBullet"/>
        <w:spacing w:after="40"/>
      </w:pPr>
      <w:r>
        <w:rPr>
          <w:sz w:val="20"/>
        </w:rPr>
        <w:t>Chemical eye injury (irrigate FIRST)</w:t>
      </w:r>
    </w:p>
    <w:p w14:paraId="669BD684" w14:textId="77777777" w:rsidR="00B239C5" w:rsidRDefault="00000000">
      <w:pPr>
        <w:pStyle w:val="ListBullet"/>
        <w:spacing w:after="40"/>
      </w:pPr>
      <w:r>
        <w:rPr>
          <w:sz w:val="20"/>
        </w:rPr>
        <w:t>Orbital cellulitis</w:t>
      </w:r>
    </w:p>
    <w:p w14:paraId="0381626B" w14:textId="77777777" w:rsidR="00B239C5" w:rsidRDefault="00000000">
      <w:pPr>
        <w:pStyle w:val="ListBullet"/>
        <w:spacing w:after="40"/>
      </w:pPr>
      <w:r>
        <w:rPr>
          <w:sz w:val="20"/>
        </w:rPr>
        <w:t>Corneal abrasion in contact lens wearers</w:t>
      </w:r>
    </w:p>
    <w:p w14:paraId="15A95BE5" w14:textId="77777777" w:rsidR="00B239C5" w:rsidRDefault="00000000">
      <w:pPr>
        <w:spacing w:before="200" w:after="80"/>
      </w:pPr>
      <w:r>
        <w:rPr>
          <w:b/>
          <w:color w:val="1B3A6B"/>
          <w:sz w:val="28"/>
        </w:rPr>
        <w:t>Conditions to REFER URGENTLY (within 1-2 weeks)</w:t>
      </w:r>
    </w:p>
    <w:p w14:paraId="1D371C70" w14:textId="77777777" w:rsidR="00B239C5" w:rsidRDefault="00000000">
      <w:pPr>
        <w:pStyle w:val="ListBullet"/>
        <w:spacing w:after="40"/>
      </w:pPr>
      <w:r>
        <w:rPr>
          <w:sz w:val="20"/>
        </w:rPr>
        <w:t>Wet AMD (wavy lines - metamorphopsia) - anti-VEGF treatment</w:t>
      </w:r>
    </w:p>
    <w:p w14:paraId="664AA9A9" w14:textId="77777777" w:rsidR="00B239C5" w:rsidRDefault="00000000">
      <w:pPr>
        <w:pStyle w:val="ListBullet"/>
        <w:spacing w:after="40"/>
      </w:pPr>
      <w:r>
        <w:rPr>
          <w:sz w:val="20"/>
        </w:rPr>
        <w:t>New flashes + floaters without field loss - retinal tear screening</w:t>
      </w:r>
    </w:p>
    <w:p w14:paraId="595BA258" w14:textId="77777777" w:rsidR="00B239C5" w:rsidRDefault="00000000">
      <w:pPr>
        <w:pStyle w:val="ListBullet"/>
        <w:spacing w:after="40"/>
      </w:pPr>
      <w:r>
        <w:rPr>
          <w:sz w:val="20"/>
        </w:rPr>
        <w:t>GCA without visual symptoms - fast-track GCA clinic</w:t>
      </w:r>
    </w:p>
    <w:p w14:paraId="2B6FDDAA" w14:textId="77777777" w:rsidR="00B239C5" w:rsidRDefault="00000000">
      <w:pPr>
        <w:pStyle w:val="ListBullet"/>
        <w:spacing w:after="40"/>
      </w:pPr>
      <w:r>
        <w:rPr>
          <w:sz w:val="20"/>
        </w:rPr>
        <w:t>Vitreous haemorrhage</w:t>
      </w:r>
    </w:p>
    <w:p w14:paraId="7D979879" w14:textId="77777777" w:rsidR="00B239C5" w:rsidRDefault="00000000">
      <w:pPr>
        <w:pStyle w:val="ListBullet"/>
        <w:spacing w:after="40"/>
      </w:pPr>
      <w:r>
        <w:rPr>
          <w:sz w:val="20"/>
        </w:rPr>
        <w:t>Optic neuritis</w:t>
      </w:r>
    </w:p>
    <w:p w14:paraId="3BC1525E" w14:textId="77777777" w:rsidR="00B239C5" w:rsidRDefault="00000000">
      <w:pPr>
        <w:pStyle w:val="ListBullet"/>
        <w:spacing w:after="40"/>
      </w:pPr>
      <w:r>
        <w:rPr>
          <w:sz w:val="20"/>
        </w:rPr>
        <w:t>CRVO/BRVO</w:t>
      </w:r>
    </w:p>
    <w:p w14:paraId="0281B618" w14:textId="77777777" w:rsidR="00B239C5" w:rsidRDefault="00000000">
      <w:pPr>
        <w:pStyle w:val="ListBullet"/>
        <w:spacing w:after="40"/>
      </w:pPr>
      <w:r>
        <w:rPr>
          <w:sz w:val="20"/>
        </w:rPr>
        <w:t>Amaurosis fugax (also TIA pathway)</w:t>
      </w:r>
    </w:p>
    <w:p w14:paraId="4533774F" w14:textId="77777777" w:rsidR="00B239C5" w:rsidRDefault="00000000">
      <w:pPr>
        <w:pStyle w:val="ListBullet"/>
        <w:spacing w:after="40"/>
      </w:pPr>
      <w:r>
        <w:rPr>
          <w:sz w:val="20"/>
        </w:rPr>
        <w:t>Papilloedema (urgent neuroimaging)</w:t>
      </w:r>
    </w:p>
    <w:p w14:paraId="6A301EF8" w14:textId="77777777" w:rsidR="00A7160D" w:rsidRDefault="00A7160D">
      <w:pPr>
        <w:rPr>
          <w:b/>
          <w:color w:val="1B3A6B"/>
          <w:sz w:val="36"/>
        </w:rPr>
      </w:pPr>
      <w:r>
        <w:rPr>
          <w:b/>
          <w:color w:val="1B3A6B"/>
          <w:sz w:val="36"/>
        </w:rPr>
        <w:br w:type="page"/>
      </w:r>
    </w:p>
    <w:p w14:paraId="6274DB34" w14:textId="4CD6DEDA" w:rsidR="00B239C5" w:rsidRDefault="00000000">
      <w:pPr>
        <w:spacing w:before="200" w:after="80"/>
      </w:pPr>
      <w:r>
        <w:rPr>
          <w:b/>
          <w:color w:val="1B3A6B"/>
          <w:sz w:val="36"/>
        </w:rPr>
        <w:lastRenderedPageBreak/>
        <w:t>Facilitator Tips</w:t>
      </w:r>
    </w:p>
    <w:p w14:paraId="380A5200" w14:textId="77777777" w:rsidR="00B239C5" w:rsidRDefault="00000000">
      <w:pPr>
        <w:pStyle w:val="ListBullet"/>
        <w:spacing w:after="40"/>
      </w:pPr>
      <w:r>
        <w:rPr>
          <w:sz w:val="20"/>
        </w:rPr>
        <w:t>Calibrate to the group early - ask simple knowledge questions; adjust depth accordingly</w:t>
      </w:r>
    </w:p>
    <w:p w14:paraId="7EF8AA5B" w14:textId="77777777" w:rsidR="00B239C5" w:rsidRDefault="00000000">
      <w:pPr>
        <w:pStyle w:val="ListBullet"/>
        <w:spacing w:after="40"/>
      </w:pPr>
      <w:r>
        <w:rPr>
          <w:sz w:val="20"/>
        </w:rPr>
        <w:t>Keep the atmosphere relaxed and non-threatening - GP trainees are often anxious about eyes</w:t>
      </w:r>
    </w:p>
    <w:p w14:paraId="24AC5587" w14:textId="77777777" w:rsidR="00B239C5" w:rsidRDefault="00000000">
      <w:pPr>
        <w:pStyle w:val="ListBullet"/>
        <w:spacing w:after="40"/>
      </w:pPr>
      <w:r>
        <w:rPr>
          <w:sz w:val="20"/>
        </w:rPr>
        <w:t>Use real cases or clinical photos to illustrate conditions wherever possible</w:t>
      </w:r>
    </w:p>
    <w:p w14:paraId="0259E840" w14:textId="77777777" w:rsidR="00B239C5" w:rsidRDefault="00000000">
      <w:pPr>
        <w:pStyle w:val="ListBullet"/>
        <w:spacing w:after="40"/>
      </w:pPr>
      <w:r>
        <w:rPr>
          <w:sz w:val="20"/>
        </w:rPr>
        <w:t>Emphasise: it is always better to refer and be safe than to miss a sight-threatening condition</w:t>
      </w:r>
    </w:p>
    <w:p w14:paraId="4E2F884F" w14:textId="77777777" w:rsidR="00B239C5" w:rsidRDefault="00000000">
      <w:pPr>
        <w:pStyle w:val="ListBullet"/>
        <w:spacing w:after="40"/>
      </w:pPr>
      <w:r>
        <w:rPr>
          <w:sz w:val="20"/>
        </w:rPr>
        <w:t>Highlight the 5 questions that change management: (1) Is VA reduced? (2) Is there ciliary flush? (3) Is the pupil abnormal? (4) Is the cornea hazy? (5) Is the patient a contact lens wearer?</w:t>
      </w:r>
    </w:p>
    <w:p w14:paraId="108D2D39" w14:textId="77777777" w:rsidR="00B239C5" w:rsidRDefault="00000000">
      <w:pPr>
        <w:pStyle w:val="ListBullet"/>
        <w:spacing w:after="40"/>
      </w:pPr>
      <w:r>
        <w:rPr>
          <w:sz w:val="20"/>
        </w:rPr>
        <w:t>Safety-netting language: model good SCA communication - "come back if worse, or within 48 hours if not improving"</w:t>
      </w:r>
    </w:p>
    <w:p w14:paraId="130CAB1E" w14:textId="77777777" w:rsidR="00B239C5" w:rsidRPr="00A7160D" w:rsidRDefault="00000000">
      <w:pPr>
        <w:pStyle w:val="ListBullet"/>
        <w:spacing w:after="40"/>
      </w:pPr>
      <w:r>
        <w:rPr>
          <w:sz w:val="20"/>
        </w:rPr>
        <w:t xml:space="preserve">Involve optometrist facilitator in Station 4 - their perspective on primary care interface is </w:t>
      </w:r>
      <w:proofErr w:type="gramStart"/>
      <w:r>
        <w:rPr>
          <w:sz w:val="20"/>
        </w:rPr>
        <w:t>invaluable</w:t>
      </w:r>
      <w:proofErr w:type="gramEnd"/>
    </w:p>
    <w:p w14:paraId="33DA638B" w14:textId="77777777" w:rsidR="00A7160D" w:rsidRDefault="00A7160D" w:rsidP="00A7160D">
      <w:pPr>
        <w:pStyle w:val="ListBullet"/>
        <w:numPr>
          <w:ilvl w:val="0"/>
          <w:numId w:val="0"/>
        </w:numPr>
        <w:spacing w:after="40"/>
        <w:ind w:left="360" w:hanging="360"/>
        <w:rPr>
          <w:sz w:val="20"/>
        </w:rPr>
      </w:pPr>
    </w:p>
    <w:p w14:paraId="45709DA3" w14:textId="77777777" w:rsidR="00A7160D" w:rsidRDefault="00A7160D" w:rsidP="00A7160D">
      <w:pPr>
        <w:pStyle w:val="ListBullet"/>
        <w:numPr>
          <w:ilvl w:val="0"/>
          <w:numId w:val="0"/>
        </w:numPr>
        <w:spacing w:after="40"/>
        <w:ind w:left="360" w:hanging="36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06"/>
      </w:tblGrid>
      <w:tr w:rsidR="00B239C5" w14:paraId="10AF8516" w14:textId="77777777">
        <w:trPr>
          <w:jc w:val="center"/>
        </w:trPr>
        <w:tc>
          <w:tcPr>
            <w:tcW w:w="9406" w:type="dxa"/>
            <w:shd w:val="clear" w:color="auto" w:fill="1B3A6B"/>
          </w:tcPr>
          <w:p w14:paraId="680D5558" w14:textId="77777777" w:rsidR="00B239C5" w:rsidRPr="00A7160D" w:rsidRDefault="00B239C5">
            <w:pPr>
              <w:rPr>
                <w:color w:val="FFFF00"/>
              </w:rPr>
            </w:pPr>
          </w:p>
          <w:p w14:paraId="628FFAB1" w14:textId="77777777" w:rsidR="00B239C5" w:rsidRPr="00A7160D" w:rsidRDefault="00000000">
            <w:pPr>
              <w:spacing w:before="80" w:after="80"/>
              <w:rPr>
                <w:color w:val="FFFF00"/>
              </w:rPr>
            </w:pPr>
            <w:r w:rsidRPr="00A7160D">
              <w:rPr>
                <w:b/>
                <w:color w:val="FFFF00"/>
              </w:rPr>
              <w:t>KEY CLINICAL RULES FOR GP TRAINEES</w:t>
            </w:r>
          </w:p>
          <w:p w14:paraId="48913D74" w14:textId="77777777" w:rsidR="00B239C5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Any red eye with reduced VA = refer same day (never simple conjunctivitis)</w:t>
            </w:r>
          </w:p>
          <w:p w14:paraId="06EF6D3A" w14:textId="77777777" w:rsidR="00B239C5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Ciliary flush = serious = uveitis, glaucoma, or keratitis</w:t>
            </w:r>
          </w:p>
          <w:p w14:paraId="2A3DF4A2" w14:textId="77777777" w:rsidR="00B239C5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NEVER use topical steroids in a red eye without slit-lamp HSV exclusion</w:t>
            </w:r>
          </w:p>
          <w:p w14:paraId="25DEA4EC" w14:textId="77777777" w:rsidR="00B239C5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Flashes + floaters + field loss = retinal detachment = EMERGENCY</w:t>
            </w:r>
          </w:p>
          <w:p w14:paraId="6969C2CE" w14:textId="77777777" w:rsidR="00B239C5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GCA in &gt;50 + visual symptoms = IV methylprednisolone NOW (before biopsy)</w:t>
            </w:r>
          </w:p>
          <w:p w14:paraId="19634735" w14:textId="77777777" w:rsidR="00B239C5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Contact lens + red eye + pain = microbial keratitis = EMERGENCY</w:t>
            </w:r>
          </w:p>
        </w:tc>
      </w:tr>
    </w:tbl>
    <w:p w14:paraId="389165C0" w14:textId="77777777" w:rsidR="00B239C5" w:rsidRDefault="00B239C5">
      <w:pPr>
        <w:spacing w:after="80"/>
      </w:pPr>
    </w:p>
    <w:p w14:paraId="3CF9388A" w14:textId="77777777" w:rsidR="00B239C5" w:rsidRDefault="00B239C5"/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B239C5" w14:paraId="2BC63577" w14:textId="77777777">
        <w:tc>
          <w:tcPr>
            <w:tcW w:w="9406" w:type="dxa"/>
            <w:shd w:val="clear" w:color="auto" w:fill="FFF3E0"/>
          </w:tcPr>
          <w:p w14:paraId="3FFACC0B" w14:textId="77777777" w:rsidR="00B239C5" w:rsidRDefault="00B239C5"/>
          <w:p w14:paraId="13728788" w14:textId="77777777" w:rsidR="00B239C5" w:rsidRDefault="00000000">
            <w:pPr>
              <w:spacing w:before="120" w:after="120"/>
            </w:pPr>
            <w:r>
              <w:rPr>
                <w:i/>
                <w:sz w:val="18"/>
              </w:rPr>
              <w:t>WARNING: Always double check this advice and drug doses with the latest NICE/BNF guidance. This document is for educational purposes only.</w:t>
            </w:r>
          </w:p>
        </w:tc>
      </w:tr>
    </w:tbl>
    <w:p w14:paraId="6DFDCD86" w14:textId="77777777" w:rsidR="00B239C5" w:rsidRDefault="00000000">
      <w:pPr>
        <w:spacing w:after="120"/>
        <w:jc w:val="center"/>
      </w:pPr>
      <w:r>
        <w:rPr>
          <w:color w:val="888888"/>
          <w:sz w:val="16"/>
        </w:rPr>
        <w:t>A free resource provided by www.bradfordvts.co.uk, Dr Ramesh Mehay, revised May 2026.</w:t>
      </w:r>
    </w:p>
    <w:sectPr w:rsidR="00B239C5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7197730">
    <w:abstractNumId w:val="8"/>
  </w:num>
  <w:num w:numId="2" w16cid:durableId="1918592384">
    <w:abstractNumId w:val="6"/>
  </w:num>
  <w:num w:numId="3" w16cid:durableId="461387968">
    <w:abstractNumId w:val="5"/>
  </w:num>
  <w:num w:numId="4" w16cid:durableId="1657146599">
    <w:abstractNumId w:val="4"/>
  </w:num>
  <w:num w:numId="5" w16cid:durableId="946351590">
    <w:abstractNumId w:val="7"/>
  </w:num>
  <w:num w:numId="6" w16cid:durableId="1316107647">
    <w:abstractNumId w:val="3"/>
  </w:num>
  <w:num w:numId="7" w16cid:durableId="1220362388">
    <w:abstractNumId w:val="2"/>
  </w:num>
  <w:num w:numId="8" w16cid:durableId="1064451859">
    <w:abstractNumId w:val="1"/>
  </w:num>
  <w:num w:numId="9" w16cid:durableId="2140493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7160D"/>
    <w:rsid w:val="00AA1D8D"/>
    <w:rsid w:val="00B239C5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14A57D"/>
  <w14:defaultImageDpi w14:val="300"/>
  <w15:docId w15:val="{C8E42C68-20C0-4FE5-BCD1-E3A8A161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2026-06-06T14:41:00Z</dcterms:modified>
  <cp:category/>
</cp:coreProperties>
</file>