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before="240"/>
      </w:pPr>
      <w:r>
        <w:rPr>
          <w:rFonts w:ascii="Arial" w:cs="Arial" w:eastAsia="Arial" w:hAnsi="Arial"/>
          <w:b/>
          <w:bCs/>
          <w:color w:val="12878F"/>
          <w:spacing w:val="80"/>
          <w:sz w:val="22"/>
          <w:szCs w:val="22"/>
        </w:rPr>
        <w:t xml:space="preserve">BRADFORD VTS TEACHING AIDS</w:t>
      </w:r>
    </w:p>
    <w:p>
      <w:pPr>
        <w:spacing w:after="60"/>
      </w:pPr>
      <w:r>
        <w:rPr>
          <w:rFonts w:ascii="Arial" w:cs="Arial" w:eastAsia="Arial" w:hAnsi="Arial"/>
          <w:b/>
          <w:bCs/>
          <w:color w:val="094A52"/>
          <w:spacing w:val="40"/>
          <w:sz w:val="30"/>
          <w:szCs w:val="30"/>
        </w:rPr>
        <w:t xml:space="preserve">CHAPTER 8</w:t>
      </w:r>
    </w:p>
    <w:p>
      <w:pPr>
        <w:spacing w:after="180"/>
      </w:pPr>
      <w:r>
        <w:rPr>
          <w:rFonts w:ascii="Arial" w:cs="Arial" w:eastAsia="Arial" w:hAnsi="Arial"/>
          <w:b/>
          <w:bCs/>
          <w:color w:val="0E6E78"/>
          <w:sz w:val="56"/>
          <w:szCs w:val="56"/>
        </w:rPr>
        <w:t xml:space="preserve">The Orbit</w:t>
      </w:r>
    </w:p>
    <w:p>
      <w:pPr>
        <w:pBdr>
          <w:top w:val="single" w:color="0E6E78" w:sz="10" w:space="8"/>
        </w:pBdr>
        <w:spacing w:after="60"/>
      </w:pPr>
      <w:r>
        <w:rPr>
          <w:rFonts w:ascii="Arial" w:cs="Arial" w:eastAsia="Arial" w:hAnsi="Arial"/>
          <w:b/>
          <w:bCs/>
          <w:color w:val="094A52"/>
          <w:sz w:val="22"/>
          <w:szCs w:val="22"/>
        </w:rPr>
        <w:t xml:space="preserve">Bony orbit    ·    Extraocular muscles    ·    Proptosis    ·    Orbital cellulitis    ·    Thyroid eye disease</w:t>
      </w:r>
    </w:p>
    <w:p>
      <w:pPr>
        <w:spacing w:after="600"/>
      </w:pPr>
      <w:r>
        <w:rPr>
          <w:rFonts w:ascii="Arial" w:cs="Arial" w:eastAsia="Arial" w:hAnsi="Arial"/>
          <w:i/>
          <w:iCs/>
          <w:color w:val="5B6A6C"/>
          <w:sz w:val="22"/>
          <w:szCs w:val="22"/>
        </w:rPr>
        <w:t xml:space="preserve">the bony socket, its contents and the diseases that displace the eye</w:t>
      </w:r>
    </w:p>
    <w:p>
      <w:pPr>
        <w:spacing w:after="160"/>
      </w:pPr>
      <w:r>
        <w:rPr>
          <w:rFonts w:ascii="Arial" w:cs="Arial" w:eastAsia="Arial" w:hAnsi="Arial"/>
          <w:b/>
          <w:bCs/>
          <w:color w:val="12878F"/>
          <w:spacing w:val="60"/>
          <w:sz w:val="22"/>
          <w:szCs w:val="22"/>
        </w:rPr>
        <w:t xml:space="preserve">CONTENTS</w:t>
      </w:r>
    </w:p>
    <w:p>
      <w:pPr>
        <w:tabs>
          <w:tab w:val="left" w:pos="620"/>
        </w:tabs>
        <w:spacing w:after="90"/>
      </w:pPr>
      <w:r>
        <w:rPr>
          <w:rFonts w:ascii="Arial" w:cs="Arial" w:eastAsia="Arial" w:hAnsi="Arial"/>
          <w:b/>
          <w:bCs/>
          <w:color w:val="0E6E78"/>
          <w:sz w:val="24"/>
          <w:szCs w:val="24"/>
        </w:rPr>
        <w:t xml:space="preserve">A</w:t>
      </w:r>
      <w:r>
        <w:rPr>
          <w:rFonts w:ascii="Arial" w:cs="Arial" w:eastAsia="Arial" w:hAnsi="Arial"/>
          <w:color w:val="1A2B2D"/>
          <w:sz w:val="24"/>
          <w:szCs w:val="24"/>
        </w:rPr>
        <w:t xml:space="preserve">	Anatomy of the orbit</w:t>
      </w:r>
    </w:p>
    <w:p>
      <w:pPr>
        <w:tabs>
          <w:tab w:val="left" w:pos="620"/>
        </w:tabs>
        <w:spacing w:after="90"/>
      </w:pPr>
      <w:r>
        <w:rPr>
          <w:rFonts w:ascii="Arial" w:cs="Arial" w:eastAsia="Arial" w:hAnsi="Arial"/>
          <w:b/>
          <w:bCs/>
          <w:color w:val="0E6E78"/>
          <w:sz w:val="24"/>
          <w:szCs w:val="24"/>
        </w:rPr>
        <w:t xml:space="preserve">B</w:t>
      </w:r>
      <w:r>
        <w:rPr>
          <w:rFonts w:ascii="Arial" w:cs="Arial" w:eastAsia="Arial" w:hAnsi="Arial"/>
          <w:color w:val="1A2B2D"/>
          <w:sz w:val="24"/>
          <w:szCs w:val="24"/>
        </w:rPr>
        <w:t xml:space="preserve">	The orbital contents</w:t>
      </w:r>
    </w:p>
    <w:p>
      <w:pPr>
        <w:tabs>
          <w:tab w:val="left" w:pos="620"/>
        </w:tabs>
        <w:spacing w:after="90"/>
      </w:pPr>
      <w:r>
        <w:rPr>
          <w:rFonts w:ascii="Arial" w:cs="Arial" w:eastAsia="Arial" w:hAnsi="Arial"/>
          <w:b/>
          <w:bCs/>
          <w:color w:val="0E6E78"/>
          <w:sz w:val="24"/>
          <w:szCs w:val="24"/>
        </w:rPr>
        <w:t xml:space="preserve">C</w:t>
      </w:r>
      <w:r>
        <w:rPr>
          <w:rFonts w:ascii="Arial" w:cs="Arial" w:eastAsia="Arial" w:hAnsi="Arial"/>
          <w:color w:val="1A2B2D"/>
          <w:sz w:val="24"/>
          <w:szCs w:val="24"/>
        </w:rPr>
        <w:t xml:space="preserve">	Disease involving the orbit</w:t>
      </w:r>
    </w:p>
    <w:p>
      <w:pPr>
        <w:pBdr>
          <w:top w:val="single" w:color="BFD6D8" w:sz="6" w:space="6"/>
        </w:pBdr>
        <w:tabs>
          <w:tab w:val="right" w:pos="9360"/>
        </w:tabs>
        <w:spacing w:after="0" w:before="700"/>
      </w:pPr>
      <w:r>
        <w:rPr>
          <w:rFonts w:ascii="Arial" w:cs="Arial" w:eastAsia="Arial" w:hAnsi="Arial"/>
          <w:color w:val="5B6A6C"/>
          <w:sz w:val="18"/>
          <w:szCs w:val="18"/>
        </w:rPr>
        <w:t xml:space="preserve">Postgraduate ophthalmology teaching resource</w:t>
      </w:r>
      <w:r>
        <w:rPr>
          <w:rFonts w:ascii="Arial" w:cs="Arial" w:eastAsia="Arial" w:hAnsi="Arial"/>
          <w:b/>
          <w:bCs/>
          <w:color w:val="5B6A6C"/>
          <w:sz w:val="18"/>
          <w:szCs w:val="18"/>
        </w:rPr>
        <w:t xml:space="preserve">	June 2026</w:t>
      </w:r>
    </w:p>
    <w:p>
      <w:r>
        <w:br w:type="page"/>
      </w:r>
    </w:p>
    <w:p>
      <w:pPr>
        <w:spacing w:after="40"/>
      </w:pPr>
      <w:r>
        <w:rPr>
          <w:rFonts w:ascii="Arial" w:cs="Arial" w:eastAsia="Arial" w:hAnsi="Arial"/>
          <w:b/>
          <w:bCs/>
          <w:color w:val="12878F"/>
          <w:spacing w:val="60"/>
          <w:sz w:val="18"/>
          <w:szCs w:val="18"/>
        </w:rPr>
        <w:t xml:space="preserve">CHAPTER 8</w:t>
      </w:r>
    </w:p>
    <w:p>
      <w:pPr>
        <w:pStyle w:val="Title"/>
        <w:pBdr>
          <w:bottom w:val="single" w:color="0E6E78" w:sz="16" w:space="8"/>
        </w:pBdr>
        <w:spacing w:after="200"/>
      </w:pPr>
      <w:r>
        <w:rPr>
          <w:rFonts w:ascii="Arial" w:cs="Arial" w:eastAsia="Arial" w:hAnsi="Arial"/>
          <w:b/>
          <w:bCs/>
          <w:color w:val="0E6E78"/>
          <w:sz w:val="40"/>
          <w:szCs w:val="40"/>
        </w:rPr>
        <w:t xml:space="preserve">The Orbit</w:t>
      </w:r>
    </w:p>
    <w:p>
      <w:pPr>
        <w:keepNext w:val="false"/>
        <w:spacing w:after="120" w:before="0" w:line="276"/>
      </w:pPr>
      <w:r>
        <w:rPr>
          <w:rFonts w:ascii="Arial" w:cs="Arial" w:eastAsia="Arial" w:hAnsi="Arial"/>
          <w:b/>
          <w:bCs/>
          <w:color w:val="1A2B2D"/>
        </w:rPr>
        <w:t xml:space="preserve">Introduction</w:t>
      </w:r>
    </w:p>
    <w:p>
      <w:pPr>
        <w:keepNext w:val="false"/>
        <w:spacing w:after="120" w:before="0" w:line="276"/>
      </w:pPr>
      <w:r>
        <w:rPr>
          <w:rFonts w:ascii="Arial" w:cs="Arial" w:eastAsia="Arial" w:hAnsi="Arial"/>
          <w:color w:val="1A2B2D"/>
        </w:rPr>
        <w:t xml:space="preserve">The orbit is the bony socket that protects, supports and positions the eye. Only about a fifth of its volume is taken up by the globe; the rest is muscle, fat, fascia, vessels, nerve and the lacrimal gland. Because the orbit shares thin bony walls with the sinuses and the cranial cavity, disease readily spreads between them — which is why orbital problems can be both sight- and life-threatening.</w:t>
      </w:r>
    </w:p>
    <w:p>
      <w:pPr>
        <w:keepNext/>
        <w:spacing w:after="30" w:before="360"/>
      </w:pPr>
      <w:r>
        <w:rPr>
          <w:rFonts w:ascii="Arial" w:cs="Arial" w:eastAsia="Arial" w:hAnsi="Arial"/>
          <w:b/>
          <w:bCs/>
          <w:color w:val="12878F"/>
          <w:spacing w:val="60"/>
          <w:sz w:val="18"/>
          <w:szCs w:val="18"/>
        </w:rPr>
        <w:t xml:space="preserve">SECTION A</w:t>
      </w:r>
    </w:p>
    <w:p>
      <w:pPr>
        <w:pStyle w:val="Heading1"/>
        <w:keepNext/>
        <w:pBdr>
          <w:bottom w:val="single" w:color="0E6E78" w:sz="10" w:space="6"/>
        </w:pBdr>
        <w:spacing w:after="160" w:before="0"/>
      </w:pPr>
      <w:r>
        <w:rPr>
          <w:rFonts w:ascii="Arial" w:cs="Arial" w:eastAsia="Arial" w:hAnsi="Arial"/>
          <w:b/>
          <w:bCs/>
          <w:color w:val="0E6E78"/>
          <w:sz w:val="30"/>
          <w:szCs w:val="30"/>
        </w:rPr>
        <w:t xml:space="preserve">Anatomy of the orbit</w:t>
      </w:r>
    </w:p>
    <w:p>
      <w:pPr>
        <w:keepNext w:val="false"/>
        <w:spacing w:after="120" w:before="0" w:line="276"/>
      </w:pPr>
      <w:r>
        <w:rPr>
          <w:rFonts w:ascii="Arial" w:cs="Arial" w:eastAsia="Arial" w:hAnsi="Arial"/>
          <w:color w:val="1A2B2D"/>
        </w:rPr>
        <w:t xml:space="preserve">Each orbit is a </w:t>
      </w:r>
      <w:r>
        <w:rPr>
          <w:rFonts w:ascii="Arial" w:cs="Arial" w:eastAsia="Arial" w:hAnsi="Arial"/>
          <w:b/>
          <w:bCs/>
          <w:color w:val="0E6E78"/>
        </w:rPr>
        <w:t xml:space="preserve">four-walled pyramid</w:t>
      </w:r>
      <w:r>
        <w:rPr>
          <w:rFonts w:ascii="Arial" w:cs="Arial" w:eastAsia="Arial" w:hAnsi="Arial"/>
          <w:color w:val="1A2B2D"/>
        </w:rPr>
        <w:t xml:space="preserve"> with its apex pointing back into the skull and its base at the orbital rim. The rim, with the brow and cheek prominence, shields the eye from blunt trauma. The medial walls lie parallel to each other; the central axis of each orbit diverges about 23°, so vessels and nerves enter the globe </w:t>
      </w:r>
      <w:r>
        <w:rPr>
          <w:rFonts w:ascii="Arial" w:cs="Arial" w:eastAsia="Arial" w:hAnsi="Arial"/>
          <w:b/>
          <w:bCs/>
          <w:color w:val="1A2B2D"/>
        </w:rPr>
        <w:t xml:space="preserve">medial</w:t>
      </w:r>
      <w:r>
        <w:rPr>
          <w:rFonts w:ascii="Arial" w:cs="Arial" w:eastAsia="Arial" w:hAnsi="Arial"/>
          <w:color w:val="1A2B2D"/>
        </w:rPr>
        <w:t xml:space="preserve"> to its posterior pole.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300"/>
        <w:gridCol w:w="4660"/>
      </w:tblGrid>
      <w:tr>
        <w:trPr>
          <w:tblHeader/>
        </w:trPr>
        <w:tc>
          <w:tcPr>
            <w:tcW w:type="dxa" w:w="14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Wall</w:t>
            </w:r>
          </w:p>
        </w:tc>
        <w:tc>
          <w:tcPr>
            <w:tcW w:type="dxa" w:w="33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Bones</w:t>
            </w:r>
          </w:p>
        </w:tc>
        <w:tc>
          <w:tcPr>
            <w:tcW w:type="dxa" w:w="466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Clinical relation</w:t>
            </w:r>
          </w:p>
        </w:tc>
      </w:tr>
      <w:tr>
        <w:tc>
          <w:tcPr>
            <w:tcW w:type="dxa" w:w="1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Medial</w:t>
            </w:r>
          </w:p>
        </w:tc>
        <w:tc>
          <w:tcPr>
            <w:tcW w:type="dxa" w:w="33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Maxillary, lacrimal, ethmoid, sphenoid</w:t>
            </w:r>
          </w:p>
        </w:tc>
        <w:tc>
          <w:tcPr>
            <w:tcW w:type="dxa" w:w="46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Very thin; next to the ethmoid sinus — sinusitis can spread to cause orbital cellulitis. Holds the lacrimal fossa and nasolacrimal duct</w:t>
            </w:r>
          </w:p>
        </w:tc>
      </w:tr>
      <w:tr>
        <w:tc>
          <w:tcPr>
            <w:tcW w:type="dxa" w:w="14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Roof</w:t>
            </w:r>
          </w:p>
        </w:tc>
        <w:tc>
          <w:tcPr>
            <w:tcW w:type="dxa" w:w="33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Lesser wing of sphenoid + frontal bone</w:t>
            </w:r>
          </w:p>
        </w:tc>
        <w:tc>
          <w:tcPr>
            <w:tcW w:type="dxa" w:w="46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Separates orbit from the anterior cranial fossa and frontal lobe; sharp injuries (pencil, umbrella tip) can penetrate to cause meningitis or brain abscess. Houses the lacrimal gland fossa laterally</w:t>
            </w:r>
          </w:p>
        </w:tc>
      </w:tr>
      <w:tr>
        <w:tc>
          <w:tcPr>
            <w:tcW w:type="dxa" w:w="1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Floor</w:t>
            </w:r>
          </w:p>
        </w:tc>
        <w:tc>
          <w:tcPr>
            <w:tcW w:type="dxa" w:w="33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Zygomatic, maxillary, palatine</w:t>
            </w:r>
          </w:p>
        </w:tc>
        <w:tc>
          <w:tcPr>
            <w:tcW w:type="dxa" w:w="46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Roofs the maxillary sinus; blunt trauma can cause a ‘blow-out’ fracture</w:t>
            </w:r>
          </w:p>
        </w:tc>
      </w:tr>
      <w:tr>
        <w:tc>
          <w:tcPr>
            <w:tcW w:type="dxa" w:w="14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Lateral</w:t>
            </w:r>
          </w:p>
        </w:tc>
        <w:tc>
          <w:tcPr>
            <w:tcW w:type="dxa" w:w="33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Greater wing of sphenoid + zygomatic</w:t>
            </w:r>
          </w:p>
        </w:tc>
        <w:tc>
          <w:tcPr>
            <w:tcW w:type="dxa" w:w="46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Thickest wall; the safest surgical route into the orbit</w:t>
            </w:r>
          </w:p>
        </w:tc>
      </w:tr>
    </w:tbl>
    <w:tbl>
      <w:tblPr>
        <w:tblW w:type="dxa" w:w="9360"/>
        <w:tblBorders>
          <w:top w:val="single" w:color="C0392B" w:sz="2"/>
          <w:left w:val="single" w:color="C0392B" w:sz="28"/>
          <w:bottom w:val="single" w:color="C0392B" w:sz="2"/>
          <w:right w:val="single" w:color="C0392B" w:sz="2"/>
          <w:insideH w:val="single" w:color="auto" w:sz="4"/>
          <w:insideV w:val="single" w:color="auto" w:sz="4"/>
        </w:tblBorders>
      </w:tblPr>
      <w:tblGrid>
        <w:gridCol w:w="9360"/>
      </w:tblGrid>
      <w:tr>
        <w:tc>
          <w:tcPr>
            <w:tcW w:type="dxa" w:w="9360"/>
            <w:shd w:fill="FBEBE8" w:color="auto" w:val="clear"/>
            <w:tcMar>
              <w:top w:type="dxa" w:w="120"/>
              <w:left w:type="dxa" w:w="220"/>
              <w:bottom w:type="dxa" w:w="120"/>
              <w:right w:type="dxa" w:w="180"/>
            </w:tcMar>
          </w:tcPr>
          <w:p>
            <w:pPr>
              <w:spacing w:after="80" w:line="264"/>
            </w:pPr>
            <w:r>
              <w:rPr>
                <w:rFonts w:ascii="Arial" w:cs="Arial" w:eastAsia="Arial" w:hAnsi="Arial"/>
                <w:b/>
                <w:bCs/>
                <w:color w:val="962319"/>
                <w:spacing w:val="30"/>
                <w:sz w:val="19"/>
                <w:szCs w:val="19"/>
              </w:rPr>
              <w:t xml:space="preserve">BLOW-OUT FRACTURE &amp; ROOF INJURIES</w:t>
            </w:r>
          </w:p>
          <w:p>
            <w:pPr>
              <w:spacing w:after="80" w:line="264"/>
            </w:pPr>
            <w:r>
              <w:rPr>
                <w:rFonts w:ascii="Arial" w:cs="Arial" w:eastAsia="Arial" w:hAnsi="Arial"/>
                <w:color w:val="1A2B2D"/>
              </w:rPr>
              <w:t xml:space="preserve">A blunt blow may fracture the thin orbital </w:t>
            </w:r>
            <w:r>
              <w:rPr>
                <w:rFonts w:ascii="Arial" w:cs="Arial" w:eastAsia="Arial" w:hAnsi="Arial"/>
                <w:b/>
                <w:bCs/>
                <w:color w:val="1A2B2D"/>
              </w:rPr>
              <w:t xml:space="preserve">floor</w:t>
            </w:r>
            <w:r>
              <w:rPr>
                <w:rFonts w:ascii="Arial" w:cs="Arial" w:eastAsia="Arial" w:hAnsi="Arial"/>
                <w:color w:val="1A2B2D"/>
              </w:rPr>
              <w:t xml:space="preserve">, herniating orbital contents into the maxillary sinus. Trapping of the inferior rectus or inferior oblique limits </w:t>
            </w:r>
            <w:r>
              <w:rPr>
                <w:rFonts w:ascii="Arial" w:cs="Arial" w:eastAsia="Arial" w:hAnsi="Arial"/>
                <w:b/>
                <w:bCs/>
                <w:color w:val="0E6E78"/>
              </w:rPr>
              <w:t xml:space="preserve">vertical eye movement</w:t>
            </w:r>
            <w:r>
              <w:rPr>
                <w:rFonts w:ascii="Arial" w:cs="Arial" w:eastAsia="Arial" w:hAnsi="Arial"/>
                <w:color w:val="1A2B2D"/>
              </w:rPr>
              <w:t xml:space="preserve"> and causes diplopia; the eye may sink back (enophthalmos). CT shows the fracture and any soft-tissue prolapse, and repair may be needed.</w:t>
            </w:r>
          </w:p>
          <w:p>
            <w:pPr>
              <w:spacing w:after="0" w:line="264"/>
            </w:pPr>
            <w:r>
              <w:rPr>
                <w:rFonts w:ascii="Arial" w:cs="Arial" w:eastAsia="Arial" w:hAnsi="Arial"/>
                <w:color w:val="1A2B2D"/>
              </w:rPr>
              <w:t xml:space="preserve">A </w:t>
            </w:r>
            <w:r>
              <w:rPr>
                <w:rFonts w:ascii="Arial" w:cs="Arial" w:eastAsia="Arial" w:hAnsi="Arial"/>
                <w:b/>
                <w:bCs/>
                <w:color w:val="1A2B2D"/>
              </w:rPr>
              <w:t xml:space="preserve">sharp</w:t>
            </w:r>
            <w:r>
              <w:rPr>
                <w:rFonts w:ascii="Arial" w:cs="Arial" w:eastAsia="Arial" w:hAnsi="Arial"/>
                <w:color w:val="1A2B2D"/>
              </w:rPr>
              <w:t xml:space="preserve"> injury through the orbital roof can pass into the frontal lobe — always image the orbit after a penetrating injury to exclude an intracranial extension.</w:t>
            </w:r>
          </w:p>
        </w:tc>
      </w:tr>
    </w:tbl>
    <w:p>
      <w:pPr>
        <w:keepNext w:val="false"/>
        <w:spacing w:after="120" w:before="0" w:line="276"/>
      </w:pPr>
      <w:r>
        <w:rPr>
          <w:rFonts w:ascii="Arial" w:cs="Arial" w:eastAsia="Arial" w:hAnsi="Arial"/>
          <w:color w:val="1A2B2D"/>
        </w:rPr>
        <w:t xml:space="preserve">At the apex lie the </w:t>
      </w:r>
      <w:r>
        <w:rPr>
          <w:rFonts w:ascii="Arial" w:cs="Arial" w:eastAsia="Arial" w:hAnsi="Arial"/>
          <w:b/>
          <w:bCs/>
          <w:color w:val="0E6E78"/>
        </w:rPr>
        <w:t xml:space="preserve">superior and inferior orbital fissures</w:t>
      </w:r>
      <w:r>
        <w:rPr>
          <w:rFonts w:ascii="Arial" w:cs="Arial" w:eastAsia="Arial" w:hAnsi="Arial"/>
          <w:color w:val="1A2B2D"/>
        </w:rPr>
        <w:t xml:space="preserve"> and the </w:t>
      </w:r>
      <w:r>
        <w:rPr>
          <w:rFonts w:ascii="Arial" w:cs="Arial" w:eastAsia="Arial" w:hAnsi="Arial"/>
          <w:b/>
          <w:bCs/>
          <w:color w:val="0E6E78"/>
        </w:rPr>
        <w:t xml:space="preserve">optic foramen</w:t>
      </w:r>
      <w:r>
        <w:rPr>
          <w:rFonts w:ascii="Arial" w:cs="Arial" w:eastAsia="Arial" w:hAnsi="Arial"/>
          <w:color w:val="1A2B2D"/>
        </w:rPr>
        <w:t xml:space="preserve"> (transmitting the optic nerve and ophthalmic artery). A blow to the brow can shear or compress the optic nerve within its canal, causing sudden uniocular visual loss.</w:t>
      </w:r>
    </w:p>
    <w:p>
      <w:pPr>
        <w:keepNext/>
        <w:spacing w:after="30" w:before="360"/>
      </w:pPr>
      <w:r>
        <w:rPr>
          <w:rFonts w:ascii="Arial" w:cs="Arial" w:eastAsia="Arial" w:hAnsi="Arial"/>
          <w:b/>
          <w:bCs/>
          <w:color w:val="12878F"/>
          <w:spacing w:val="60"/>
          <w:sz w:val="18"/>
          <w:szCs w:val="18"/>
        </w:rPr>
        <w:t xml:space="preserve">SECTION B</w:t>
      </w:r>
    </w:p>
    <w:p>
      <w:pPr>
        <w:pStyle w:val="Heading1"/>
        <w:keepNext/>
        <w:pBdr>
          <w:bottom w:val="single" w:color="0E6E78" w:sz="10" w:space="6"/>
        </w:pBdr>
        <w:spacing w:after="160" w:before="0"/>
      </w:pPr>
      <w:r>
        <w:rPr>
          <w:rFonts w:ascii="Arial" w:cs="Arial" w:eastAsia="Arial" w:hAnsi="Arial"/>
          <w:b/>
          <w:bCs/>
          <w:color w:val="0E6E78"/>
          <w:sz w:val="30"/>
          <w:szCs w:val="30"/>
        </w:rPr>
        <w:t xml:space="preserve">The orbital contents</w:t>
      </w:r>
    </w:p>
    <w:p>
      <w:pPr>
        <w:pStyle w:val="Heading2"/>
        <w:keepNext/>
        <w:spacing w:after="100" w:before="240"/>
      </w:pPr>
      <w:r>
        <w:rPr>
          <w:rFonts w:ascii="Arial" w:cs="Arial" w:eastAsia="Arial" w:hAnsi="Arial"/>
          <w:b/>
          <w:bCs/>
          <w:color w:val="0E6E78"/>
          <w:sz w:val="24"/>
          <w:szCs w:val="24"/>
        </w:rPr>
        <w:t xml:space="preserve">1   </w:t>
      </w:r>
      <w:r>
        <w:rPr>
          <w:rFonts w:ascii="Arial" w:cs="Arial" w:eastAsia="Arial" w:hAnsi="Arial"/>
          <w:b/>
          <w:bCs/>
          <w:color w:val="0E6E78"/>
          <w:sz w:val="24"/>
          <w:szCs w:val="24"/>
        </w:rPr>
        <w:t xml:space="preserve">The extraocular muscles</w:t>
      </w:r>
    </w:p>
    <w:p>
      <w:pPr>
        <w:keepNext w:val="false"/>
        <w:spacing w:after="120" w:before="0" w:line="276"/>
      </w:pPr>
      <w:r>
        <w:rPr>
          <w:rFonts w:ascii="Arial" w:cs="Arial" w:eastAsia="Arial" w:hAnsi="Arial"/>
          <w:color w:val="1A2B2D"/>
        </w:rPr>
        <w:t xml:space="preserve">Six muscles move each eye. All except the inferior oblique arise from a fibrous ring at the apex — the </w:t>
      </w:r>
      <w:r>
        <w:rPr>
          <w:rFonts w:ascii="Arial" w:cs="Arial" w:eastAsia="Arial" w:hAnsi="Arial"/>
          <w:b/>
          <w:bCs/>
          <w:color w:val="0E6E78"/>
        </w:rPr>
        <w:t xml:space="preserve">annulus of Zinn</w:t>
      </w:r>
      <w:r>
        <w:rPr>
          <w:rFonts w:ascii="Arial" w:cs="Arial" w:eastAsia="Arial" w:hAnsi="Arial"/>
          <w:color w:val="1A2B2D"/>
        </w:rPr>
        <w:t xml:space="preserve"> — and fan forward to form the </w:t>
      </w:r>
      <w:r>
        <w:rPr>
          <w:rFonts w:ascii="Arial" w:cs="Arial" w:eastAsia="Arial" w:hAnsi="Arial"/>
          <w:b/>
          <w:bCs/>
          <w:color w:val="0E6E78"/>
        </w:rPr>
        <w:t xml:space="preserve">muscle cone</w:t>
      </w:r>
      <w:r>
        <w:rPr>
          <w:rFonts w:ascii="Arial" w:cs="Arial" w:eastAsia="Arial" w:hAnsi="Arial"/>
          <w:color w:val="1A2B2D"/>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760"/>
        <w:gridCol w:w="4200"/>
      </w:tblGrid>
      <w:tr>
        <w:trPr>
          <w:tblHeader/>
        </w:trPr>
        <w:tc>
          <w:tcPr>
            <w:tcW w:type="dxa" w:w="24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Muscle</w:t>
            </w:r>
          </w:p>
        </w:tc>
        <w:tc>
          <w:tcPr>
            <w:tcW w:type="dxa" w:w="276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Cranial nerve</w:t>
            </w:r>
          </w:p>
        </w:tc>
        <w:tc>
          <w:tcPr>
            <w:tcW w:type="dxa" w:w="42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Main action</w:t>
            </w:r>
          </w:p>
        </w:tc>
      </w:tr>
      <w:tr>
        <w:tc>
          <w:tcPr>
            <w:tcW w:type="dxa" w:w="2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Superior rectus</w:t>
            </w:r>
          </w:p>
        </w:tc>
        <w:tc>
          <w:tcPr>
            <w:tcW w:type="dxa" w:w="27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III (oculomotor)</w:t>
            </w:r>
          </w:p>
        </w:tc>
        <w:tc>
          <w:tcPr>
            <w:tcW w:type="dxa" w:w="42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Elevation (with adduction and intorsion)</w:t>
            </w:r>
          </w:p>
        </w:tc>
      </w:tr>
      <w:tr>
        <w:tc>
          <w:tcPr>
            <w:tcW w:type="dxa" w:w="24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Inferior rectus</w:t>
            </w:r>
          </w:p>
        </w:tc>
        <w:tc>
          <w:tcPr>
            <w:tcW w:type="dxa" w:w="27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III (oculomotor)</w:t>
            </w:r>
          </w:p>
        </w:tc>
        <w:tc>
          <w:tcPr>
            <w:tcW w:type="dxa" w:w="42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Depression (with adduction and extorsion)</w:t>
            </w:r>
          </w:p>
        </w:tc>
      </w:tr>
      <w:tr>
        <w:tc>
          <w:tcPr>
            <w:tcW w:type="dxa" w:w="2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Medial rectus</w:t>
            </w:r>
          </w:p>
        </w:tc>
        <w:tc>
          <w:tcPr>
            <w:tcW w:type="dxa" w:w="27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III (oculomotor)</w:t>
            </w:r>
          </w:p>
        </w:tc>
        <w:tc>
          <w:tcPr>
            <w:tcW w:type="dxa" w:w="42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Adduction</w:t>
            </w:r>
          </w:p>
        </w:tc>
      </w:tr>
      <w:tr>
        <w:tc>
          <w:tcPr>
            <w:tcW w:type="dxa" w:w="24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Lateral rectus</w:t>
            </w:r>
          </w:p>
        </w:tc>
        <w:tc>
          <w:tcPr>
            <w:tcW w:type="dxa" w:w="27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VI (abducens)</w:t>
            </w:r>
          </w:p>
        </w:tc>
        <w:tc>
          <w:tcPr>
            <w:tcW w:type="dxa" w:w="42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Abduction</w:t>
            </w:r>
          </w:p>
        </w:tc>
      </w:tr>
      <w:tr>
        <w:tc>
          <w:tcPr>
            <w:tcW w:type="dxa" w:w="24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Superior oblique</w:t>
            </w:r>
          </w:p>
        </w:tc>
        <w:tc>
          <w:tcPr>
            <w:tcW w:type="dxa" w:w="27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IV (trochlear)</w:t>
            </w:r>
          </w:p>
        </w:tc>
        <w:tc>
          <w:tcPr>
            <w:tcW w:type="dxa" w:w="42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Depression in adduction; intorsion; abduction</w:t>
            </w:r>
          </w:p>
        </w:tc>
      </w:tr>
      <w:tr>
        <w:tc>
          <w:tcPr>
            <w:tcW w:type="dxa" w:w="24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Inferior oblique</w:t>
            </w:r>
          </w:p>
        </w:tc>
        <w:tc>
          <w:tcPr>
            <w:tcW w:type="dxa" w:w="27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III (oculomotor)</w:t>
            </w:r>
          </w:p>
        </w:tc>
        <w:tc>
          <w:tcPr>
            <w:tcW w:type="dxa" w:w="42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Elevation in adduction; extorsion; abduction</w:t>
            </w:r>
          </w:p>
        </w:tc>
      </w:tr>
    </w:tbl>
    <w:tbl>
      <w:tblPr>
        <w:tblW w:type="dxa" w:w="9360"/>
        <w:tblBorders>
          <w:top w:val="single" w:color="0E6E78" w:sz="2"/>
          <w:left w:val="single" w:color="0E6E78" w:sz="28"/>
          <w:bottom w:val="single" w:color="0E6E78" w:sz="2"/>
          <w:right w:val="single" w:color="0E6E78" w:sz="2"/>
          <w:insideH w:val="single" w:color="auto" w:sz="4"/>
          <w:insideV w:val="single" w:color="auto" w:sz="4"/>
        </w:tblBorders>
      </w:tblPr>
      <w:tblGrid>
        <w:gridCol w:w="9360"/>
      </w:tblGrid>
      <w:tr>
        <w:tc>
          <w:tcPr>
            <w:tcW w:type="dxa" w:w="9360"/>
            <w:shd w:fill="E6F3F3" w:color="auto" w:val="clear"/>
            <w:tcMar>
              <w:top w:type="dxa" w:w="120"/>
              <w:left w:type="dxa" w:w="220"/>
              <w:bottom w:type="dxa" w:w="120"/>
              <w:right w:type="dxa" w:w="180"/>
            </w:tcMar>
          </w:tcPr>
          <w:p>
            <w:pPr>
              <w:spacing w:after="80" w:line="264"/>
            </w:pPr>
            <w:r>
              <w:rPr>
                <w:rFonts w:ascii="Arial" w:cs="Arial" w:eastAsia="Arial" w:hAnsi="Arial"/>
                <w:b/>
                <w:bCs/>
                <w:color w:val="094A52"/>
                <w:spacing w:val="30"/>
                <w:sz w:val="19"/>
                <w:szCs w:val="19"/>
              </w:rPr>
              <w:t xml:space="preserve">THE MUSCLE CONE</w:t>
            </w:r>
          </w:p>
          <w:p>
            <w:pPr>
              <w:spacing w:after="0" w:line="264"/>
            </w:pPr>
            <w:r>
              <w:rPr>
                <w:rFonts w:ascii="Arial" w:cs="Arial" w:eastAsia="Arial" w:hAnsi="Arial"/>
                <w:color w:val="1A2B2D"/>
              </w:rPr>
              <w:t xml:space="preserve">The optic nerve, ophthalmic vessels and most of the nerves to the muscles run </w:t>
            </w:r>
            <w:r>
              <w:rPr>
                <w:rFonts w:ascii="Arial" w:cs="Arial" w:eastAsia="Arial" w:hAnsi="Arial"/>
                <w:b/>
                <w:bCs/>
                <w:color w:val="1A2B2D"/>
              </w:rPr>
              <w:t xml:space="preserve">inside</w:t>
            </w:r>
            <w:r>
              <w:rPr>
                <w:rFonts w:ascii="Arial" w:cs="Arial" w:eastAsia="Arial" w:hAnsi="Arial"/>
                <w:color w:val="1A2B2D"/>
              </w:rPr>
              <w:t xml:space="preserve"> the muscle cone (the superior oblique’s nerve, IV, lies outside it). This makes the cone the target for local-anaesthetic injection in ophthalmic surgery: a single injection there blocks all the extraocular muscles except the superior oblique and anaesthetises the eye.</w:t>
            </w:r>
          </w:p>
        </w:tc>
      </w:tr>
    </w:tbl>
    <w:p>
      <w:pPr>
        <w:keepNext w:val="false"/>
        <w:spacing w:after="120" w:before="0" w:line="276"/>
      </w:pPr>
      <w:r>
        <w:rPr>
          <w:rFonts w:ascii="Arial" w:cs="Arial" w:eastAsia="Arial" w:hAnsi="Arial"/>
          <w:color w:val="1A2B2D"/>
        </w:rPr>
        <w:t xml:space="preserve">The </w:t>
      </w:r>
      <w:r>
        <w:rPr>
          <w:rFonts w:ascii="Arial" w:cs="Arial" w:eastAsia="Arial" w:hAnsi="Arial"/>
          <w:b/>
          <w:bCs/>
          <w:color w:val="0E6E78"/>
        </w:rPr>
        <w:t xml:space="preserve">superior oblique</w:t>
      </w:r>
      <w:r>
        <w:rPr>
          <w:rFonts w:ascii="Arial" w:cs="Arial" w:eastAsia="Arial" w:hAnsi="Arial"/>
          <w:color w:val="1A2B2D"/>
        </w:rPr>
        <w:t xml:space="preserve"> runs forward to a pulley (the trochlea) at the medial roof, then turns back to insert under the superior rectus — so it depresses and intorts the eye. The </w:t>
      </w:r>
      <w:r>
        <w:rPr>
          <w:rFonts w:ascii="Arial" w:cs="Arial" w:eastAsia="Arial" w:hAnsi="Arial"/>
          <w:b/>
          <w:bCs/>
          <w:color w:val="0E6E78"/>
        </w:rPr>
        <w:t xml:space="preserve">inferior oblique</w:t>
      </w:r>
      <w:r>
        <w:rPr>
          <w:rFonts w:ascii="Arial" w:cs="Arial" w:eastAsia="Arial" w:hAnsi="Arial"/>
          <w:color w:val="1A2B2D"/>
        </w:rPr>
        <w:t xml:space="preserve"> arises from the medial floor and elevates and extorts. Extraocular muscle fibres are highly differentiated, finely innervated (close to a 1:1 nerve-to-fibre ratio) and rich in elastic tissue, allowing constant, smooth, rapid movement.</w:t>
      </w:r>
    </w:p>
    <w:p>
      <w:pPr>
        <w:pStyle w:val="Heading2"/>
        <w:keepNext/>
        <w:spacing w:after="100" w:before="240"/>
      </w:pPr>
      <w:r>
        <w:rPr>
          <w:rFonts w:ascii="Arial" w:cs="Arial" w:eastAsia="Arial" w:hAnsi="Arial"/>
          <w:b/>
          <w:bCs/>
          <w:color w:val="0E6E78"/>
          <w:sz w:val="24"/>
          <w:szCs w:val="24"/>
        </w:rPr>
        <w:t xml:space="preserve">2   </w:t>
      </w:r>
      <w:r>
        <w:rPr>
          <w:rFonts w:ascii="Arial" w:cs="Arial" w:eastAsia="Arial" w:hAnsi="Arial"/>
          <w:b/>
          <w:bCs/>
          <w:color w:val="0E6E78"/>
          <w:sz w:val="24"/>
          <w:szCs w:val="24"/>
        </w:rPr>
        <w:t xml:space="preserve">Fascia, fat and the lacrimal gland</w:t>
      </w:r>
    </w:p>
    <w:p>
      <w:pPr>
        <w:pStyle w:val="ListParagraph"/>
        <w:numPr>
          <w:ilvl w:val="0"/>
          <w:numId w:val="2"/>
        </w:numPr>
        <w:spacing w:after="60" w:line="272"/>
      </w:pPr>
      <w:r>
        <w:rPr>
          <w:rFonts w:ascii="Arial" w:cs="Arial" w:eastAsia="Arial" w:hAnsi="Arial"/>
          <w:b/>
          <w:bCs/>
          <w:color w:val="1A2B2D"/>
        </w:rPr>
        <w:t xml:space="preserve">Tenon’s capsule</w:t>
      </w:r>
      <w:r>
        <w:rPr>
          <w:rFonts w:ascii="Arial" w:cs="Arial" w:eastAsia="Arial" w:hAnsi="Arial"/>
          <w:color w:val="1A2B2D"/>
        </w:rPr>
        <w:t xml:space="preserve"> — the connective-tissue sleeve around the globe; it fuses with conjunctiva and sclera at the limbus and with the optic nerve behind, and forms a suspensory hammock under the eye. Extensions to the orbital wall act as check ligaments.</w:t>
      </w:r>
    </w:p>
    <w:p>
      <w:pPr>
        <w:pStyle w:val="ListParagraph"/>
        <w:numPr>
          <w:ilvl w:val="0"/>
          <w:numId w:val="2"/>
        </w:numPr>
        <w:spacing w:after="60" w:line="272"/>
      </w:pPr>
      <w:r>
        <w:rPr>
          <w:rFonts w:ascii="Arial" w:cs="Arial" w:eastAsia="Arial" w:hAnsi="Arial"/>
          <w:b/>
          <w:bCs/>
          <w:color w:val="1A2B2D"/>
        </w:rPr>
        <w:t xml:space="preserve">Orbital fat</w:t>
      </w:r>
      <w:r>
        <w:rPr>
          <w:rFonts w:ascii="Arial" w:cs="Arial" w:eastAsia="Arial" w:hAnsi="Arial"/>
          <w:color w:val="1A2B2D"/>
        </w:rPr>
        <w:t xml:space="preserve"> — fills the remaining space; loose within the cone, denser outside. Its atrophy causes the sunken eyes (enophthalmos) of old age.</w:t>
      </w:r>
    </w:p>
    <w:p>
      <w:pPr>
        <w:pStyle w:val="ListParagraph"/>
        <w:numPr>
          <w:ilvl w:val="0"/>
          <w:numId w:val="2"/>
        </w:numPr>
        <w:spacing w:after="60" w:line="272"/>
      </w:pPr>
      <w:r>
        <w:rPr>
          <w:rFonts w:ascii="Arial" w:cs="Arial" w:eastAsia="Arial" w:hAnsi="Arial"/>
          <w:b/>
          <w:bCs/>
          <w:color w:val="1A2B2D"/>
        </w:rPr>
        <w:t xml:space="preserve">Orbital septum</w:t>
      </w:r>
      <w:r>
        <w:rPr>
          <w:rFonts w:ascii="Arial" w:cs="Arial" w:eastAsia="Arial" w:hAnsi="Arial"/>
          <w:color w:val="1A2B2D"/>
        </w:rPr>
        <w:t xml:space="preserve"> — the periosteum reflects across the orbital opening to the tarsal plates. It is the key surgical landmark dividing </w:t>
      </w:r>
      <w:r>
        <w:rPr>
          <w:rFonts w:ascii="Arial" w:cs="Arial" w:eastAsia="Arial" w:hAnsi="Arial"/>
          <w:b/>
          <w:bCs/>
          <w:color w:val="0E6E78"/>
        </w:rPr>
        <w:t xml:space="preserve">preseptal</w:t>
      </w:r>
      <w:r>
        <w:rPr>
          <w:rFonts w:ascii="Arial" w:cs="Arial" w:eastAsia="Arial" w:hAnsi="Arial"/>
          <w:color w:val="1A2B2D"/>
        </w:rPr>
        <w:t xml:space="preserve"> from </w:t>
      </w:r>
      <w:r>
        <w:rPr>
          <w:rFonts w:ascii="Arial" w:cs="Arial" w:eastAsia="Arial" w:hAnsi="Arial"/>
          <w:b/>
          <w:bCs/>
          <w:color w:val="0E6E78"/>
        </w:rPr>
        <w:t xml:space="preserve">orbital (postseptal)</w:t>
      </w:r>
      <w:r>
        <w:rPr>
          <w:rFonts w:ascii="Arial" w:cs="Arial" w:eastAsia="Arial" w:hAnsi="Arial"/>
          <w:color w:val="1A2B2D"/>
        </w:rPr>
        <w:t xml:space="preserve"> space; with age it weakens, letting fat herniate to form the ‘bags’ under the eyes.</w:t>
      </w:r>
    </w:p>
    <w:p>
      <w:pPr>
        <w:pStyle w:val="ListParagraph"/>
        <w:numPr>
          <w:ilvl w:val="0"/>
          <w:numId w:val="2"/>
        </w:numPr>
        <w:spacing w:after="60" w:line="272"/>
      </w:pPr>
      <w:r>
        <w:rPr>
          <w:rFonts w:ascii="Arial" w:cs="Arial" w:eastAsia="Arial" w:hAnsi="Arial"/>
          <w:b/>
          <w:bCs/>
          <w:color w:val="1A2B2D"/>
        </w:rPr>
        <w:t xml:space="preserve">Lacrimal gland, sac and nasolacrimal duct</w:t>
      </w:r>
      <w:r>
        <w:rPr>
          <w:rFonts w:ascii="Arial" w:cs="Arial" w:eastAsia="Arial" w:hAnsi="Arial"/>
          <w:color w:val="1A2B2D"/>
        </w:rPr>
        <w:t xml:space="preserve"> — all lie within the orbit.</w:t>
      </w:r>
    </w:p>
    <w:p>
      <w:pPr>
        <w:keepNext/>
        <w:spacing w:after="30" w:before="360"/>
      </w:pPr>
      <w:r>
        <w:rPr>
          <w:rFonts w:ascii="Arial" w:cs="Arial" w:eastAsia="Arial" w:hAnsi="Arial"/>
          <w:b/>
          <w:bCs/>
          <w:color w:val="12878F"/>
          <w:spacing w:val="60"/>
          <w:sz w:val="18"/>
          <w:szCs w:val="18"/>
        </w:rPr>
        <w:t xml:space="preserve">SECTION C</w:t>
      </w:r>
    </w:p>
    <w:p>
      <w:pPr>
        <w:pStyle w:val="Heading1"/>
        <w:keepNext/>
        <w:pBdr>
          <w:bottom w:val="single" w:color="0E6E78" w:sz="10" w:space="6"/>
        </w:pBdr>
        <w:spacing w:after="160" w:before="0"/>
      </w:pPr>
      <w:r>
        <w:rPr>
          <w:rFonts w:ascii="Arial" w:cs="Arial" w:eastAsia="Arial" w:hAnsi="Arial"/>
          <w:b/>
          <w:bCs/>
          <w:color w:val="0E6E78"/>
          <w:sz w:val="30"/>
          <w:szCs w:val="30"/>
        </w:rPr>
        <w:t xml:space="preserve">Disease involving the orbit</w:t>
      </w:r>
    </w:p>
    <w:p>
      <w:pPr>
        <w:keepNext w:val="false"/>
        <w:spacing w:after="120" w:before="0" w:line="276"/>
      </w:pPr>
      <w:r>
        <w:rPr>
          <w:rFonts w:ascii="Arial" w:cs="Arial" w:eastAsia="Arial" w:hAnsi="Arial"/>
          <w:color w:val="1A2B2D"/>
        </w:rPr>
        <w:t xml:space="preserve">An expanding orbital lesion pushes the eye forward — </w:t>
      </w:r>
      <w:r>
        <w:rPr>
          <w:rFonts w:ascii="Arial" w:cs="Arial" w:eastAsia="Arial" w:hAnsi="Arial"/>
          <w:b/>
          <w:bCs/>
          <w:color w:val="0E6E78"/>
        </w:rPr>
        <w:t xml:space="preserve">proptosis</w:t>
      </w:r>
      <w:r>
        <w:rPr>
          <w:rFonts w:ascii="Arial" w:cs="Arial" w:eastAsia="Arial" w:hAnsi="Arial"/>
          <w:color w:val="1A2B2D"/>
        </w:rPr>
        <w:t xml:space="preserve"> (exophthalmos) — and may displace it up, down or sideways. Proptosis is measured and monitored with an exophthalmometer. The three broad causes are </w:t>
      </w:r>
      <w:r>
        <w:rPr>
          <w:rFonts w:ascii="Arial" w:cs="Arial" w:eastAsia="Arial" w:hAnsi="Arial"/>
          <w:b/>
          <w:bCs/>
          <w:color w:val="0E6E78"/>
        </w:rPr>
        <w:t xml:space="preserve">inflammatory</w:t>
      </w:r>
      <w:r>
        <w:rPr>
          <w:rFonts w:ascii="Arial" w:cs="Arial" w:eastAsia="Arial" w:hAnsi="Arial"/>
          <w:color w:val="1A2B2D"/>
        </w:rPr>
        <w:t xml:space="preserve">, </w:t>
      </w:r>
      <w:r>
        <w:rPr>
          <w:rFonts w:ascii="Arial" w:cs="Arial" w:eastAsia="Arial" w:hAnsi="Arial"/>
          <w:b/>
          <w:bCs/>
          <w:color w:val="0E6E78"/>
        </w:rPr>
        <w:t xml:space="preserve">neoplastic</w:t>
      </w:r>
      <w:r>
        <w:rPr>
          <w:rFonts w:ascii="Arial" w:cs="Arial" w:eastAsia="Arial" w:hAnsi="Arial"/>
          <w:color w:val="1A2B2D"/>
        </w:rPr>
        <w:t xml:space="preserve"> and </w:t>
      </w:r>
      <w:r>
        <w:rPr>
          <w:rFonts w:ascii="Arial" w:cs="Arial" w:eastAsia="Arial" w:hAnsi="Arial"/>
          <w:b/>
          <w:bCs/>
          <w:color w:val="0E6E78"/>
        </w:rPr>
        <w:t xml:space="preserve">endocrine</w:t>
      </w:r>
      <w:r>
        <w:rPr>
          <w:rFonts w:ascii="Arial" w:cs="Arial" w:eastAsia="Arial" w:hAnsi="Arial"/>
          <w:color w:val="1A2B2D"/>
        </w:rPr>
        <w:t xml:space="preserve">; investigation may include CT, MRI, ultrasound and fine-needle biopsy.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7660"/>
      </w:tblGrid>
      <w:tr>
        <w:trPr>
          <w:tblHeader/>
        </w:trPr>
        <w:tc>
          <w:tcPr>
            <w:tcW w:type="dxa" w:w="17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Category</w:t>
            </w:r>
          </w:p>
        </w:tc>
        <w:tc>
          <w:tcPr>
            <w:tcW w:type="dxa" w:w="766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Examples</w:t>
            </w:r>
          </w:p>
        </w:tc>
      </w:tr>
      <w:tr>
        <w:tc>
          <w:tcPr>
            <w:tcW w:type="dxa" w:w="1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Endocrine</w:t>
            </w:r>
          </w:p>
        </w:tc>
        <w:tc>
          <w:tcPr>
            <w:tcW w:type="dxa" w:w="76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Thyroid eye disease — the commonest cause overall, and the commonest cause of unilateral proptosis in adults</w:t>
            </w:r>
          </w:p>
        </w:tc>
      </w:tr>
      <w:tr>
        <w:tc>
          <w:tcPr>
            <w:tcW w:type="dxa" w:w="17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Inflammatory</w:t>
            </w:r>
          </w:p>
        </w:tc>
        <w:tc>
          <w:tcPr>
            <w:tcW w:type="dxa" w:w="766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Orbital cellulitis; orbital inflammatory disease (‘pseudotumour’); dacryoadenitis; cavernous sinus thrombosis</w:t>
            </w:r>
          </w:p>
        </w:tc>
      </w:tr>
      <w:tr>
        <w:tc>
          <w:tcPr>
            <w:tcW w:type="dxa" w:w="17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b/>
                <w:bCs/>
                <w:color w:val="1A2B2D"/>
              </w:rPr>
              <w:t xml:space="preserve">Neoplastic</w:t>
            </w:r>
          </w:p>
        </w:tc>
        <w:tc>
          <w:tcPr>
            <w:tcW w:type="dxa" w:w="766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Cavernous haemangioma (commonest benign, adults); capillary haemangioma &amp; rhabdomyosarcoma (children); optic nerve glioma; lacrimal gland tumours; lymphoma; metastases</w:t>
            </w:r>
          </w:p>
        </w:tc>
      </w:tr>
    </w:tbl>
    <w:p>
      <w:pPr>
        <w:pStyle w:val="Heading2"/>
        <w:keepNext/>
        <w:spacing w:after="100" w:before="240"/>
      </w:pPr>
      <w:r>
        <w:rPr>
          <w:rFonts w:ascii="Arial" w:cs="Arial" w:eastAsia="Arial" w:hAnsi="Arial"/>
          <w:b/>
          <w:bCs/>
          <w:color w:val="0E6E78"/>
          <w:sz w:val="24"/>
          <w:szCs w:val="24"/>
        </w:rPr>
        <w:t xml:space="preserve">1   </w:t>
      </w:r>
      <w:r>
        <w:rPr>
          <w:rFonts w:ascii="Arial" w:cs="Arial" w:eastAsia="Arial" w:hAnsi="Arial"/>
          <w:b/>
          <w:bCs/>
          <w:color w:val="0E6E78"/>
          <w:sz w:val="24"/>
          <w:szCs w:val="24"/>
        </w:rPr>
        <w:t xml:space="preserve">Inflammatory orbital disease</w:t>
      </w:r>
    </w:p>
    <w:p>
      <w:pPr>
        <w:pStyle w:val="Heading3"/>
        <w:keepNext/>
        <w:spacing w:after="60" w:before="160"/>
      </w:pPr>
      <w:r>
        <w:rPr>
          <w:rFonts w:ascii="Arial" w:cs="Arial" w:eastAsia="Arial" w:hAnsi="Arial"/>
          <w:b/>
          <w:bCs/>
          <w:color w:val="094A52"/>
          <w:sz w:val="22"/>
          <w:szCs w:val="22"/>
        </w:rPr>
        <w:t xml:space="preserve">Orbital cellulitis</w:t>
      </w:r>
    </w:p>
    <w:p>
      <w:pPr>
        <w:keepNext w:val="false"/>
        <w:spacing w:after="120" w:before="0" w:line="276"/>
      </w:pPr>
      <w:r>
        <w:rPr>
          <w:rFonts w:ascii="Arial" w:cs="Arial" w:eastAsia="Arial" w:hAnsi="Arial"/>
          <w:color w:val="1A2B2D"/>
        </w:rPr>
        <w:t xml:space="preserve">Orbital cellulitis is infection </w:t>
      </w:r>
      <w:r>
        <w:rPr>
          <w:rFonts w:ascii="Arial" w:cs="Arial" w:eastAsia="Arial" w:hAnsi="Arial"/>
          <w:b/>
          <w:bCs/>
          <w:color w:val="1A2B2D"/>
        </w:rPr>
        <w:t xml:space="preserve">behind the orbital septum</w:t>
      </w:r>
      <w:r>
        <w:rPr>
          <w:rFonts w:ascii="Arial" w:cs="Arial" w:eastAsia="Arial" w:hAnsi="Arial"/>
          <w:color w:val="1A2B2D"/>
        </w:rPr>
        <w:t xml:space="preserve">, usually spreading from the ethmoid (or maxillary) sinus, most often in a child or young adult. It must be separated from </w:t>
      </w:r>
      <w:r>
        <w:rPr>
          <w:rFonts w:ascii="Arial" w:cs="Arial" w:eastAsia="Arial" w:hAnsi="Arial"/>
          <w:b/>
          <w:bCs/>
          <w:color w:val="0E6E78"/>
        </w:rPr>
        <w:t xml:space="preserve">preseptal cellulitis</w:t>
      </w:r>
      <w:r>
        <w:rPr>
          <w:rFonts w:ascii="Arial" w:cs="Arial" w:eastAsia="Arial" w:hAnsi="Arial"/>
          <w:color w:val="1A2B2D"/>
        </w:rPr>
        <w:t xml:space="preserve">, which is confined in front of the septum, because their management is completely different.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380"/>
        <w:gridCol w:w="4180"/>
      </w:tblGrid>
      <w:tr>
        <w:trPr>
          <w:tblHeader/>
        </w:trPr>
        <w:tc>
          <w:tcPr>
            <w:tcW w:type="dxa" w:w="180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Feature</w:t>
            </w:r>
          </w:p>
        </w:tc>
        <w:tc>
          <w:tcPr>
            <w:tcW w:type="dxa" w:w="338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Preseptal cellulitis</w:t>
            </w:r>
          </w:p>
        </w:tc>
        <w:tc>
          <w:tcPr>
            <w:tcW w:type="dxa" w:w="4180"/>
            <w:tcBorders>
              <w:top w:val="single" w:color="BFD6D8" w:sz="4"/>
              <w:left w:val="single" w:color="BFD6D8" w:sz="4"/>
              <w:bottom w:val="single" w:color="BFD6D8" w:sz="4"/>
              <w:right w:val="single" w:color="BFD6D8" w:sz="4"/>
            </w:tcBorders>
            <w:shd w:fill="0E6E78" w:color="auto" w:val="clear"/>
            <w:tcMar>
              <w:top w:type="dxa" w:w="70"/>
              <w:left w:type="dxa" w:w="120"/>
              <w:bottom w:type="dxa" w:w="70"/>
              <w:right w:type="dxa" w:w="120"/>
            </w:tcMar>
            <w:vAlign w:val="center"/>
          </w:tcPr>
          <w:p>
            <w:pPr>
              <w:spacing w:after="0" w:line="250"/>
            </w:pPr>
            <w:r>
              <w:rPr>
                <w:rFonts w:ascii="Arial" w:cs="Arial" w:eastAsia="Arial" w:hAnsi="Arial"/>
                <w:b/>
                <w:bCs/>
                <w:color w:val="FFFFFF"/>
                <w:sz w:val="19"/>
                <w:szCs w:val="19"/>
              </w:rPr>
              <w:t xml:space="preserve">Orbital (postseptal) cellulitis</w:t>
            </w:r>
          </w:p>
        </w:tc>
      </w:tr>
      <w:tr>
        <w:tc>
          <w:tcPr>
            <w:tcW w:type="dxa" w:w="18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Proptosis</w:t>
            </w:r>
          </w:p>
        </w:tc>
        <w:tc>
          <w:tcPr>
            <w:tcW w:type="dxa" w:w="338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Absent</w:t>
            </w:r>
          </w:p>
        </w:tc>
        <w:tc>
          <w:tcPr>
            <w:tcW w:type="dxa" w:w="418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Present</w:t>
            </w:r>
          </w:p>
        </w:tc>
      </w:tr>
      <w:tr>
        <w:tc>
          <w:tcPr>
            <w:tcW w:type="dxa" w:w="18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Eye movements</w:t>
            </w:r>
          </w:p>
        </w:tc>
        <w:tc>
          <w:tcPr>
            <w:tcW w:type="dxa" w:w="338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Normal, painless</w:t>
            </w:r>
          </w:p>
        </w:tc>
        <w:tc>
          <w:tcPr>
            <w:tcW w:type="dxa" w:w="418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Restricted and painful (ophthalmoplegia)</w:t>
            </w:r>
          </w:p>
        </w:tc>
      </w:tr>
      <w:tr>
        <w:tc>
          <w:tcPr>
            <w:tcW w:type="dxa" w:w="18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Vision / pupil</w:t>
            </w:r>
          </w:p>
        </w:tc>
        <w:tc>
          <w:tcPr>
            <w:tcW w:type="dxa" w:w="338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Normal</w:t>
            </w:r>
          </w:p>
        </w:tc>
        <w:tc>
          <w:tcPr>
            <w:tcW w:type="dxa" w:w="418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May be reduced; relative afferent pupillary defect signals optic-nerve compression</w:t>
            </w:r>
          </w:p>
        </w:tc>
      </w:tr>
      <w:tr>
        <w:tc>
          <w:tcPr>
            <w:tcW w:type="dxa" w:w="180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Chemosis &amp; systemic upset</w:t>
            </w:r>
          </w:p>
        </w:tc>
        <w:tc>
          <w:tcPr>
            <w:tcW w:type="dxa" w:w="338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Minimal; usually well</w:t>
            </w:r>
          </w:p>
        </w:tc>
        <w:tc>
          <w:tcPr>
            <w:tcW w:type="dxa" w:w="4180"/>
            <w:tcBorders>
              <w:top w:val="single" w:color="BFD6D8" w:sz="4"/>
              <w:left w:val="single" w:color="BFD6D8" w:sz="4"/>
              <w:bottom w:val="single" w:color="BFD6D8" w:sz="4"/>
              <w:right w:val="single" w:color="BFD6D8" w:sz="4"/>
            </w:tcBorders>
            <w:shd w:fill="F2F8F8"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Marked chemosis; unwell, febrile</w:t>
            </w:r>
          </w:p>
        </w:tc>
      </w:tr>
      <w:tr>
        <w:tc>
          <w:tcPr>
            <w:tcW w:type="dxa" w:w="180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Management</w:t>
            </w:r>
          </w:p>
        </w:tc>
        <w:tc>
          <w:tcPr>
            <w:tcW w:type="dxa" w:w="338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Often oral antibiotics with safety-netting</w:t>
            </w:r>
          </w:p>
        </w:tc>
        <w:tc>
          <w:tcPr>
            <w:tcW w:type="dxa" w:w="4180"/>
            <w:tcBorders>
              <w:top w:val="single" w:color="BFD6D8" w:sz="4"/>
              <w:left w:val="single" w:color="BFD6D8" w:sz="4"/>
              <w:bottom w:val="single" w:color="BFD6D8" w:sz="4"/>
              <w:right w:val="single" w:color="BFD6D8" w:sz="4"/>
            </w:tcBorders>
            <w:shd w:fill="FFFFFF" w:color="auto" w:val="clear"/>
            <w:tcMar>
              <w:top w:type="dxa" w:w="70"/>
              <w:left w:type="dxa" w:w="120"/>
              <w:bottom w:type="dxa" w:w="70"/>
              <w:right w:type="dxa" w:w="120"/>
            </w:tcMar>
            <w:vAlign w:val="top"/>
          </w:tcPr>
          <w:p>
            <w:pPr>
              <w:spacing w:after="0" w:line="252"/>
            </w:pPr>
            <w:r>
              <w:rPr>
                <w:rFonts w:ascii="Arial" w:cs="Arial" w:eastAsia="Arial" w:hAnsi="Arial"/>
                <w:color w:val="1A2B2D"/>
              </w:rPr>
              <w:t xml:space="preserve">Emergency admission; intravenous antibiotics; imaging</w:t>
            </w:r>
          </w:p>
        </w:tc>
      </w:tr>
    </w:tbl>
    <w:tbl>
      <w:tblPr>
        <w:tblW w:type="dxa" w:w="9360"/>
        <w:tblBorders>
          <w:top w:val="single" w:color="C0392B" w:sz="2"/>
          <w:left w:val="single" w:color="C0392B" w:sz="28"/>
          <w:bottom w:val="single" w:color="C0392B" w:sz="2"/>
          <w:right w:val="single" w:color="C0392B" w:sz="2"/>
          <w:insideH w:val="single" w:color="auto" w:sz="4"/>
          <w:insideV w:val="single" w:color="auto" w:sz="4"/>
        </w:tblBorders>
      </w:tblPr>
      <w:tblGrid>
        <w:gridCol w:w="9360"/>
      </w:tblGrid>
      <w:tr>
        <w:tc>
          <w:tcPr>
            <w:tcW w:type="dxa" w:w="9360"/>
            <w:shd w:fill="FBEBE8" w:color="auto" w:val="clear"/>
            <w:tcMar>
              <w:top w:type="dxa" w:w="120"/>
              <w:left w:type="dxa" w:w="220"/>
              <w:bottom w:type="dxa" w:w="120"/>
              <w:right w:type="dxa" w:w="180"/>
            </w:tcMar>
          </w:tcPr>
          <w:p>
            <w:pPr>
              <w:spacing w:after="80" w:line="264"/>
            </w:pPr>
            <w:r>
              <w:rPr>
                <w:rFonts w:ascii="Arial" w:cs="Arial" w:eastAsia="Arial" w:hAnsi="Arial"/>
                <w:b/>
                <w:bCs/>
                <w:color w:val="962319"/>
                <w:spacing w:val="30"/>
                <w:sz w:val="19"/>
                <w:szCs w:val="19"/>
              </w:rPr>
              <w:t xml:space="preserve">ORBITAL CELLULITIS IS A SIGHT- AND LIFE-THREATENING EMERGENCY</w:t>
            </w:r>
          </w:p>
          <w:p>
            <w:pPr>
              <w:spacing w:after="80" w:line="264"/>
            </w:pPr>
            <w:r>
              <w:rPr>
                <w:rFonts w:ascii="Arial" w:cs="Arial" w:eastAsia="Arial" w:hAnsi="Arial"/>
                <w:color w:val="1A2B2D"/>
              </w:rPr>
              <w:t xml:space="preserve">Signs pointing to </w:t>
            </w:r>
            <w:r>
              <w:rPr>
                <w:rFonts w:ascii="Arial" w:cs="Arial" w:eastAsia="Arial" w:hAnsi="Arial"/>
                <w:b/>
                <w:bCs/>
                <w:color w:val="1A2B2D"/>
              </w:rPr>
              <w:t xml:space="preserve">orbital</w:t>
            </w:r>
            <w:r>
              <w:rPr>
                <w:rFonts w:ascii="Arial" w:cs="Arial" w:eastAsia="Arial" w:hAnsi="Arial"/>
                <w:color w:val="1A2B2D"/>
              </w:rPr>
              <w:t xml:space="preserve"> (not preseptal) disease — proptosis, painful or restricted eye movements, reduced vision or a relative afferent pupillary defect — mandate </w:t>
            </w:r>
            <w:r>
              <w:rPr>
                <w:rFonts w:ascii="Arial" w:cs="Arial" w:eastAsia="Arial" w:hAnsi="Arial"/>
                <w:b/>
                <w:bCs/>
                <w:color w:val="1A2B2D"/>
              </w:rPr>
              <w:t xml:space="preserve">immediate admission</w:t>
            </w:r>
            <w:r>
              <w:rPr>
                <w:rFonts w:ascii="Arial" w:cs="Arial" w:eastAsia="Arial" w:hAnsi="Arial"/>
                <w:color w:val="1A2B2D"/>
              </w:rPr>
              <w:t xml:space="preserve">. Complications include optic-nerve compression and blindness, subperiosteal/orbital abscess, meningitis, intracranial abscess and cavernous sinus thrombosis.</w:t>
            </w:r>
          </w:p>
          <w:p>
            <w:pPr>
              <w:spacing w:after="80" w:line="264"/>
            </w:pPr>
            <w:r>
              <w:rPr>
                <w:rFonts w:ascii="Arial" w:cs="Arial" w:eastAsia="Arial" w:hAnsi="Arial"/>
                <w:color w:val="1A2B2D"/>
              </w:rPr>
              <w:t xml:space="preserve">Hospital management (secondary care) is a multidisciplinary emergency: </w:t>
            </w:r>
            <w:r>
              <w:rPr>
                <w:rFonts w:ascii="Arial" w:cs="Arial" w:eastAsia="Arial" w:hAnsi="Arial"/>
                <w:b/>
                <w:bCs/>
                <w:color w:val="0E6E78"/>
              </w:rPr>
              <w:t xml:space="preserve">intravenous antibiotics</w:t>
            </w:r>
            <w:r>
              <w:rPr>
                <w:rFonts w:ascii="Arial" w:cs="Arial" w:eastAsia="Arial" w:hAnsi="Arial"/>
                <w:color w:val="1A2B2D"/>
              </w:rPr>
              <w:t xml:space="preserve">, contrast CT of the orbit, sinuses and brain, and joint ophthalmology / ENT (± paediatric) care, with surgical drainage of any abscess. Improvement is expected within 24–48 hours; failure to improve prompts re-imaging.</w:t>
            </w:r>
          </w:p>
          <w:p>
            <w:pPr>
              <w:spacing w:after="0" w:line="264"/>
            </w:pPr>
            <w:r>
              <w:rPr>
                <w:rFonts w:ascii="Arial" w:cs="Arial" w:eastAsia="Arial" w:hAnsi="Arial"/>
                <w:i/>
                <w:iCs/>
                <w:color w:val="5B6A6C"/>
                <w:sz w:val="16"/>
                <w:szCs w:val="16"/>
              </w:rPr>
              <w:t xml:space="preserve">Source: NICE CKS — Cellulitis (acute), and preseptal/periorbital cellulitis guidance; BSAC paediatric pre-/post-septal cellulitis pathway. Verify antibiotic choice against the BNF and local microbiology guidance.</w:t>
            </w:r>
          </w:p>
        </w:tc>
      </w:tr>
    </w:tbl>
    <w:tbl>
      <w:tblPr>
        <w:tblW w:type="dxa" w:w="9360"/>
        <w:tblBorders>
          <w:top w:val="single" w:color="2E7D46" w:sz="2"/>
          <w:left w:val="single" w:color="2E7D46" w:sz="28"/>
          <w:bottom w:val="single" w:color="2E7D46" w:sz="2"/>
          <w:right w:val="single" w:color="2E7D46" w:sz="2"/>
          <w:insideH w:val="single" w:color="auto" w:sz="4"/>
          <w:insideV w:val="single" w:color="auto" w:sz="4"/>
        </w:tblBorders>
      </w:tblPr>
      <w:tblGrid>
        <w:gridCol w:w="9360"/>
      </w:tblGrid>
      <w:tr>
        <w:tc>
          <w:tcPr>
            <w:tcW w:type="dxa" w:w="9360"/>
            <w:shd w:fill="E9F5EC" w:color="auto" w:val="clear"/>
            <w:tcMar>
              <w:top w:type="dxa" w:w="120"/>
              <w:left w:type="dxa" w:w="220"/>
              <w:bottom w:type="dxa" w:w="120"/>
              <w:right w:type="dxa" w:w="180"/>
            </w:tcMar>
          </w:tcPr>
          <w:p>
            <w:pPr>
              <w:spacing w:after="80" w:line="264"/>
            </w:pPr>
            <w:r>
              <w:rPr>
                <w:rFonts w:ascii="Arial" w:cs="Arial" w:eastAsia="Arial" w:hAnsi="Arial"/>
                <w:b/>
                <w:bCs/>
                <w:color w:val="1C5E30"/>
                <w:spacing w:val="30"/>
                <w:sz w:val="19"/>
                <w:szCs w:val="19"/>
              </w:rPr>
              <w:t xml:space="preserve">MILD PRESEPTAL CELLULITIS</w:t>
            </w:r>
          </w:p>
          <w:p>
            <w:pPr>
              <w:spacing w:after="80" w:line="264"/>
            </w:pPr>
            <w:r>
              <w:rPr>
                <w:rFonts w:ascii="Arial" w:cs="Arial" w:eastAsia="Arial" w:hAnsi="Arial"/>
                <w:color w:val="1A2B2D"/>
              </w:rPr>
              <w:t xml:space="preserve">A well patient with mild preseptal cellulitis and no orbital signs can usually be treated as an outpatient with </w:t>
            </w:r>
            <w:r>
              <w:rPr>
                <w:rFonts w:ascii="Arial" w:cs="Arial" w:eastAsia="Arial" w:hAnsi="Arial"/>
                <w:b/>
                <w:bCs/>
                <w:color w:val="0E6E78"/>
              </w:rPr>
              <w:t xml:space="preserve">oral co-amoxiclav</w:t>
            </w:r>
            <w:r>
              <w:rPr>
                <w:rFonts w:ascii="Arial" w:cs="Arial" w:eastAsia="Arial" w:hAnsi="Arial"/>
                <w:color w:val="1A2B2D"/>
              </w:rPr>
              <w:t xml:space="preserve"> and clear safety-netting to return urgently if vision changes, the eye becomes proptosed or painful on movement, or they become systemically unwell. Have a low threshold for admission if you cannot confidently exclude orbital involvement.</w:t>
            </w:r>
          </w:p>
          <w:p>
            <w:pPr>
              <w:spacing w:after="0" w:line="264"/>
            </w:pPr>
            <w:r>
              <w:rPr>
                <w:rFonts w:ascii="Arial" w:cs="Arial" w:eastAsia="Arial" w:hAnsi="Arial"/>
                <w:i/>
                <w:iCs/>
                <w:color w:val="5B6A6C"/>
                <w:sz w:val="16"/>
                <w:szCs w:val="16"/>
              </w:rPr>
              <w:t xml:space="preserve">Source: NICE CKS-aligned periorbital cellulitis guidance; confirm dose and duration against the BNF / local antimicrobial formulary.</w:t>
            </w:r>
          </w:p>
        </w:tc>
      </w:tr>
    </w:tbl>
    <w:p>
      <w:pPr>
        <w:pStyle w:val="Heading3"/>
        <w:keepNext/>
        <w:spacing w:after="60" w:before="160"/>
      </w:pPr>
      <w:r>
        <w:rPr>
          <w:rFonts w:ascii="Arial" w:cs="Arial" w:eastAsia="Arial" w:hAnsi="Arial"/>
          <w:b/>
          <w:bCs/>
          <w:color w:val="094A52"/>
          <w:sz w:val="22"/>
          <w:szCs w:val="22"/>
        </w:rPr>
        <w:t xml:space="preserve">Other inflammatory causes</w:t>
      </w:r>
    </w:p>
    <w:p>
      <w:pPr>
        <w:pStyle w:val="ListParagraph"/>
        <w:numPr>
          <w:ilvl w:val="0"/>
          <w:numId w:val="2"/>
        </w:numPr>
        <w:spacing w:after="60" w:line="272"/>
      </w:pPr>
      <w:r>
        <w:rPr>
          <w:rFonts w:ascii="Arial" w:cs="Arial" w:eastAsia="Arial" w:hAnsi="Arial"/>
          <w:b/>
          <w:bCs/>
          <w:color w:val="1A2B2D"/>
        </w:rPr>
        <w:t xml:space="preserve">Dacryoadenitis</w:t>
      </w:r>
      <w:r>
        <w:rPr>
          <w:rFonts w:ascii="Arial" w:cs="Arial" w:eastAsia="Arial" w:hAnsi="Arial"/>
          <w:color w:val="1A2B2D"/>
        </w:rPr>
        <w:t xml:space="preserve"> — inflammation of the lacrimal gland.</w:t>
      </w:r>
    </w:p>
    <w:p>
      <w:pPr>
        <w:pStyle w:val="ListParagraph"/>
        <w:numPr>
          <w:ilvl w:val="0"/>
          <w:numId w:val="2"/>
        </w:numPr>
        <w:spacing w:after="60" w:line="272"/>
      </w:pPr>
      <w:r>
        <w:rPr>
          <w:rFonts w:ascii="Arial" w:cs="Arial" w:eastAsia="Arial" w:hAnsi="Arial"/>
          <w:b/>
          <w:bCs/>
          <w:color w:val="1A2B2D"/>
        </w:rPr>
        <w:t xml:space="preserve">Orbital inflammatory disease (‘orbital pseudotumour’)</w:t>
      </w:r>
      <w:r>
        <w:rPr>
          <w:rFonts w:ascii="Arial" w:cs="Arial" w:eastAsia="Arial" w:hAnsi="Arial"/>
          <w:color w:val="1A2B2D"/>
        </w:rPr>
        <w:t xml:space="preserve"> — an idiopathic granulomatous inflammation that mimics a neoplasm; biopsy shows epithelioid and giant cells. It typically responds to corticosteroids.</w:t>
      </w:r>
    </w:p>
    <w:p>
      <w:pPr>
        <w:pStyle w:val="ListParagraph"/>
        <w:numPr>
          <w:ilvl w:val="0"/>
          <w:numId w:val="2"/>
        </w:numPr>
        <w:spacing w:after="60" w:line="272"/>
      </w:pPr>
      <w:r>
        <w:rPr>
          <w:rFonts w:ascii="Arial" w:cs="Arial" w:eastAsia="Arial" w:hAnsi="Arial"/>
          <w:b/>
          <w:bCs/>
          <w:color w:val="1A2B2D"/>
        </w:rPr>
        <w:t xml:space="preserve">Cavernous sinus thrombosis</w:t>
      </w:r>
      <w:r>
        <w:rPr>
          <w:rFonts w:ascii="Arial" w:cs="Arial" w:eastAsia="Arial" w:hAnsi="Arial"/>
          <w:color w:val="1A2B2D"/>
        </w:rPr>
        <w:t xml:space="preserve"> — a grave condition, usually from infection spreading via the facial/ophthalmic veins (which drain the nose and central face). It presents with rapidly progressive proptosis, chemosis, ophthalmoplegia and systemic sepsis, and is a medical emergency requiring urgent admission and intravenous antibiotics.</w:t>
      </w:r>
    </w:p>
    <w:p>
      <w:pPr>
        <w:pStyle w:val="Heading2"/>
        <w:keepNext/>
        <w:spacing w:after="100" w:before="240"/>
      </w:pPr>
      <w:r>
        <w:rPr>
          <w:rFonts w:ascii="Arial" w:cs="Arial" w:eastAsia="Arial" w:hAnsi="Arial"/>
          <w:b/>
          <w:bCs/>
          <w:color w:val="0E6E78"/>
          <w:sz w:val="24"/>
          <w:szCs w:val="24"/>
        </w:rPr>
        <w:t xml:space="preserve">2   </w:t>
      </w:r>
      <w:r>
        <w:rPr>
          <w:rFonts w:ascii="Arial" w:cs="Arial" w:eastAsia="Arial" w:hAnsi="Arial"/>
          <w:b/>
          <w:bCs/>
          <w:color w:val="0E6E78"/>
          <w:sz w:val="24"/>
          <w:szCs w:val="24"/>
        </w:rPr>
        <w:t xml:space="preserve">Neoplastic orbital disease</w:t>
      </w:r>
    </w:p>
    <w:p>
      <w:pPr>
        <w:keepNext w:val="false"/>
        <w:spacing w:after="120" w:before="0" w:line="276"/>
      </w:pPr>
      <w:r>
        <w:rPr>
          <w:rFonts w:ascii="Arial" w:cs="Arial" w:eastAsia="Arial" w:hAnsi="Arial"/>
          <w:color w:val="1A2B2D"/>
        </w:rPr>
        <w:t xml:space="preserve">Primary orbital tumours usually cause </w:t>
      </w:r>
      <w:r>
        <w:rPr>
          <w:rFonts w:ascii="Arial" w:cs="Arial" w:eastAsia="Arial" w:hAnsi="Arial"/>
          <w:b/>
          <w:bCs/>
          <w:color w:val="1A2B2D"/>
        </w:rPr>
        <w:t xml:space="preserve">unilateral</w:t>
      </w:r>
      <w:r>
        <w:rPr>
          <w:rFonts w:ascii="Arial" w:cs="Arial" w:eastAsia="Arial" w:hAnsi="Arial"/>
          <w:color w:val="1A2B2D"/>
        </w:rPr>
        <w:t xml:space="preserve"> proptosis. The commonest benign tumour in adults is a </w:t>
      </w:r>
      <w:r>
        <w:rPr>
          <w:rFonts w:ascii="Arial" w:cs="Arial" w:eastAsia="Arial" w:hAnsi="Arial"/>
          <w:b/>
          <w:bCs/>
          <w:color w:val="0E6E78"/>
        </w:rPr>
        <w:t xml:space="preserve">cavernous haemangioma</w:t>
      </w:r>
      <w:r>
        <w:rPr>
          <w:rFonts w:ascii="Arial" w:cs="Arial" w:eastAsia="Arial" w:hAnsi="Arial"/>
          <w:color w:val="1A2B2D"/>
        </w:rPr>
        <w:t xml:space="preserve">. In children, a </w:t>
      </w:r>
      <w:r>
        <w:rPr>
          <w:rFonts w:ascii="Arial" w:cs="Arial" w:eastAsia="Arial" w:hAnsi="Arial"/>
          <w:b/>
          <w:bCs/>
          <w:color w:val="0E6E78"/>
        </w:rPr>
        <w:t xml:space="preserve">capillary haemangioma</w:t>
      </w:r>
      <w:r>
        <w:rPr>
          <w:rFonts w:ascii="Arial" w:cs="Arial" w:eastAsia="Arial" w:hAnsi="Arial"/>
          <w:color w:val="1A2B2D"/>
        </w:rPr>
        <w:t xml:space="preserve"> or the highly malignant </w:t>
      </w:r>
      <w:r>
        <w:rPr>
          <w:rFonts w:ascii="Arial" w:cs="Arial" w:eastAsia="Arial" w:hAnsi="Arial"/>
          <w:b/>
          <w:bCs/>
          <w:color w:val="0E6E78"/>
        </w:rPr>
        <w:t xml:space="preserve">rhabdomyosarcoma</w:t>
      </w:r>
      <w:r>
        <w:rPr>
          <w:rFonts w:ascii="Arial" w:cs="Arial" w:eastAsia="Arial" w:hAnsi="Arial"/>
          <w:color w:val="1A2B2D"/>
        </w:rPr>
        <w:t xml:space="preserve"> (an embryonal tumour of the extraocular muscles) must be considered — rhabdomyosarcoma needs urgent specialist referral. Optic-nerve glioma, lacrimal-gland tumours, lymphoma and metastatic deposits also occur.</w:t>
      </w:r>
    </w:p>
    <w:p>
      <w:pPr>
        <w:pStyle w:val="Heading2"/>
        <w:keepNext/>
        <w:spacing w:after="100" w:before="240"/>
      </w:pPr>
      <w:r>
        <w:rPr>
          <w:rFonts w:ascii="Arial" w:cs="Arial" w:eastAsia="Arial" w:hAnsi="Arial"/>
          <w:b/>
          <w:bCs/>
          <w:color w:val="0E6E78"/>
          <w:sz w:val="24"/>
          <w:szCs w:val="24"/>
        </w:rPr>
        <w:t xml:space="preserve">3   </w:t>
      </w:r>
      <w:r>
        <w:rPr>
          <w:rFonts w:ascii="Arial" w:cs="Arial" w:eastAsia="Arial" w:hAnsi="Arial"/>
          <w:b/>
          <w:bCs/>
          <w:color w:val="0E6E78"/>
          <w:sz w:val="24"/>
          <w:szCs w:val="24"/>
        </w:rPr>
        <w:t xml:space="preserve">Thyroid eye disease</w:t>
      </w:r>
    </w:p>
    <w:p>
      <w:pPr>
        <w:keepNext w:val="false"/>
        <w:spacing w:after="120" w:before="0" w:line="276"/>
      </w:pPr>
      <w:r>
        <w:rPr>
          <w:rFonts w:ascii="Arial" w:cs="Arial" w:eastAsia="Arial" w:hAnsi="Arial"/>
          <w:b/>
          <w:bCs/>
          <w:color w:val="0E6E78"/>
        </w:rPr>
        <w:t xml:space="preserve">Thyroid eye disease</w:t>
      </w:r>
      <w:r>
        <w:rPr>
          <w:rFonts w:ascii="Arial" w:cs="Arial" w:eastAsia="Arial" w:hAnsi="Arial"/>
          <w:color w:val="1A2B2D"/>
        </w:rPr>
        <w:t xml:space="preserve"> (TED, also called Graves’ orbitopathy) is the commonest cause of proptosis overall, and the commonest cause of unilateral proptosis in adults. It is an autoimmune inflammation of the orbital fat and extraocular muscles, usually associated with Graves’ disease, though it can occur in euthyroid or hypothyroid patients. The muscles swell and later fibrose, the orbital tissues become oedematous, and the eye is pushed forward.</w:t>
      </w:r>
    </w:p>
    <w:p>
      <w:pPr>
        <w:keepNext w:val="false"/>
        <w:spacing w:after="120" w:before="0" w:line="276"/>
      </w:pPr>
      <w:r>
        <w:rPr>
          <w:rFonts w:ascii="Arial" w:cs="Arial" w:eastAsia="Arial" w:hAnsi="Arial"/>
          <w:color w:val="1A2B2D"/>
        </w:rPr>
        <w:t xml:space="preserve">Features range from </w:t>
      </w:r>
      <w:r>
        <w:rPr>
          <w:rFonts w:ascii="Arial" w:cs="Arial" w:eastAsia="Arial" w:hAnsi="Arial"/>
          <w:b/>
          <w:bCs/>
          <w:color w:val="0E6E78"/>
        </w:rPr>
        <w:t xml:space="preserve">lid retraction</w:t>
      </w:r>
      <w:r>
        <w:rPr>
          <w:rFonts w:ascii="Arial" w:cs="Arial" w:eastAsia="Arial" w:hAnsi="Arial"/>
          <w:color w:val="1A2B2D"/>
        </w:rPr>
        <w:t xml:space="preserve"> and a staring appearance (sympathetic over-activity widening the palpebral fissure) and grittiness, through proptosis, lid and conjunctival oedema and redness, to restricted eye movements with </w:t>
      </w:r>
      <w:r>
        <w:rPr>
          <w:rFonts w:ascii="Arial" w:cs="Arial" w:eastAsia="Arial" w:hAnsi="Arial"/>
          <w:b/>
          <w:bCs/>
          <w:color w:val="0E6E78"/>
        </w:rPr>
        <w:t xml:space="preserve">diplopia</w:t>
      </w:r>
      <w:r>
        <w:rPr>
          <w:rFonts w:ascii="Arial" w:cs="Arial" w:eastAsia="Arial" w:hAnsi="Arial"/>
          <w:color w:val="1A2B2D"/>
        </w:rPr>
        <w:t xml:space="preserve">. The most serious complication is </w:t>
      </w:r>
      <w:r>
        <w:rPr>
          <w:rFonts w:ascii="Arial" w:cs="Arial" w:eastAsia="Arial" w:hAnsi="Arial"/>
          <w:b/>
          <w:bCs/>
          <w:color w:val="0E6E78"/>
        </w:rPr>
        <w:t xml:space="preserve">dysthyroid optic neuropathy</w:t>
      </w:r>
      <w:r>
        <w:rPr>
          <w:rFonts w:ascii="Arial" w:cs="Arial" w:eastAsia="Arial" w:hAnsi="Arial"/>
          <w:color w:val="1A2B2D"/>
        </w:rPr>
        <w:t xml:space="preserve"> from optic-nerve compression at the apex. </w:t>
      </w:r>
      <w:r>
        <w:rPr>
          <w:rFonts w:ascii="Arial" w:cs="Arial" w:eastAsia="Arial" w:hAnsi="Arial"/>
          <w:b/>
          <w:bCs/>
          <w:color w:val="1A2B2D"/>
        </w:rPr>
        <w:t xml:space="preserve">Smoking is the strongest modifiable risk factor</w:t>
      </w:r>
      <w:r>
        <w:rPr>
          <w:rFonts w:ascii="Arial" w:cs="Arial" w:eastAsia="Arial" w:hAnsi="Arial"/>
          <w:color w:val="1A2B2D"/>
        </w:rPr>
        <w:t xml:space="preserve"> and markedly worsens the disease and its response to treatment.</w:t>
      </w:r>
    </w:p>
    <w:tbl>
      <w:tblPr>
        <w:tblW w:type="dxa" w:w="9360"/>
        <w:tblBorders>
          <w:top w:val="single" w:color="2E7D46" w:sz="2"/>
          <w:left w:val="single" w:color="2E7D46" w:sz="28"/>
          <w:bottom w:val="single" w:color="2E7D46" w:sz="2"/>
          <w:right w:val="single" w:color="2E7D46" w:sz="2"/>
          <w:insideH w:val="single" w:color="auto" w:sz="4"/>
          <w:insideV w:val="single" w:color="auto" w:sz="4"/>
        </w:tblBorders>
      </w:tblPr>
      <w:tblGrid>
        <w:gridCol w:w="9360"/>
      </w:tblGrid>
      <w:tr>
        <w:tc>
          <w:tcPr>
            <w:tcW w:type="dxa" w:w="9360"/>
            <w:shd w:fill="E9F5EC" w:color="auto" w:val="clear"/>
            <w:tcMar>
              <w:top w:type="dxa" w:w="120"/>
              <w:left w:type="dxa" w:w="220"/>
              <w:bottom w:type="dxa" w:w="120"/>
              <w:right w:type="dxa" w:w="180"/>
            </w:tcMar>
          </w:tcPr>
          <w:p>
            <w:pPr>
              <w:spacing w:after="80" w:line="264"/>
            </w:pPr>
            <w:r>
              <w:rPr>
                <w:rFonts w:ascii="Arial" w:cs="Arial" w:eastAsia="Arial" w:hAnsi="Arial"/>
                <w:b/>
                <w:bCs/>
                <w:color w:val="1C5E30"/>
                <w:spacing w:val="30"/>
                <w:sz w:val="19"/>
                <w:szCs w:val="19"/>
              </w:rPr>
              <w:t xml:space="preserve">MANAGEMENT OF THYROID EYE DISEASE (SPECIALIST / SECONDARY CARE)</w:t>
            </w:r>
          </w:p>
          <w:p>
            <w:pPr>
              <w:spacing w:after="80" w:line="264"/>
            </w:pPr>
            <w:r>
              <w:rPr>
                <w:rFonts w:ascii="Arial" w:cs="Arial" w:eastAsia="Arial" w:hAnsi="Arial"/>
                <w:color w:val="1A2B2D"/>
              </w:rPr>
              <w:t xml:space="preserve">First-contact priorities: </w:t>
            </w:r>
            <w:r>
              <w:rPr>
                <w:rFonts w:ascii="Arial" w:cs="Arial" w:eastAsia="Arial" w:hAnsi="Arial"/>
                <w:b/>
                <w:bCs/>
                <w:color w:val="1A2B2D"/>
              </w:rPr>
              <w:t xml:space="preserve">strongly support smoking cessation</w:t>
            </w:r>
            <w:r>
              <w:rPr>
                <w:rFonts w:ascii="Arial" w:cs="Arial" w:eastAsia="Arial" w:hAnsi="Arial"/>
                <w:color w:val="1A2B2D"/>
              </w:rPr>
              <w:t xml:space="preserve">, restore and maintain euthyroidism, and give ocular surface lubricants for grittiness and exposure. Treatment otherwise depends on disease </w:t>
            </w:r>
            <w:r>
              <w:rPr>
                <w:rFonts w:ascii="Arial" w:cs="Arial" w:eastAsia="Arial" w:hAnsi="Arial"/>
                <w:b/>
                <w:bCs/>
                <w:color w:val="0E6E78"/>
              </w:rPr>
              <w:t xml:space="preserve">activity</w:t>
            </w:r>
            <w:r>
              <w:rPr>
                <w:rFonts w:ascii="Arial" w:cs="Arial" w:eastAsia="Arial" w:hAnsi="Arial"/>
                <w:color w:val="1A2B2D"/>
              </w:rPr>
              <w:t xml:space="preserve"> and </w:t>
            </w:r>
            <w:r>
              <w:rPr>
                <w:rFonts w:ascii="Arial" w:cs="Arial" w:eastAsia="Arial" w:hAnsi="Arial"/>
                <w:b/>
                <w:bCs/>
                <w:color w:val="0E6E78"/>
              </w:rPr>
              <w:t xml:space="preserve">severity</w:t>
            </w:r>
            <w:r>
              <w:rPr>
                <w:rFonts w:ascii="Arial" w:cs="Arial" w:eastAsia="Arial" w:hAnsi="Arial"/>
                <w:color w:val="1A2B2D"/>
              </w:rPr>
              <w:t xml:space="preserve">, and on quality-of-life impact, and is directed by a specialist TED service.</w:t>
            </w:r>
          </w:p>
          <w:p>
            <w:pPr>
              <w:spacing w:after="80" w:line="264"/>
            </w:pPr>
            <w:r>
              <w:rPr>
                <w:rFonts w:ascii="Arial" w:cs="Arial" w:eastAsia="Arial" w:hAnsi="Arial"/>
                <w:color w:val="1A2B2D"/>
              </w:rPr>
              <w:t xml:space="preserve">Active moderate-to-severe disease is treated with </w:t>
            </w:r>
            <w:r>
              <w:rPr>
                <w:rFonts w:ascii="Arial" w:cs="Arial" w:eastAsia="Arial" w:hAnsi="Arial"/>
                <w:b/>
                <w:bCs/>
                <w:color w:val="0E6E78"/>
              </w:rPr>
              <w:t xml:space="preserve">pulsed intravenous methylprednisolone</w:t>
            </w:r>
            <w:r>
              <w:rPr>
                <w:rFonts w:ascii="Arial" w:cs="Arial" w:eastAsia="Arial" w:hAnsi="Arial"/>
                <w:color w:val="1A2B2D"/>
              </w:rPr>
              <w:t xml:space="preserve">; steroid-sparing immunomodulators and orbital radiotherapy are second-line options. Rehabilitative surgery (orbital decompression, squint and lid surgery) is undertaken once the disease is inactive. Selenium may help mild active disease in selenium-deficient regions.</w:t>
            </w:r>
          </w:p>
          <w:p>
            <w:pPr>
              <w:spacing w:after="0" w:line="264"/>
            </w:pPr>
            <w:r>
              <w:rPr>
                <w:rFonts w:ascii="Arial" w:cs="Arial" w:eastAsia="Arial" w:hAnsi="Arial"/>
                <w:i/>
                <w:iCs/>
                <w:color w:val="5B6A6C"/>
                <w:sz w:val="16"/>
                <w:szCs w:val="16"/>
              </w:rPr>
              <w:t xml:space="preserve">Source: EUGOGO (European Group on Graves’ Orbitopathy) 2021 clinical practice guidelines; ATA/ETA 2022 consensus; RCOphth/BOPSS guidance. (Not covered by NICE; specialist guidance used as stated.)</w:t>
            </w:r>
          </w:p>
        </w:tc>
      </w:tr>
    </w:tbl>
    <w:tbl>
      <w:tblPr>
        <w:tblW w:type="dxa" w:w="9360"/>
        <w:tblBorders>
          <w:top w:val="single" w:color="C0392B" w:sz="2"/>
          <w:left w:val="single" w:color="C0392B" w:sz="28"/>
          <w:bottom w:val="single" w:color="C0392B" w:sz="2"/>
          <w:right w:val="single" w:color="C0392B" w:sz="2"/>
          <w:insideH w:val="single" w:color="auto" w:sz="4"/>
          <w:insideV w:val="single" w:color="auto" w:sz="4"/>
        </w:tblBorders>
      </w:tblPr>
      <w:tblGrid>
        <w:gridCol w:w="9360"/>
      </w:tblGrid>
      <w:tr>
        <w:tc>
          <w:tcPr>
            <w:tcW w:type="dxa" w:w="9360"/>
            <w:shd w:fill="FBEBE8" w:color="auto" w:val="clear"/>
            <w:tcMar>
              <w:top w:type="dxa" w:w="120"/>
              <w:left w:type="dxa" w:w="220"/>
              <w:bottom w:type="dxa" w:w="120"/>
              <w:right w:type="dxa" w:w="180"/>
            </w:tcMar>
          </w:tcPr>
          <w:p>
            <w:pPr>
              <w:spacing w:after="80" w:line="264"/>
            </w:pPr>
            <w:r>
              <w:rPr>
                <w:rFonts w:ascii="Arial" w:cs="Arial" w:eastAsia="Arial" w:hAnsi="Arial"/>
                <w:b/>
                <w:bCs/>
                <w:color w:val="962319"/>
                <w:spacing w:val="30"/>
                <w:sz w:val="19"/>
                <w:szCs w:val="19"/>
              </w:rPr>
              <w:t xml:space="preserve">SIGHT-THREATENING THYROID EYE DISEASE</w:t>
            </w:r>
          </w:p>
          <w:p>
            <w:pPr>
              <w:spacing w:after="0" w:line="264"/>
            </w:pPr>
            <w:r>
              <w:rPr>
                <w:rFonts w:ascii="Arial" w:cs="Arial" w:eastAsia="Arial" w:hAnsi="Arial"/>
                <w:color w:val="1A2B2D"/>
              </w:rPr>
              <w:t xml:space="preserve">New or worsening loss of vision, loss of colour vision, or a relative afferent pupillary defect suggests </w:t>
            </w:r>
            <w:r>
              <w:rPr>
                <w:rFonts w:ascii="Arial" w:cs="Arial" w:eastAsia="Arial" w:hAnsi="Arial"/>
                <w:b/>
                <w:bCs/>
                <w:color w:val="1A2B2D"/>
              </w:rPr>
              <w:t xml:space="preserve">dysthyroid optic neuropathy</w:t>
            </w:r>
            <w:r>
              <w:rPr>
                <w:rFonts w:ascii="Arial" w:cs="Arial" w:eastAsia="Arial" w:hAnsi="Arial"/>
                <w:color w:val="1A2B2D"/>
              </w:rPr>
              <w:t xml:space="preserve"> — and severe corneal exposure is also sight-threatening. Both are ophthalmic emergencies needing </w:t>
            </w:r>
            <w:r>
              <w:rPr>
                <w:rFonts w:ascii="Arial" w:cs="Arial" w:eastAsia="Arial" w:hAnsi="Arial"/>
                <w:b/>
                <w:bCs/>
                <w:color w:val="1A2B2D"/>
              </w:rPr>
              <w:t xml:space="preserve">urgent (same-day) specialist referral</w:t>
            </w:r>
            <w:r>
              <w:rPr>
                <w:rFonts w:ascii="Arial" w:cs="Arial" w:eastAsia="Arial" w:hAnsi="Arial"/>
                <w:color w:val="1A2B2D"/>
              </w:rPr>
              <w:t xml:space="preserve">; treatment is high-dose intravenous methylprednisolone, with urgent orbital decompression if vision does not recover.</w:t>
            </w:r>
          </w:p>
        </w:tc>
      </w:tr>
    </w:tbl>
    <w:p>
      <w:pPr>
        <w:pBdr>
          <w:top w:val="single" w:color="0E6E78" w:sz="10" w:space="6"/>
        </w:pBdr>
        <w:spacing w:after="0" w:before="360"/>
      </w:pPr>
      <w:r>
        <w:rPr>
          <w:rFonts w:ascii="Arial" w:cs="Arial" w:eastAsia="Arial" w:hAnsi="Arial"/>
          <w:b/>
          <w:bCs/>
          <w:color w:val="094A52"/>
          <w:spacing w:val="40"/>
          <w:sz w:val="19"/>
          <w:szCs w:val="19"/>
        </w:rPr>
        <w:t xml:space="preserve">END OF CHAPTER 8 · THE ORBIT</w:t>
      </w:r>
    </w:p>
    <w:sectPr>
      <w:footerReference w:type="default" r:id="rId7"/>
      <w:pgSz w:w="12240" w:h="15840" w:orient="portrait"/>
      <w:pgMar w:top="1296" w:right="1440" w:bottom="1296"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D6D8" w:sz="6" w:space="6"/>
      </w:pBdr>
      <w:tabs>
        <w:tab w:val="right" w:pos="9360"/>
      </w:tabs>
    </w:pPr>
    <w:r>
      <w:rPr>
        <w:rFonts w:ascii="Arial" w:cs="Arial" w:eastAsia="Arial" w:hAnsi="Arial"/>
        <w:color w:val="5B6A6C"/>
        <w:sz w:val="16"/>
        <w:szCs w:val="16"/>
      </w:rPr>
      <w:t xml:space="preserve">BRADFORD VTS TEACHING AIDS  ·  JUNE 2026</w:t>
    </w:r>
    <w:r>
      <w:rPr>
        <w:rFonts w:ascii="Arial" w:cs="Arial" w:eastAsia="Arial" w:hAnsi="Arial"/>
        <w:color w:val="5B6A6C"/>
        <w:sz w:val="16"/>
        <w:szCs w:val="16"/>
      </w:rPr>
      <w:t xml:space="preserve">	Page </w:t>
    </w:r>
    <w:r>
      <w:rPr>
        <w:rFonts w:ascii="Arial" w:cs="Arial" w:eastAsia="Arial" w:hAnsi="Arial"/>
        <w:b/>
        <w:bCs/>
        <w:color w:val="5B6A6C"/>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0E6E78"/>
      </w:rPr>
    </w:lvl>
  </w:abstractNum>
  <w:abstractNum w:abstractNumId="3" w15:restartNumberingAfterBreak="0">
    <w:multiLevelType w:val="hybridMultilevel"/>
    <w:lvl w:ilvl="0" w15:tentative="1">
      <w:start w:val="1"/>
      <w:numFmt w:val="bullet"/>
      <w:lvlText w:val="•"/>
      <w:lvlJc w:val="left"/>
      <w:pPr>
        <w:ind w:left="360" w:hanging="24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2B2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200"/>
      <w:outlineLvl w:val="0"/>
    </w:pPr>
    <w:rPr>
      <w:rFonts w:ascii="Arial" w:cs="Arial" w:eastAsia="Arial" w:hAnsi="Arial"/>
      <w:b/>
      <w:bCs/>
      <w:color w:val="0E6E78"/>
      <w:sz w:val="40"/>
      <w:szCs w:val="40"/>
    </w:rPr>
  </w:style>
  <w:style w:type="paragraph" w:styleId="Heading1">
    <w:name w:val="Heading 1"/>
    <w:basedOn w:val="Normal"/>
    <w:next w:val="Normal"/>
    <w:qFormat/>
    <w:pPr>
      <w:spacing w:after="160" w:before="240"/>
      <w:outlineLvl w:val="0"/>
    </w:pPr>
    <w:rPr>
      <w:rFonts w:ascii="Arial" w:cs="Arial" w:eastAsia="Arial" w:hAnsi="Arial"/>
      <w:b/>
      <w:bCs/>
      <w:color w:val="0E6E78"/>
      <w:sz w:val="30"/>
      <w:szCs w:val="30"/>
    </w:rPr>
  </w:style>
  <w:style w:type="paragraph" w:styleId="Heading2">
    <w:name w:val="Heading 2"/>
    <w:basedOn w:val="Normal"/>
    <w:next w:val="Normal"/>
    <w:qFormat/>
    <w:pPr>
      <w:spacing w:after="100" w:before="200"/>
      <w:outlineLvl w:val="1"/>
    </w:pPr>
    <w:rPr>
      <w:rFonts w:ascii="Arial" w:cs="Arial" w:eastAsia="Arial" w:hAnsi="Arial"/>
      <w:b/>
      <w:bCs/>
      <w:color w:val="0E6E78"/>
      <w:sz w:val="24"/>
      <w:szCs w:val="24"/>
    </w:rPr>
  </w:style>
  <w:style w:type="paragraph" w:styleId="Heading3">
    <w:name w:val="Heading 3"/>
    <w:basedOn w:val="Normal"/>
    <w:next w:val="Normal"/>
    <w:qFormat/>
    <w:pPr>
      <w:spacing w:after="60" w:before="160"/>
      <w:outlineLvl w:val="2"/>
    </w:pPr>
    <w:rPr>
      <w:rFonts w:ascii="Arial" w:cs="Arial" w:eastAsia="Arial" w:hAnsi="Arial"/>
      <w:b/>
      <w:bCs/>
      <w:color w:val="094A5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2026-06-08T17:08:44.672Z</dcterms:created>
  <dcterms:modified xsi:type="dcterms:W3CDTF">2026-06-08T17:08:44.673Z</dcterms:modified>
</cp:coreProperties>
</file>

<file path=docProps/custom.xml><?xml version="1.0" encoding="utf-8"?>
<Properties xmlns="http://schemas.openxmlformats.org/officeDocument/2006/custom-properties" xmlns:vt="http://schemas.openxmlformats.org/officeDocument/2006/docPropsVTypes"/>
</file>