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200"/>
      </w:pPr>
      <w:r>
        <w:rPr>
          <w:rFonts w:ascii="Arial" w:cs="Arial" w:eastAsia="Arial" w:hAnsi="Arial"/>
          <w:b/>
          <w:bCs/>
          <w:color w:val="0F7480"/>
          <w:spacing w:val="80"/>
          <w:sz w:val="20"/>
          <w:szCs w:val="20"/>
        </w:rPr>
        <w:t xml:space="preserve">BRADFORD VTS TEACHING AIDS</w:t>
      </w:r>
    </w:p>
    <w:p>
      <w:pPr>
        <w:spacing w:after="60"/>
      </w:pPr>
      <w:r>
        <w:rPr>
          <w:rFonts w:ascii="Arial" w:cs="Arial" w:eastAsia="Arial" w:hAnsi="Arial"/>
          <w:b/>
          <w:bCs/>
          <w:color w:val="5B6B73"/>
          <w:spacing w:val="40"/>
          <w:sz w:val="22"/>
          <w:szCs w:val="22"/>
        </w:rPr>
        <w:t xml:space="preserve">CHAPTER 10</w:t>
      </w:r>
    </w:p>
    <w:p>
      <w:pPr>
        <w:pBdr>
          <w:bottom w:val="single" w:color="0F7480" w:sz="22" w:space="8"/>
        </w:pBdr>
        <w:spacing w:after="120"/>
      </w:pPr>
      <w:r>
        <w:rPr>
          <w:rFonts w:ascii="Arial" w:cs="Arial" w:eastAsia="Arial" w:hAnsi="Arial"/>
          <w:b/>
          <w:bCs/>
          <w:color w:val="0E5A63"/>
          <w:sz w:val="56"/>
          <w:szCs w:val="56"/>
        </w:rPr>
        <w:t xml:space="preserve">Visual &amp; Pupillary Pathways</w:t>
      </w:r>
    </w:p>
    <w:p>
      <w:pPr>
        <w:spacing w:after="30"/>
      </w:pPr>
      <w:r>
        <w:rPr>
          <w:rFonts w:ascii="Arial" w:cs="Arial" w:eastAsia="Arial" w:hAnsi="Arial"/>
          <w:color w:val="0F7480"/>
          <w:sz w:val="22"/>
          <w:szCs w:val="22"/>
        </w:rPr>
        <w:t xml:space="preserve">Retinal cell systems    ·    The visual pathway    ·    Cortical representation    ·    Pupillary reflexes</w:t>
      </w:r>
    </w:p>
    <w:p>
      <w:pPr>
        <w:spacing w:after="280"/>
      </w:pPr>
      <w:r>
        <w:rPr>
          <w:rFonts w:ascii="Arial" w:cs="Arial" w:eastAsia="Arial" w:hAnsi="Arial"/>
          <w:i/>
          <w:iCs/>
          <w:color w:val="5B6B73"/>
          <w:sz w:val="22"/>
          <w:szCs w:val="22"/>
        </w:rPr>
        <w:t xml:space="preserve">how the eye carries and processes the visual signal, and how the pupil is controlled</w:t>
      </w:r>
    </w:p>
    <w:p>
      <w:pPr>
        <w:spacing w:after="100"/>
      </w:pPr>
      <w:r>
        <w:rPr>
          <w:rFonts w:ascii="Arial" w:cs="Arial" w:eastAsia="Arial" w:hAnsi="Arial"/>
          <w:b/>
          <w:bCs/>
          <w:color w:val="0F7480"/>
          <w:spacing w:val="60"/>
          <w:sz w:val="20"/>
          <w:szCs w:val="20"/>
        </w:rPr>
        <w:t xml:space="preserve">CONTENTS</w:t>
      </w:r>
    </w:p>
    <w:p>
      <w:pPr>
        <w:spacing w:after="70"/>
        <w:ind w:left="120"/>
      </w:pPr>
      <w:r>
        <w:rPr>
          <w:rFonts w:ascii="Arial" w:cs="Arial" w:eastAsia="Arial" w:hAnsi="Arial"/>
          <w:b/>
          <w:bCs/>
          <w:color w:val="0F7480"/>
          <w:sz w:val="22"/>
          <w:szCs w:val="22"/>
        </w:rPr>
        <w:t xml:space="preserve">A    </w:t>
      </w:r>
      <w:r>
        <w:rPr>
          <w:rFonts w:ascii="Arial" w:cs="Arial" w:eastAsia="Arial" w:hAnsi="Arial"/>
          <w:color w:val="1F2933"/>
          <w:sz w:val="22"/>
          <w:szCs w:val="22"/>
        </w:rPr>
        <w:t xml:space="preserve">Retinal cell systems</w:t>
      </w:r>
    </w:p>
    <w:p>
      <w:pPr>
        <w:spacing w:after="70"/>
        <w:ind w:left="120"/>
      </w:pPr>
      <w:r>
        <w:rPr>
          <w:rFonts w:ascii="Arial" w:cs="Arial" w:eastAsia="Arial" w:hAnsi="Arial"/>
          <w:b/>
          <w:bCs/>
          <w:color w:val="0F7480"/>
          <w:sz w:val="22"/>
          <w:szCs w:val="22"/>
        </w:rPr>
        <w:t xml:space="preserve">B    </w:t>
      </w:r>
      <w:r>
        <w:rPr>
          <w:rFonts w:ascii="Arial" w:cs="Arial" w:eastAsia="Arial" w:hAnsi="Arial"/>
          <w:color w:val="1F2933"/>
          <w:sz w:val="22"/>
          <w:szCs w:val="22"/>
        </w:rPr>
        <w:t xml:space="preserve">The visual pathway</w:t>
      </w:r>
    </w:p>
    <w:p>
      <w:pPr>
        <w:spacing w:after="70"/>
        <w:ind w:left="120"/>
      </w:pPr>
      <w:r>
        <w:rPr>
          <w:rFonts w:ascii="Arial" w:cs="Arial" w:eastAsia="Arial" w:hAnsi="Arial"/>
          <w:b/>
          <w:bCs/>
          <w:color w:val="0F7480"/>
          <w:sz w:val="22"/>
          <w:szCs w:val="22"/>
        </w:rPr>
        <w:t xml:space="preserve">C    </w:t>
      </w:r>
      <w:r>
        <w:rPr>
          <w:rFonts w:ascii="Arial" w:cs="Arial" w:eastAsia="Arial" w:hAnsi="Arial"/>
          <w:color w:val="1F2933"/>
          <w:sz w:val="22"/>
          <w:szCs w:val="22"/>
        </w:rPr>
        <w:t xml:space="preserve">Cortical connections &amp; representation</w:t>
      </w:r>
    </w:p>
    <w:p>
      <w:pPr>
        <w:spacing w:after="70"/>
        <w:ind w:left="120"/>
      </w:pPr>
      <w:r>
        <w:rPr>
          <w:rFonts w:ascii="Arial" w:cs="Arial" w:eastAsia="Arial" w:hAnsi="Arial"/>
          <w:b/>
          <w:bCs/>
          <w:color w:val="0F7480"/>
          <w:sz w:val="22"/>
          <w:szCs w:val="22"/>
        </w:rPr>
        <w:t xml:space="preserve">D    </w:t>
      </w:r>
      <w:r>
        <w:rPr>
          <w:rFonts w:ascii="Arial" w:cs="Arial" w:eastAsia="Arial" w:hAnsi="Arial"/>
          <w:color w:val="1F2933"/>
          <w:sz w:val="22"/>
          <w:szCs w:val="22"/>
        </w:rPr>
        <w:t xml:space="preserve">The pupillary reflexes</w:t>
      </w:r>
    </w:p>
    <w:p>
      <w:pPr>
        <w:spacing w:after="70"/>
        <w:ind w:left="120"/>
      </w:pPr>
      <w:r>
        <w:rPr>
          <w:rFonts w:ascii="Arial" w:cs="Arial" w:eastAsia="Arial" w:hAnsi="Arial"/>
          <w:b/>
          <w:bCs/>
          <w:color w:val="0F7480"/>
          <w:sz w:val="22"/>
          <w:szCs w:val="22"/>
        </w:rPr>
        <w:t xml:space="preserve">E    </w:t>
      </w:r>
      <w:r>
        <w:rPr>
          <w:rFonts w:ascii="Arial" w:cs="Arial" w:eastAsia="Arial" w:hAnsi="Arial"/>
          <w:color w:val="1F2933"/>
          <w:sz w:val="22"/>
          <w:szCs w:val="22"/>
        </w:rPr>
        <w:t xml:space="preserve">Quick reference — lesions of the pathways</w:t>
      </w:r>
    </w:p>
    <w:p>
      <w:pPr>
        <w:pBdr>
          <w:top w:val="single" w:color="BFE0E3" w:sz="6" w:space="6"/>
        </w:pBdr>
        <w:tabs>
          <w:tab w:val="right" w:pos="9360"/>
        </w:tabs>
        <w:spacing w:before="320"/>
      </w:pPr>
      <w:r>
        <w:rPr>
          <w:rFonts w:ascii="Arial" w:cs="Arial" w:eastAsia="Arial" w:hAnsi="Arial"/>
          <w:color w:val="5B6B73"/>
          <w:sz w:val="20"/>
          <w:szCs w:val="20"/>
        </w:rPr>
        <w:t xml:space="preserve">Postgraduate ophthalmology teaching resource</w:t>
      </w:r>
      <w:r>
        <w:rPr>
          <w:rFonts w:ascii="Arial" w:cs="Arial" w:eastAsia="Arial" w:hAnsi="Arial"/>
          <w:b/>
          <w:bCs/>
          <w:color w:val="0F7480"/>
          <w:sz w:val="20"/>
          <w:szCs w:val="20"/>
        </w:rPr>
        <w:t xml:space="preserve">	June 2026</w:t>
      </w:r>
    </w:p>
    <w:p>
      <w:r>
        <w:br w:type="page"/>
      </w:r>
    </w:p>
    <w:p>
      <w:pPr>
        <w:spacing w:after="40" w:before="60"/>
      </w:pPr>
      <w:r>
        <w:rPr>
          <w:rFonts w:ascii="Arial" w:cs="Arial" w:eastAsia="Arial" w:hAnsi="Arial"/>
          <w:b/>
          <w:bCs/>
          <w:color w:val="0F7480"/>
          <w:spacing w:val="60"/>
          <w:sz w:val="16"/>
          <w:szCs w:val="16"/>
        </w:rPr>
        <w:t xml:space="preserve">BRADFORD VTS TEACHING AIDS · CHAPTER 10</w:t>
      </w:r>
    </w:p>
    <w:p>
      <w:pPr>
        <w:pBdr>
          <w:bottom w:val="single" w:color="0F7480" w:sz="18" w:space="6"/>
        </w:pBdr>
        <w:spacing w:after="180" w:before="80"/>
      </w:pPr>
      <w:r>
        <w:rPr>
          <w:rFonts w:ascii="Arial" w:cs="Arial" w:eastAsia="Arial" w:hAnsi="Arial"/>
          <w:b/>
          <w:bCs/>
          <w:color w:val="0E5A63"/>
          <w:sz w:val="40"/>
          <w:szCs w:val="40"/>
        </w:rPr>
        <w:t xml:space="preserve">Visual &amp; Pupillary Pathways</w:t>
      </w:r>
    </w:p>
    <w:p>
      <w:pPr>
        <w:spacing w:after="60" w:before="120"/>
      </w:pPr>
      <w:r>
        <w:rPr>
          <w:rFonts w:ascii="Arial" w:cs="Arial" w:eastAsia="Arial" w:hAnsi="Arial"/>
          <w:b/>
          <w:bCs/>
          <w:color w:val="1F2933"/>
          <w:sz w:val="22"/>
          <w:szCs w:val="22"/>
        </w:rPr>
        <w:t xml:space="preserve">Introduction</w:t>
      </w:r>
    </w:p>
    <w:p>
      <w:pPr>
        <w:spacing w:after="160" w:line="276"/>
      </w:pPr>
      <w:r>
        <w:rPr>
          <w:rFonts w:ascii="Arial" w:cs="Arial" w:eastAsia="Arial" w:hAnsi="Arial"/>
          <w:color w:val="1F2933"/>
        </w:rPr>
        <w:t xml:space="preserve">The retina does far more than detect light. Its synaptic organisation means that messages pass from the </w:t>
      </w:r>
      <w:r>
        <w:rPr>
          <w:rFonts w:ascii="Arial" w:cs="Arial" w:eastAsia="Arial" w:hAnsi="Arial"/>
          <w:b/>
          <w:bCs/>
          <w:color w:val="0E7C86"/>
        </w:rPr>
        <w:t xml:space="preserve">receptors</w:t>
      </w:r>
      <w:r>
        <w:rPr>
          <w:rFonts w:ascii="Arial" w:cs="Arial" w:eastAsia="Arial" w:hAnsi="Arial"/>
          <w:color w:val="1F2933"/>
        </w:rPr>
        <w:t xml:space="preserve"> to the </w:t>
      </w:r>
      <w:r>
        <w:rPr>
          <w:rFonts w:ascii="Arial" w:cs="Arial" w:eastAsia="Arial" w:hAnsi="Arial"/>
          <w:b/>
          <w:bCs/>
          <w:color w:val="0E7C86"/>
        </w:rPr>
        <w:t xml:space="preserve">bipolar cells</w:t>
      </w:r>
      <w:r>
        <w:rPr>
          <w:rFonts w:ascii="Arial" w:cs="Arial" w:eastAsia="Arial" w:hAnsi="Arial"/>
          <w:color w:val="1F2933"/>
        </w:rPr>
        <w:t xml:space="preserve"> and on to the </w:t>
      </w:r>
      <w:r>
        <w:rPr>
          <w:rFonts w:ascii="Arial" w:cs="Arial" w:eastAsia="Arial" w:hAnsi="Arial"/>
          <w:b/>
          <w:bCs/>
          <w:color w:val="0E7C86"/>
        </w:rPr>
        <w:t xml:space="preserve">ganglion cells</w:t>
      </w:r>
      <w:r>
        <w:rPr>
          <w:rFonts w:ascii="Arial" w:cs="Arial" w:eastAsia="Arial" w:hAnsi="Arial"/>
          <w:color w:val="1F2933"/>
        </w:rPr>
        <w:t xml:space="preserve">. Beyond this direct route, many interconnections within the inner and outer plexiform layers let activity arising in one part of the retina influence ganglion cells in the surrounding area. This chapter follows the signal from the retina, along the visual pathway to the cortex, and traces the separate reflex pathways that control the pupil.</w:t>
      </w:r>
    </w:p>
    <w:p>
      <w:pPr>
        <w:pBdr>
          <w:bottom w:val="single" w:color="BFE0E3" w:sz="10" w:space="6"/>
        </w:pBdr>
        <w:spacing w:after="140" w:before="260"/>
      </w:pPr>
      <w:r>
        <w:rPr>
          <w:rFonts w:ascii="Arial" w:cs="Arial" w:eastAsia="Arial" w:hAnsi="Arial"/>
          <w:b/>
          <w:bCs/>
          <w:color w:val="0F7480"/>
          <w:sz w:val="30"/>
          <w:szCs w:val="30"/>
        </w:rPr>
        <w:t xml:space="preserve">A   </w:t>
      </w:r>
      <w:r>
        <w:rPr>
          <w:rFonts w:ascii="Arial" w:cs="Arial" w:eastAsia="Arial" w:hAnsi="Arial"/>
          <w:b/>
          <w:bCs/>
          <w:color w:val="0E5A63"/>
          <w:sz w:val="30"/>
          <w:szCs w:val="30"/>
        </w:rPr>
        <w:t xml:space="preserve">Retinal cell systems</w:t>
      </w:r>
    </w:p>
    <w:p>
      <w:pPr>
        <w:spacing w:after="90" w:before="180"/>
      </w:pPr>
      <w:r>
        <w:rPr>
          <w:rFonts w:ascii="Arial" w:cs="Arial" w:eastAsia="Arial" w:hAnsi="Arial"/>
          <w:b/>
          <w:bCs/>
          <w:color w:val="0E5A63"/>
          <w:sz w:val="24"/>
          <w:szCs w:val="24"/>
        </w:rPr>
        <w:t xml:space="preserve">1   Afferent systems</w:t>
      </w:r>
    </w:p>
    <w:p>
      <w:pPr>
        <w:spacing w:after="160" w:line="276"/>
      </w:pPr>
      <w:r>
        <w:rPr>
          <w:rFonts w:ascii="Arial" w:cs="Arial" w:eastAsia="Arial" w:hAnsi="Arial"/>
          <w:color w:val="1F2933"/>
        </w:rPr>
        <w:t xml:space="preserve">It is broadly possible to recognise two parallel but overlapping afferent systems: one giving maximum </w:t>
      </w:r>
      <w:r>
        <w:rPr>
          <w:rFonts w:ascii="Arial" w:cs="Arial" w:eastAsia="Arial" w:hAnsi="Arial"/>
          <w:b/>
          <w:bCs/>
          <w:color w:val="0E7C86"/>
        </w:rPr>
        <w:t xml:space="preserve">acuity</w:t>
      </w:r>
      <w:r>
        <w:rPr>
          <w:rFonts w:ascii="Arial" w:cs="Arial" w:eastAsia="Arial" w:hAnsi="Arial"/>
          <w:color w:val="1F2933"/>
        </w:rPr>
        <w:t xml:space="preserve"> for resolving fine detail, and a second less suited to acute vision but capable of greater </w:t>
      </w:r>
      <w:r>
        <w:rPr>
          <w:rFonts w:ascii="Arial" w:cs="Arial" w:eastAsia="Arial" w:hAnsi="Arial"/>
          <w:b/>
          <w:bCs/>
          <w:color w:val="0E7C86"/>
        </w:rPr>
        <w:t xml:space="preserve">sensitivity</w:t>
      </w:r>
      <w:r>
        <w:rPr>
          <w:rFonts w:ascii="Arial" w:cs="Arial" w:eastAsia="Arial" w:hAnsi="Arial"/>
          <w:color w:val="1F2933"/>
        </w:rPr>
        <w:t xml:space="preserve">.</w:t>
      </w:r>
    </w:p>
    <w:p>
      <w:pPr>
        <w:pStyle w:val="ListParagraph"/>
        <w:numPr>
          <w:ilvl w:val="0"/>
          <w:numId w:val="2"/>
        </w:numPr>
        <w:spacing w:after="80" w:line="270"/>
      </w:pPr>
      <w:r>
        <w:rPr>
          <w:rFonts w:ascii="Arial" w:cs="Arial" w:eastAsia="Arial" w:hAnsi="Arial"/>
          <w:b/>
          <w:bCs/>
          <w:color w:val="0E7C86"/>
        </w:rPr>
        <w:t xml:space="preserve">The one-to-one system</w:t>
      </w:r>
      <w:r>
        <w:rPr>
          <w:rFonts w:ascii="Arial" w:cs="Arial" w:eastAsia="Arial" w:hAnsi="Arial"/>
          <w:color w:val="1F2933"/>
        </w:rPr>
        <w:t xml:space="preserve"> is concerned chiefly with the central fovea. Each cone sends its inner process into the outer plexiform layer to synapse with the dendrites of a single bipolar cell. The axons of these bipolars extend into the inner plexiform layer to connect with one ganglion cell — the basis of high-resolution vision.</w:t>
      </w:r>
    </w:p>
    <w:p>
      <w:pPr>
        <w:pStyle w:val="ListParagraph"/>
        <w:numPr>
          <w:ilvl w:val="0"/>
          <w:numId w:val="2"/>
        </w:numPr>
        <w:spacing w:after="80" w:line="270"/>
      </w:pPr>
      <w:r>
        <w:rPr>
          <w:rFonts w:ascii="Arial" w:cs="Arial" w:eastAsia="Arial" w:hAnsi="Arial"/>
          <w:b/>
          <w:bCs/>
          <w:color w:val="0E7C86"/>
        </w:rPr>
        <w:t xml:space="preserve">The diffuse system</w:t>
      </w:r>
      <w:r>
        <w:rPr>
          <w:rFonts w:ascii="Arial" w:cs="Arial" w:eastAsia="Arial" w:hAnsi="Arial"/>
          <w:color w:val="1F2933"/>
        </w:rPr>
        <w:t xml:space="preserve"> operates in the extramacular retina, where rods and cones outnumber ganglion cells by more than 100 to one. This convergence allows summation of the responses of many photoreceptors, providing the basis for high sensitivity in dim light.</w:t>
      </w:r>
    </w:p>
    <w:p>
      <w:pPr>
        <w:spacing w:after="90" w:before="180"/>
      </w:pPr>
      <w:r>
        <w:rPr>
          <w:rFonts w:ascii="Arial" w:cs="Arial" w:eastAsia="Arial" w:hAnsi="Arial"/>
          <w:b/>
          <w:bCs/>
          <w:color w:val="0E5A63"/>
          <w:sz w:val="24"/>
          <w:szCs w:val="24"/>
        </w:rPr>
        <w:t xml:space="preserve">2   Associational &amp; centrifugal systems</w:t>
      </w:r>
    </w:p>
    <w:p>
      <w:pPr>
        <w:spacing w:after="160" w:line="276"/>
      </w:pPr>
      <w:r>
        <w:rPr>
          <w:rFonts w:ascii="Arial" w:cs="Arial" w:eastAsia="Arial" w:hAnsi="Arial"/>
          <w:color w:val="1F2933"/>
        </w:rPr>
        <w:t xml:space="preserve">In addition to the centripetal (receptor-to-cortex) pathway, associational and — in some species — centrifugal elements are also present.</w:t>
      </w:r>
    </w:p>
    <w:p>
      <w:pPr>
        <w:pStyle w:val="ListParagraph"/>
        <w:numPr>
          <w:ilvl w:val="0"/>
          <w:numId w:val="3"/>
        </w:numPr>
        <w:spacing w:after="80" w:line="270"/>
      </w:pPr>
      <w:r>
        <w:rPr>
          <w:rFonts w:ascii="Arial" w:cs="Arial" w:eastAsia="Arial" w:hAnsi="Arial"/>
          <w:b/>
          <w:bCs/>
          <w:color w:val="0E7C86"/>
        </w:rPr>
        <w:t xml:space="preserve">Horizontal cells</w:t>
      </w:r>
      <w:r>
        <w:rPr>
          <w:rFonts w:ascii="Arial" w:cs="Arial" w:eastAsia="Arial" w:hAnsi="Arial"/>
          <w:color w:val="1F2933"/>
        </w:rPr>
        <w:t xml:space="preserve"> lie in the outer part of the inner nuclear layer and provide a basis for lateral interaction (inhibition or excitation) within the retina.</w:t>
      </w:r>
    </w:p>
    <w:p>
      <w:pPr>
        <w:pStyle w:val="ListParagraph"/>
        <w:numPr>
          <w:ilvl w:val="0"/>
          <w:numId w:val="3"/>
        </w:numPr>
        <w:spacing w:after="80" w:line="270"/>
      </w:pPr>
      <w:r>
        <w:rPr>
          <w:rFonts w:ascii="Arial" w:cs="Arial" w:eastAsia="Arial" w:hAnsi="Arial"/>
          <w:b/>
          <w:bCs/>
          <w:color w:val="0E7C86"/>
        </w:rPr>
        <w:t xml:space="preserve">Amacrine cells</w:t>
      </w:r>
      <w:r>
        <w:rPr>
          <w:rFonts w:ascii="Arial" w:cs="Arial" w:eastAsia="Arial" w:hAnsi="Arial"/>
          <w:color w:val="1F2933"/>
        </w:rPr>
        <w:t xml:space="preserve"> lie in the inner part of the inner nuclear layer. They are generally post-synaptic to bipolar terminals and pre-synaptic to ganglion cells, and also make feedback contacts onto bipolar cells and lateral contacts with each other.</w:t>
      </w:r>
    </w:p>
    <w:p>
      <w:pPr>
        <w:spacing w:after="90" w:before="180"/>
      </w:pPr>
      <w:r>
        <w:rPr>
          <w:rFonts w:ascii="Arial" w:cs="Arial" w:eastAsia="Arial" w:hAnsi="Arial"/>
          <w:b/>
          <w:bCs/>
          <w:color w:val="0E5A63"/>
          <w:sz w:val="24"/>
          <w:szCs w:val="24"/>
        </w:rPr>
        <w:t xml:space="preserve">3   Neuroglia</w:t>
      </w:r>
    </w:p>
    <w:p>
      <w:pPr>
        <w:spacing w:after="160" w:line="276"/>
      </w:pPr>
      <w:r>
        <w:rPr>
          <w:rFonts w:ascii="Arial" w:cs="Arial" w:eastAsia="Arial" w:hAnsi="Arial"/>
          <w:color w:val="1F2933"/>
        </w:rPr>
        <w:t xml:space="preserve">The chief neuroglial elements are the </w:t>
      </w:r>
      <w:r>
        <w:rPr>
          <w:rFonts w:ascii="Arial" w:cs="Arial" w:eastAsia="Arial" w:hAnsi="Arial"/>
          <w:b/>
          <w:bCs/>
          <w:color w:val="0E7C86"/>
        </w:rPr>
        <w:t xml:space="preserve">cells of Müller</w:t>
      </w:r>
      <w:r>
        <w:rPr>
          <w:rFonts w:ascii="Arial" w:cs="Arial" w:eastAsia="Arial" w:hAnsi="Arial"/>
          <w:color w:val="1F2933"/>
        </w:rPr>
        <w:t xml:space="preserve">. Their large polyhedral nuclei lie in the inner nuclear layer, and the cells extend from the internal limiting membrane outward to the inner segments of the photoreceptors. They form a scaffold that supports and appears to insulate the retinal neurones, filling the space between them and enclosing them in thin membranous sockets. They are the retinal counterpart of the </w:t>
      </w:r>
      <w:r>
        <w:rPr>
          <w:rFonts w:ascii="Arial" w:cs="Arial" w:eastAsia="Arial" w:hAnsi="Arial"/>
          <w:b/>
          <w:bCs/>
          <w:color w:val="0E7C86"/>
        </w:rPr>
        <w:t xml:space="preserve">astrocytes</w:t>
      </w:r>
      <w:r>
        <w:rPr>
          <w:rFonts w:ascii="Arial" w:cs="Arial" w:eastAsia="Arial" w:hAnsi="Arial"/>
          <w:color w:val="1F2933"/>
        </w:rPr>
        <w:t xml:space="preserve"> of the central nervous system.</w:t>
      </w:r>
    </w:p>
    <w:p>
      <w:pPr>
        <w:pBdr>
          <w:bottom w:val="single" w:color="BFE0E3" w:sz="10" w:space="6"/>
        </w:pBdr>
        <w:spacing w:after="140" w:before="260"/>
      </w:pPr>
      <w:r>
        <w:rPr>
          <w:rFonts w:ascii="Arial" w:cs="Arial" w:eastAsia="Arial" w:hAnsi="Arial"/>
          <w:b/>
          <w:bCs/>
          <w:color w:val="0F7480"/>
          <w:sz w:val="30"/>
          <w:szCs w:val="30"/>
        </w:rPr>
        <w:t xml:space="preserve">B   </w:t>
      </w:r>
      <w:r>
        <w:rPr>
          <w:rFonts w:ascii="Arial" w:cs="Arial" w:eastAsia="Arial" w:hAnsi="Arial"/>
          <w:b/>
          <w:bCs/>
          <w:color w:val="0E5A63"/>
          <w:sz w:val="30"/>
          <w:szCs w:val="30"/>
        </w:rPr>
        <w:t xml:space="preserve">The visual pathway</w:t>
      </w:r>
    </w:p>
    <w:p>
      <w:pPr>
        <w:spacing w:after="90" w:before="180"/>
      </w:pPr>
      <w:r>
        <w:rPr>
          <w:rFonts w:ascii="Arial" w:cs="Arial" w:eastAsia="Arial" w:hAnsi="Arial"/>
          <w:b/>
          <w:bCs/>
          <w:color w:val="0E5A63"/>
          <w:sz w:val="24"/>
          <w:szCs w:val="24"/>
        </w:rPr>
        <w:t xml:space="preserve">1   The optic nerve</w:t>
      </w:r>
    </w:p>
    <w:p>
      <w:pPr>
        <w:spacing w:after="160" w:line="276"/>
      </w:pPr>
      <w:r>
        <w:rPr>
          <w:rFonts w:ascii="Arial" w:cs="Arial" w:eastAsia="Arial" w:hAnsi="Arial"/>
          <w:color w:val="1F2933"/>
        </w:rPr>
        <w:t xml:space="preserve">The optic nerve is an integral part of the central nervous system and is surrounded by three sheaths:</w:t>
      </w:r>
    </w:p>
    <w:p>
      <w:pPr>
        <w:pStyle w:val="ListParagraph"/>
        <w:numPr>
          <w:ilvl w:val="0"/>
          <w:numId w:val="4"/>
        </w:numPr>
        <w:spacing w:after="80" w:line="270"/>
      </w:pPr>
      <w:r>
        <w:rPr>
          <w:rFonts w:ascii="Arial" w:cs="Arial" w:eastAsia="Arial" w:hAnsi="Arial"/>
          <w:b/>
          <w:bCs/>
          <w:color w:val="0E7C86"/>
        </w:rPr>
        <w:t xml:space="preserve">Dural sheath</w:t>
      </w:r>
      <w:r>
        <w:rPr>
          <w:rFonts w:ascii="Arial" w:cs="Arial" w:eastAsia="Arial" w:hAnsi="Arial"/>
          <w:color w:val="1F2933"/>
        </w:rPr>
        <w:t xml:space="preserve"> — continuous with the dura of the brain posteriorly and with the sclera anteriorly.</w:t>
      </w:r>
    </w:p>
    <w:p>
      <w:pPr>
        <w:pStyle w:val="ListParagraph"/>
        <w:numPr>
          <w:ilvl w:val="0"/>
          <w:numId w:val="4"/>
        </w:numPr>
        <w:spacing w:after="80" w:line="270"/>
      </w:pPr>
      <w:r>
        <w:rPr>
          <w:rFonts w:ascii="Arial" w:cs="Arial" w:eastAsia="Arial" w:hAnsi="Arial"/>
          <w:b/>
          <w:bCs/>
          <w:color w:val="0E7C86"/>
        </w:rPr>
        <w:t xml:space="preserve">Arachnoid</w:t>
      </w:r>
      <w:r>
        <w:rPr>
          <w:rFonts w:ascii="Arial" w:cs="Arial" w:eastAsia="Arial" w:hAnsi="Arial"/>
          <w:color w:val="1F2933"/>
        </w:rPr>
        <w:t xml:space="preserve"> — blood vessels and connective tissue.</w:t>
      </w:r>
    </w:p>
    <w:p>
      <w:pPr>
        <w:pStyle w:val="ListParagraph"/>
        <w:numPr>
          <w:ilvl w:val="0"/>
          <w:numId w:val="4"/>
        </w:numPr>
        <w:spacing w:after="80" w:line="270"/>
      </w:pPr>
      <w:r>
        <w:rPr>
          <w:rFonts w:ascii="Arial" w:cs="Arial" w:eastAsia="Arial" w:hAnsi="Arial"/>
          <w:b/>
          <w:bCs/>
          <w:color w:val="0E7C86"/>
        </w:rPr>
        <w:t xml:space="preserve">Pia</w:t>
      </w:r>
      <w:r>
        <w:rPr>
          <w:rFonts w:ascii="Arial" w:cs="Arial" w:eastAsia="Arial" w:hAnsi="Arial"/>
          <w:color w:val="1F2933"/>
        </w:rPr>
        <w:t xml:space="preserve"> — the most vascular of the three sheaths, carrying capillaries into the substance of the nerve; its extensions subdivide the nerve into compartments through which the nerve bundles travel.</w:t>
      </w:r>
    </w:p>
    <w:p>
      <w:pPr>
        <w:spacing w:after="160" w:line="276"/>
      </w:pPr>
      <w:r>
        <w:rPr>
          <w:rFonts w:ascii="Arial" w:cs="Arial" w:eastAsia="Arial" w:hAnsi="Arial"/>
          <w:color w:val="1F2933"/>
        </w:rPr>
        <w:t xml:space="preserve">The subarachnoid space is continuous with the intracranial subarachnoid space, so cerebrospinal fluid circulates from one to the other. The nerve is about </w:t>
      </w:r>
      <w:r>
        <w:rPr>
          <w:rFonts w:ascii="Arial" w:cs="Arial" w:eastAsia="Arial" w:hAnsi="Arial"/>
          <w:b/>
          <w:bCs/>
          <w:color w:val="0E7C86"/>
        </w:rPr>
        <w:t xml:space="preserve">50 mm</w:t>
      </w:r>
      <w:r>
        <w:rPr>
          <w:rFonts w:ascii="Arial" w:cs="Arial" w:eastAsia="Arial" w:hAnsi="Arial"/>
          <w:color w:val="1F2933"/>
        </w:rPr>
        <w:t xml:space="preserve"> long from globe to optic chiasm: roughly 35 mm within the orbit, 5 mm within the optic canal and 10 mm within the cranial cavity in front of the chiasm. The fibres are the axons of the ganglion cells; they run </w:t>
      </w:r>
      <w:r>
        <w:rPr>
          <w:rFonts w:ascii="Arial" w:cs="Arial" w:eastAsia="Arial" w:hAnsi="Arial"/>
          <w:b/>
          <w:bCs/>
          <w:color w:val="0E7C86"/>
        </w:rPr>
        <w:t xml:space="preserve">unmyelinated</w:t>
      </w:r>
      <w:r>
        <w:rPr>
          <w:rFonts w:ascii="Arial" w:cs="Arial" w:eastAsia="Arial" w:hAnsi="Arial"/>
          <w:color w:val="1F2933"/>
        </w:rPr>
        <w:t xml:space="preserve"> as the nerve-fibre layer of the retina, then enter the nerve and acquire myelin as they pass through the </w:t>
      </w:r>
      <w:r>
        <w:rPr>
          <w:rFonts w:ascii="Arial" w:cs="Arial" w:eastAsia="Arial" w:hAnsi="Arial"/>
          <w:b/>
          <w:bCs/>
          <w:color w:val="0E7C86"/>
        </w:rPr>
        <w:t xml:space="preserve">lamina cribrosa</w:t>
      </w:r>
      <w:r>
        <w:rPr>
          <w:rFonts w:ascii="Arial" w:cs="Arial" w:eastAsia="Arial" w:hAnsi="Arial"/>
          <w:color w:val="1F2933"/>
        </w:rPr>
        <w:t xml:space="preserve">. Fibres from one retinal quadrant lie in the corresponding quadrant of the nerve.</w:t>
      </w:r>
    </w:p>
    <w:p>
      <w:pPr>
        <w:spacing w:after="90" w:before="180"/>
      </w:pPr>
      <w:r>
        <w:rPr>
          <w:rFonts w:ascii="Arial" w:cs="Arial" w:eastAsia="Arial" w:hAnsi="Arial"/>
          <w:b/>
          <w:bCs/>
          <w:color w:val="0E5A63"/>
          <w:sz w:val="24"/>
          <w:szCs w:val="24"/>
        </w:rPr>
        <w:t xml:space="preserve">2   The optic chiasm &amp; tract</w:t>
      </w:r>
    </w:p>
    <w:p>
      <w:pPr>
        <w:spacing w:after="160" w:line="276"/>
      </w:pPr>
      <w:r>
        <w:rPr>
          <w:rFonts w:ascii="Arial" w:cs="Arial" w:eastAsia="Arial" w:hAnsi="Arial"/>
          <w:color w:val="1F2933"/>
        </w:rPr>
        <w:t xml:space="preserve">In the chiasm there is a segregation of fibres: those from the </w:t>
      </w:r>
      <w:r>
        <w:rPr>
          <w:rFonts w:ascii="Arial" w:cs="Arial" w:eastAsia="Arial" w:hAnsi="Arial"/>
          <w:b/>
          <w:bCs/>
          <w:color w:val="0E7C86"/>
        </w:rPr>
        <w:t xml:space="preserve">nasal</w:t>
      </w:r>
      <w:r>
        <w:rPr>
          <w:rFonts w:ascii="Arial" w:cs="Arial" w:eastAsia="Arial" w:hAnsi="Arial"/>
          <w:color w:val="1F2933"/>
        </w:rPr>
        <w:t xml:space="preserve"> retina (carrying the temporal half of the visual field) cross the midline, while the others stay on the side of their origin. The crossed and uncrossed components join in the </w:t>
      </w:r>
      <w:r>
        <w:rPr>
          <w:rFonts w:ascii="Arial" w:cs="Arial" w:eastAsia="Arial" w:hAnsi="Arial"/>
          <w:b/>
          <w:bCs/>
          <w:color w:val="0E7C86"/>
        </w:rPr>
        <w:t xml:space="preserve">optic tract</w:t>
      </w:r>
      <w:r>
        <w:rPr>
          <w:rFonts w:ascii="Arial" w:cs="Arial" w:eastAsia="Arial" w:hAnsi="Arial"/>
          <w:color w:val="1F2933"/>
        </w:rPr>
        <w:t xml:space="preserve">. The result is that the whole ipsilateral retina is represented in the optic nerve, whereas the </w:t>
      </w:r>
      <w:r>
        <w:rPr>
          <w:rFonts w:ascii="Arial" w:cs="Arial" w:eastAsia="Arial" w:hAnsi="Arial"/>
          <w:b/>
          <w:bCs/>
          <w:color w:val="0E7C86"/>
        </w:rPr>
        <w:t xml:space="preserve">contralateral visual field</w:t>
      </w:r>
      <w:r>
        <w:rPr>
          <w:rFonts w:ascii="Arial" w:cs="Arial" w:eastAsia="Arial" w:hAnsi="Arial"/>
          <w:color w:val="1F2933"/>
        </w:rPr>
        <w:t xml:space="preserve"> is represented in the tract.</w:t>
      </w:r>
    </w:p>
    <w:p>
      <w:pPr>
        <w:spacing w:after="90" w:before="180"/>
      </w:pPr>
      <w:r>
        <w:rPr>
          <w:rFonts w:ascii="Arial" w:cs="Arial" w:eastAsia="Arial" w:hAnsi="Arial"/>
          <w:b/>
          <w:bCs/>
          <w:color w:val="0E5A63"/>
          <w:sz w:val="24"/>
          <w:szCs w:val="24"/>
        </w:rPr>
        <w:t xml:space="preserve">3   Subcortical centres &amp; relays</w:t>
      </w:r>
    </w:p>
    <w:p>
      <w:pPr>
        <w:spacing w:after="160" w:line="276"/>
      </w:pPr>
      <w:r>
        <w:rPr>
          <w:rFonts w:ascii="Arial" w:cs="Arial" w:eastAsia="Arial" w:hAnsi="Arial"/>
          <w:color w:val="1F2933"/>
        </w:rPr>
        <w:t xml:space="preserve">The optic tract sends fibres to three centres: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Centre</w:t>
            </w:r>
          </w:p>
        </w:tc>
        <w:tc>
          <w:tcPr>
            <w:tcW w:type="dxa" w:w="646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Function</w:t>
            </w:r>
          </w:p>
        </w:tc>
      </w:tr>
      <w:tr>
        <w:tc>
          <w:tcPr>
            <w:tcW w:type="dxa" w:w="29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b/>
                <w:bCs/>
                <w:color w:val="0E7C86"/>
                <w:sz w:val="19"/>
                <w:szCs w:val="19"/>
              </w:rPr>
              <w:t xml:space="preserve">Superior colliculus</w:t>
            </w:r>
          </w:p>
        </w:tc>
        <w:tc>
          <w:tcPr>
            <w:tcW w:type="dxa" w:w="64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Reflex movements of the head and eyes.</w:t>
            </w:r>
          </w:p>
        </w:tc>
      </w:tr>
      <w:tr>
        <w:tc>
          <w:tcPr>
            <w:tcW w:type="dxa" w:w="29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b/>
                <w:bCs/>
                <w:color w:val="0E7C86"/>
                <w:sz w:val="19"/>
                <w:szCs w:val="19"/>
              </w:rPr>
              <w:t xml:space="preserve">Pretectal nuclei</w:t>
            </w:r>
          </w:p>
        </w:tc>
        <w:tc>
          <w:tcPr>
            <w:tcW w:type="dxa" w:w="64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The pupillary light reflex. Poorly defined cell groups between the superior colliculus and the thalamus. They also receive direct fibres from the visual cortex (a pathway for cortical control of the pupil); their efferents supply the Edinger–Westphal nucleus and the preganglionic sympathetic cells.</w:t>
            </w:r>
          </w:p>
        </w:tc>
      </w:tr>
      <w:tr>
        <w:tc>
          <w:tcPr>
            <w:tcW w:type="dxa" w:w="29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b/>
                <w:bCs/>
                <w:color w:val="0E7C86"/>
                <w:sz w:val="19"/>
                <w:szCs w:val="19"/>
              </w:rPr>
              <w:t xml:space="preserve">Dorsal lateral geniculate nucleus (LGN)</w:t>
            </w:r>
          </w:p>
        </w:tc>
        <w:tc>
          <w:tcPr>
            <w:tcW w:type="dxa" w:w="64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The thalamic relay for visual impulses passing to the cerebral cortex.</w:t>
            </w:r>
          </w:p>
        </w:tc>
      </w:tr>
    </w:tbl>
    <w:p>
      <w:pPr>
        <w:pBdr>
          <w:bottom w:val="single" w:color="BFE0E3" w:sz="10" w:space="6"/>
        </w:pBdr>
        <w:spacing w:after="140" w:before="260"/>
      </w:pPr>
      <w:r>
        <w:rPr>
          <w:rFonts w:ascii="Arial" w:cs="Arial" w:eastAsia="Arial" w:hAnsi="Arial"/>
          <w:b/>
          <w:bCs/>
          <w:color w:val="0F7480"/>
          <w:sz w:val="30"/>
          <w:szCs w:val="30"/>
        </w:rPr>
        <w:t xml:space="preserve">C   </w:t>
      </w:r>
      <w:r>
        <w:rPr>
          <w:rFonts w:ascii="Arial" w:cs="Arial" w:eastAsia="Arial" w:hAnsi="Arial"/>
          <w:b/>
          <w:bCs/>
          <w:color w:val="0E5A63"/>
          <w:sz w:val="30"/>
          <w:szCs w:val="30"/>
        </w:rPr>
        <w:t xml:space="preserve">Cortical connections &amp; representation</w:t>
      </w:r>
    </w:p>
    <w:p>
      <w:pPr>
        <w:spacing w:after="160" w:line="276"/>
      </w:pPr>
      <w:r>
        <w:rPr>
          <w:rFonts w:ascii="Arial" w:cs="Arial" w:eastAsia="Arial" w:hAnsi="Arial"/>
          <w:color w:val="1F2933"/>
        </w:rPr>
        <w:t xml:space="preserve">Nerve fibres pass from the lateral geniculate nucleus to the visual cortex as the </w:t>
      </w:r>
      <w:r>
        <w:rPr>
          <w:rFonts w:ascii="Arial" w:cs="Arial" w:eastAsia="Arial" w:hAnsi="Arial"/>
          <w:b/>
          <w:bCs/>
          <w:color w:val="0E7C86"/>
        </w:rPr>
        <w:t xml:space="preserve">optic radiation</w:t>
      </w:r>
      <w:r>
        <w:rPr>
          <w:rFonts w:ascii="Arial" w:cs="Arial" w:eastAsia="Arial" w:hAnsi="Arial"/>
          <w:color w:val="1F2933"/>
        </w:rPr>
        <w:t xml:space="preserve">, which travels through the white matter of the temporal and parietal lobes.</w:t>
      </w:r>
    </w:p>
    <w:p>
      <w:pPr>
        <w:spacing w:after="160" w:line="276"/>
      </w:pPr>
      <w:r>
        <w:rPr>
          <w:rFonts w:ascii="Arial" w:cs="Arial" w:eastAsia="Arial" w:hAnsi="Arial"/>
          <w:color w:val="1F2933"/>
        </w:rPr>
        <w:t xml:space="preserve">The </w:t>
      </w:r>
      <w:r>
        <w:rPr>
          <w:rFonts w:ascii="Arial" w:cs="Arial" w:eastAsia="Arial" w:hAnsi="Arial"/>
          <w:b/>
          <w:bCs/>
          <w:color w:val="0E7C86"/>
        </w:rPr>
        <w:t xml:space="preserve">primary visual cortex (area 17)</w:t>
      </w:r>
      <w:r>
        <w:rPr>
          <w:rFonts w:ascii="Arial" w:cs="Arial" w:eastAsia="Arial" w:hAnsi="Arial"/>
          <w:color w:val="1F2933"/>
        </w:rPr>
        <w:t xml:space="preserve"> has a characteristic structure, with a well-marked lamina IV containing a prominent layer of myelinated fibres — the </w:t>
      </w:r>
      <w:r>
        <w:rPr>
          <w:rFonts w:ascii="Arial" w:cs="Arial" w:eastAsia="Arial" w:hAnsi="Arial"/>
          <w:b/>
          <w:bCs/>
          <w:color w:val="0E7C86"/>
        </w:rPr>
        <w:t xml:space="preserve">Stria of Gennari</w:t>
      </w:r>
      <w:r>
        <w:rPr>
          <w:rFonts w:ascii="Arial" w:cs="Arial" w:eastAsia="Arial" w:hAnsi="Arial"/>
          <w:color w:val="1F2933"/>
        </w:rPr>
        <w:t xml:space="preserve">. It receives its essential projection from the dorsal LGN, organised so that the </w:t>
      </w:r>
      <w:r>
        <w:rPr>
          <w:rFonts w:ascii="Arial" w:cs="Arial" w:eastAsia="Arial" w:hAnsi="Arial"/>
          <w:b/>
          <w:bCs/>
          <w:color w:val="0E7C86"/>
        </w:rPr>
        <w:t xml:space="preserve">macula</w:t>
      </w:r>
      <w:r>
        <w:rPr>
          <w:rFonts w:ascii="Arial" w:cs="Arial" w:eastAsia="Arial" w:hAnsi="Arial"/>
          <w:color w:val="1F2933"/>
        </w:rPr>
        <w:t xml:space="preserve"> is represented posteriorly and the upper retinal quadrants on the upper banks of the calcarine fissure. The macular representation occupies a disproportionately large part of the cortex.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4F2F3" w:sz="2"/>
              <w:left w:val="single" w:color="0F7480" w:sz="30"/>
              <w:bottom w:val="single" w:color="E4F2F3" w:sz="2"/>
              <w:right w:val="single" w:color="E4F2F3" w:sz="2"/>
            </w:tcBorders>
            <w:shd w:fill="E4F2F3" w:color="auto" w:val="clear"/>
            <w:tcMar>
              <w:top w:type="dxa" w:w="130"/>
              <w:left w:type="dxa" w:w="200"/>
              <w:bottom w:type="dxa" w:w="130"/>
              <w:right w:type="dxa" w:w="160"/>
            </w:tcMar>
          </w:tcPr>
          <w:p>
            <w:pPr>
              <w:spacing w:after="80"/>
            </w:pPr>
            <w:r>
              <w:rPr>
                <w:rFonts w:ascii="Arial" w:cs="Arial" w:eastAsia="Arial" w:hAnsi="Arial"/>
                <w:b/>
                <w:bCs/>
                <w:color w:val="0E6B74"/>
                <w:spacing w:val="20"/>
                <w:sz w:val="19"/>
                <w:szCs w:val="19"/>
              </w:rPr>
              <w:t xml:space="preserve">TWO CLINICAL PARADOXES EXPLAINED BY CORTICAL MAPPING</w:t>
            </w:r>
          </w:p>
          <w:p>
            <w:pPr>
              <w:pStyle w:val="ListParagraph"/>
              <w:numPr>
                <w:ilvl w:val="0"/>
                <w:numId w:val="5"/>
              </w:numPr>
              <w:spacing w:after="50" w:line="264"/>
            </w:pPr>
            <w:r>
              <w:rPr>
                <w:rFonts w:ascii="Arial" w:cs="Arial" w:eastAsia="Arial" w:hAnsi="Arial"/>
                <w:color w:val="1F2933"/>
              </w:rPr>
              <w:t xml:space="preserve">Patients are often little aware of their </w:t>
            </w:r>
            <w:r>
              <w:rPr>
                <w:rFonts w:ascii="Arial" w:cs="Arial" w:eastAsia="Arial" w:hAnsi="Arial"/>
                <w:b/>
                <w:bCs/>
                <w:color w:val="0E7C86"/>
              </w:rPr>
              <w:t xml:space="preserve">peripheral</w:t>
            </w:r>
            <w:r>
              <w:rPr>
                <w:rFonts w:ascii="Arial" w:cs="Arial" w:eastAsia="Arial" w:hAnsi="Arial"/>
                <w:color w:val="1F2933"/>
              </w:rPr>
              <w:t xml:space="preserve"> field, much of which can be lost to glaucoma or retinal detachment without notice — because only a relatively small area of cortex is affected.</w:t>
            </w:r>
          </w:p>
          <w:p>
            <w:pPr>
              <w:pStyle w:val="ListParagraph"/>
              <w:numPr>
                <w:ilvl w:val="0"/>
                <w:numId w:val="5"/>
              </w:numPr>
              <w:spacing w:after="50" w:line="264"/>
            </w:pPr>
            <w:r>
              <w:rPr>
                <w:rFonts w:ascii="Arial" w:cs="Arial" w:eastAsia="Arial" w:hAnsi="Arial"/>
                <w:color w:val="1F2933"/>
              </w:rPr>
              <w:t xml:space="preserve">A tiny retinal lesion </w:t>
            </w:r>
            <w:r>
              <w:rPr>
                <w:rFonts w:ascii="Arial" w:cs="Arial" w:eastAsia="Arial" w:hAnsi="Arial"/>
                <w:b/>
                <w:bCs/>
                <w:color w:val="0E7C86"/>
              </w:rPr>
              <w:t xml:space="preserve">at the fovea</w:t>
            </w:r>
            <w:r>
              <w:rPr>
                <w:rFonts w:ascii="Arial" w:cs="Arial" w:eastAsia="Arial" w:hAnsi="Arial"/>
                <w:color w:val="1F2933"/>
              </w:rPr>
              <w:t xml:space="preserve"> is immediately evident to the patient — because that tiny lesion disrupts a very large area of cortex.</w:t>
            </w:r>
          </w:p>
        </w:tc>
      </w:tr>
    </w:tbl>
    <w:p>
      <w:pPr>
        <w:spacing w:after="120"/>
      </w:pPr>
    </w:p>
    <w:p>
      <w:pPr>
        <w:spacing w:after="160" w:line="276"/>
      </w:pPr>
      <w:r>
        <w:rPr>
          <w:rFonts w:ascii="Arial" w:cs="Arial" w:eastAsia="Arial" w:hAnsi="Arial"/>
          <w:color w:val="1F2933"/>
        </w:rPr>
        <w:t xml:space="preserve">The </w:t>
      </w:r>
      <w:r>
        <w:rPr>
          <w:rFonts w:ascii="Arial" w:cs="Arial" w:eastAsia="Arial" w:hAnsi="Arial"/>
          <w:b/>
          <w:bCs/>
          <w:color w:val="0E7C86"/>
        </w:rPr>
        <w:t xml:space="preserve">visual association areas (areas 18 and 19)</w:t>
      </w:r>
      <w:r>
        <w:rPr>
          <w:rFonts w:ascii="Arial" w:cs="Arial" w:eastAsia="Arial" w:hAnsi="Arial"/>
          <w:color w:val="1F2933"/>
        </w:rPr>
        <w:t xml:space="preserve"> lie adjacent to area 17 and carry out further processing. Defined regions handle stereopsis, analysis of movement and colour perception. Onward connections to the </w:t>
      </w:r>
      <w:r>
        <w:rPr>
          <w:rFonts w:ascii="Arial" w:cs="Arial" w:eastAsia="Arial" w:hAnsi="Arial"/>
          <w:b/>
          <w:bCs/>
          <w:color w:val="0E7C86"/>
        </w:rPr>
        <w:t xml:space="preserve">temporal lobe</w:t>
      </w:r>
      <w:r>
        <w:rPr>
          <w:rFonts w:ascii="Arial" w:cs="Arial" w:eastAsia="Arial" w:hAnsi="Arial"/>
          <w:color w:val="1F2933"/>
        </w:rPr>
        <w:t xml:space="preserve"> are particularly involved with form analysis, object recognition and visual memory, while connections to the </w:t>
      </w:r>
      <w:r>
        <w:rPr>
          <w:rFonts w:ascii="Arial" w:cs="Arial" w:eastAsia="Arial" w:hAnsi="Arial"/>
          <w:b/>
          <w:bCs/>
          <w:color w:val="0E7C86"/>
        </w:rPr>
        <w:t xml:space="preserve">parietal lobe</w:t>
      </w:r>
      <w:r>
        <w:rPr>
          <w:rFonts w:ascii="Arial" w:cs="Arial" w:eastAsia="Arial" w:hAnsi="Arial"/>
          <w:color w:val="1F2933"/>
        </w:rPr>
        <w:t xml:space="preserve"> handle spatial relationships and movement.</w:t>
      </w:r>
    </w:p>
    <w:p>
      <w:pPr>
        <w:pBdr>
          <w:bottom w:val="single" w:color="BFE0E3" w:sz="10" w:space="6"/>
        </w:pBdr>
        <w:spacing w:after="140" w:before="260"/>
      </w:pPr>
      <w:r>
        <w:rPr>
          <w:rFonts w:ascii="Arial" w:cs="Arial" w:eastAsia="Arial" w:hAnsi="Arial"/>
          <w:b/>
          <w:bCs/>
          <w:color w:val="0F7480"/>
          <w:sz w:val="30"/>
          <w:szCs w:val="30"/>
        </w:rPr>
        <w:t xml:space="preserve">D   </w:t>
      </w:r>
      <w:r>
        <w:rPr>
          <w:rFonts w:ascii="Arial" w:cs="Arial" w:eastAsia="Arial" w:hAnsi="Arial"/>
          <w:b/>
          <w:bCs/>
          <w:color w:val="0E5A63"/>
          <w:sz w:val="30"/>
          <w:szCs w:val="30"/>
        </w:rPr>
        <w:t xml:space="preserve">The pupillary reflexes</w:t>
      </w:r>
    </w:p>
    <w:p>
      <w:pPr>
        <w:spacing w:after="90" w:before="180"/>
      </w:pPr>
      <w:r>
        <w:rPr>
          <w:rFonts w:ascii="Arial" w:cs="Arial" w:eastAsia="Arial" w:hAnsi="Arial"/>
          <w:b/>
          <w:bCs/>
          <w:color w:val="0E5A63"/>
          <w:sz w:val="24"/>
          <w:szCs w:val="24"/>
        </w:rPr>
        <w:t xml:space="preserve">1   The light reflex</w:t>
      </w:r>
    </w:p>
    <w:p>
      <w:pPr>
        <w:spacing w:after="160" w:line="276"/>
      </w:pPr>
      <w:r>
        <w:rPr>
          <w:rFonts w:ascii="Arial" w:cs="Arial" w:eastAsia="Arial" w:hAnsi="Arial"/>
          <w:color w:val="1F2933"/>
        </w:rPr>
        <w:t xml:space="preserve">The function of the pupil is to control the amount of light entering the eye, so a rise in light intensity makes it </w:t>
      </w:r>
      <w:r>
        <w:rPr>
          <w:rFonts w:ascii="Arial" w:cs="Arial" w:eastAsia="Arial" w:hAnsi="Arial"/>
          <w:b/>
          <w:bCs/>
          <w:color w:val="0E7C86"/>
        </w:rPr>
        <w:t xml:space="preserve">constrict</w:t>
      </w:r>
      <w:r>
        <w:rPr>
          <w:rFonts w:ascii="Arial" w:cs="Arial" w:eastAsia="Arial" w:hAnsi="Arial"/>
          <w:color w:val="1F2933"/>
        </w:rPr>
        <w:t xml:space="preserve"> — the </w:t>
      </w:r>
      <w:r>
        <w:rPr>
          <w:rFonts w:ascii="Arial" w:cs="Arial" w:eastAsia="Arial" w:hAnsi="Arial"/>
          <w:b/>
          <w:bCs/>
          <w:color w:val="0E7C86"/>
        </w:rPr>
        <w:t xml:space="preserve">light reflex</w:t>
      </w:r>
      <w:r>
        <w:rPr>
          <w:rFonts w:ascii="Arial" w:cs="Arial" w:eastAsia="Arial" w:hAnsi="Arial"/>
          <w:color w:val="1F2933"/>
        </w:rPr>
        <w:t xml:space="preserve">, mediated by subcortical pathways. Impulses pass via the optic nerve to the chiasm, where some cross to the contralateral optic tract and some continue ipsilaterally. (This partial crossing is part of the reason the light reaction is not only </w:t>
      </w:r>
      <w:r>
        <w:rPr>
          <w:rFonts w:ascii="Arial" w:cs="Arial" w:eastAsia="Arial" w:hAnsi="Arial"/>
          <w:b/>
          <w:bCs/>
          <w:color w:val="0E7C86"/>
        </w:rPr>
        <w:t xml:space="preserve">direct</w:t>
      </w:r>
      <w:r>
        <w:rPr>
          <w:rFonts w:ascii="Arial" w:cs="Arial" w:eastAsia="Arial" w:hAnsi="Arial"/>
          <w:color w:val="1F2933"/>
        </w:rPr>
        <w:t xml:space="preserve"> but also </w:t>
      </w:r>
      <w:r>
        <w:rPr>
          <w:rFonts w:ascii="Arial" w:cs="Arial" w:eastAsia="Arial" w:hAnsi="Arial"/>
          <w:b/>
          <w:bCs/>
          <w:color w:val="0E7C86"/>
        </w:rPr>
        <w:t xml:space="preserve">consensual</w:t>
      </w:r>
      <w:r>
        <w:rPr>
          <w:rFonts w:ascii="Arial" w:cs="Arial" w:eastAsia="Arial" w:hAnsi="Arial"/>
          <w:color w:val="1F2933"/>
        </w:rPr>
        <w:t xml:space="preserve"> — stimulating one eye constricts the opposite pupil too.) The impulses travel up the optic tracts but leave just before the visual fibres synapse in the LGN, passing instead to the </w:t>
      </w:r>
      <w:r>
        <w:rPr>
          <w:rFonts w:ascii="Arial" w:cs="Arial" w:eastAsia="Arial" w:hAnsi="Arial"/>
          <w:b/>
          <w:bCs/>
          <w:color w:val="0E7C86"/>
        </w:rPr>
        <w:t xml:space="preserve">pretectal nucleus</w:t>
      </w:r>
      <w:r>
        <w:rPr>
          <w:rFonts w:ascii="Arial" w:cs="Arial" w:eastAsia="Arial" w:hAnsi="Arial"/>
          <w:color w:val="1F2933"/>
        </w:rPr>
        <w:t xml:space="preserve"> of the midbrain. From there the impulse is relayed to both the contralateral and ipsilateral </w:t>
      </w:r>
      <w:r>
        <w:rPr>
          <w:rFonts w:ascii="Arial" w:cs="Arial" w:eastAsia="Arial" w:hAnsi="Arial"/>
          <w:b/>
          <w:bCs/>
          <w:color w:val="0E7C86"/>
        </w:rPr>
        <w:t xml:space="preserve">Edinger–Westphal nuclei</w:t>
      </w:r>
      <w:r>
        <w:rPr>
          <w:rFonts w:ascii="Arial" w:cs="Arial" w:eastAsia="Arial" w:hAnsi="Arial"/>
          <w:color w:val="1F2933"/>
        </w:rPr>
        <w:t xml:space="preserve">.</w:t>
      </w:r>
    </w:p>
    <w:p>
      <w:pPr>
        <w:spacing w:after="160" w:line="276"/>
      </w:pPr>
      <w:r>
        <w:rPr>
          <w:rFonts w:ascii="Arial" w:cs="Arial" w:eastAsia="Arial" w:hAnsi="Arial"/>
          <w:color w:val="1F2933"/>
        </w:rPr>
        <w:t xml:space="preserve">The efferent pathway then begins in the Edinger–Westphal nucleus: fibres pass via the </w:t>
      </w:r>
      <w:r>
        <w:rPr>
          <w:rFonts w:ascii="Arial" w:cs="Arial" w:eastAsia="Arial" w:hAnsi="Arial"/>
          <w:b/>
          <w:bCs/>
          <w:color w:val="0E7C86"/>
        </w:rPr>
        <w:t xml:space="preserve">third (oculomotor) nerve</w:t>
      </w:r>
      <w:r>
        <w:rPr>
          <w:rFonts w:ascii="Arial" w:cs="Arial" w:eastAsia="Arial" w:hAnsi="Arial"/>
          <w:color w:val="1F2933"/>
        </w:rPr>
        <w:t xml:space="preserve"> to the </w:t>
      </w:r>
      <w:r>
        <w:rPr>
          <w:rFonts w:ascii="Arial" w:cs="Arial" w:eastAsia="Arial" w:hAnsi="Arial"/>
          <w:b/>
          <w:bCs/>
          <w:color w:val="0E7C86"/>
        </w:rPr>
        <w:t xml:space="preserve">ciliary ganglion</w:t>
      </w:r>
      <w:r>
        <w:rPr>
          <w:rFonts w:ascii="Arial" w:cs="Arial" w:eastAsia="Arial" w:hAnsi="Arial"/>
          <w:color w:val="1F2933"/>
        </w:rPr>
        <w:t xml:space="preserve">, and postganglionic fibres run in the short ciliary nerves to the </w:t>
      </w:r>
      <w:r>
        <w:rPr>
          <w:rFonts w:ascii="Arial" w:cs="Arial" w:eastAsia="Arial" w:hAnsi="Arial"/>
          <w:b/>
          <w:bCs/>
          <w:color w:val="0E7C86"/>
        </w:rPr>
        <w:t xml:space="preserve">sphincter pupillae</w:t>
      </w:r>
      <w:r>
        <w:rPr>
          <w:rFonts w:ascii="Arial" w:cs="Arial" w:eastAsia="Arial" w:hAnsi="Arial"/>
          <w:color w:val="1F2933"/>
        </w:rPr>
        <w:t xml:space="preserve">.</w:t>
      </w:r>
    </w:p>
    <w:p>
      <w:pPr>
        <w:spacing w:after="90" w:before="180"/>
      </w:pPr>
      <w:r>
        <w:rPr>
          <w:rFonts w:ascii="Arial" w:cs="Arial" w:eastAsia="Arial" w:hAnsi="Arial"/>
          <w:b/>
          <w:bCs/>
          <w:color w:val="0E5A63"/>
          <w:sz w:val="24"/>
          <w:szCs w:val="24"/>
        </w:rPr>
        <w:t xml:space="preserve">2   The near (accommodative) response</w:t>
      </w:r>
    </w:p>
    <w:p>
      <w:pPr>
        <w:spacing w:after="160" w:line="276"/>
      </w:pPr>
      <w:r>
        <w:rPr>
          <w:rFonts w:ascii="Arial" w:cs="Arial" w:eastAsia="Arial" w:hAnsi="Arial"/>
          <w:color w:val="1F2933"/>
        </w:rPr>
        <w:t xml:space="preserve">Constriction of the pupil also occurs whenever the eye looks at something close — the </w:t>
      </w:r>
      <w:r>
        <w:rPr>
          <w:rFonts w:ascii="Arial" w:cs="Arial" w:eastAsia="Arial" w:hAnsi="Arial"/>
          <w:b/>
          <w:bCs/>
          <w:color w:val="0E7C86"/>
        </w:rPr>
        <w:t xml:space="preserve">accommodative response</w:t>
      </w:r>
      <w:r>
        <w:rPr>
          <w:rFonts w:ascii="Arial" w:cs="Arial" w:eastAsia="Arial" w:hAnsi="Arial"/>
          <w:color w:val="1F2933"/>
        </w:rPr>
        <w:t xml:space="preserve"> — as part of the near triad of accommodation, convergence and miosis.</w:t>
      </w:r>
    </w:p>
    <w:p>
      <w:pPr>
        <w:spacing w:after="90" w:before="180"/>
      </w:pPr>
      <w:r>
        <w:rPr>
          <w:rFonts w:ascii="Arial" w:cs="Arial" w:eastAsia="Arial" w:hAnsi="Arial"/>
          <w:b/>
          <w:bCs/>
          <w:color w:val="0E5A63"/>
          <w:sz w:val="24"/>
          <w:szCs w:val="24"/>
        </w:rPr>
        <w:t xml:space="preserve">3   The sympathetic (dilator) pathway</w:t>
      </w:r>
    </w:p>
    <w:p>
      <w:pPr>
        <w:spacing w:after="160" w:line="276"/>
      </w:pPr>
      <w:r>
        <w:rPr>
          <w:rFonts w:ascii="Arial" w:cs="Arial" w:eastAsia="Arial" w:hAnsi="Arial"/>
          <w:color w:val="1F2933"/>
        </w:rPr>
        <w:t xml:space="preserve">The </w:t>
      </w:r>
      <w:r>
        <w:rPr>
          <w:rFonts w:ascii="Arial" w:cs="Arial" w:eastAsia="Arial" w:hAnsi="Arial"/>
          <w:b/>
          <w:bCs/>
          <w:color w:val="0E7C86"/>
        </w:rPr>
        <w:t xml:space="preserve">dilator muscle</w:t>
      </w:r>
      <w:r>
        <w:rPr>
          <w:rFonts w:ascii="Arial" w:cs="Arial" w:eastAsia="Arial" w:hAnsi="Arial"/>
          <w:color w:val="1F2933"/>
        </w:rPr>
        <w:t xml:space="preserve"> is innervated by the </w:t>
      </w:r>
      <w:r>
        <w:rPr>
          <w:rFonts w:ascii="Arial" w:cs="Arial" w:eastAsia="Arial" w:hAnsi="Arial"/>
          <w:b/>
          <w:bCs/>
          <w:color w:val="0E7C86"/>
        </w:rPr>
        <w:t xml:space="preserve">sympathetic system</w:t>
      </w:r>
      <w:r>
        <w:rPr>
          <w:rFonts w:ascii="Arial" w:cs="Arial" w:eastAsia="Arial" w:hAnsi="Arial"/>
          <w:color w:val="1F2933"/>
        </w:rPr>
        <w:t xml:space="preserve">, and reflex dilation accompanies sympathetic activation such as fear or excitement. Fibres originating in the posterolateral hypothalamus pass to the </w:t>
      </w:r>
      <w:r>
        <w:rPr>
          <w:rFonts w:ascii="Arial" w:cs="Arial" w:eastAsia="Arial" w:hAnsi="Arial"/>
          <w:b/>
          <w:bCs/>
          <w:color w:val="0E7C86"/>
        </w:rPr>
        <w:t xml:space="preserve">superior cervical ganglion</w:t>
      </w:r>
      <w:r>
        <w:rPr>
          <w:rFonts w:ascii="Arial" w:cs="Arial" w:eastAsia="Arial" w:hAnsi="Arial"/>
          <w:color w:val="1F2933"/>
        </w:rPr>
        <w:t xml:space="preserve"> in the neck, where they synapse. From there the postganglionic fibres run along the carotid artery to the cavernous sinus, join the ophthalmic division of the trigeminal nerve (Vₐ), travel along its nasociliary branch, and reach the globe via the long ciliary nerves to supply the dilator pupillae.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AE7" w:sz="2"/>
              <w:left w:val="single" w:color="C0392B" w:sz="30"/>
              <w:bottom w:val="single" w:color="FBEAE7" w:sz="2"/>
              <w:right w:val="single" w:color="FBEAE7" w:sz="2"/>
            </w:tcBorders>
            <w:shd w:fill="FBEAE7" w:color="auto" w:val="clear"/>
            <w:tcMar>
              <w:top w:type="dxa" w:w="130"/>
              <w:left w:type="dxa" w:w="200"/>
              <w:bottom w:type="dxa" w:w="130"/>
              <w:right w:type="dxa" w:w="160"/>
            </w:tcMar>
          </w:tcPr>
          <w:p>
            <w:pPr>
              <w:spacing w:after="80"/>
            </w:pPr>
            <w:r>
              <w:rPr>
                <w:rFonts w:ascii="Arial" w:cs="Arial" w:eastAsia="Arial" w:hAnsi="Arial"/>
                <w:b/>
                <w:bCs/>
                <w:color w:val="B23A2E"/>
                <w:spacing w:val="20"/>
                <w:sz w:val="19"/>
                <w:szCs w:val="19"/>
              </w:rPr>
              <w:t xml:space="preserve">HORNER'S SYNDROME — THE SYMPATHETIC CHAIN INTERRUPTED</w:t>
            </w:r>
          </w:p>
          <w:p>
            <w:pPr>
              <w:spacing w:after="70" w:line="270"/>
            </w:pPr>
            <w:r>
              <w:rPr>
                <w:rFonts w:ascii="Arial" w:cs="Arial" w:eastAsia="Arial" w:hAnsi="Arial"/>
                <w:color w:val="1F2933"/>
              </w:rPr>
              <w:t xml:space="preserve">Injury anywhere along this chain causes </w:t>
            </w:r>
            <w:r>
              <w:rPr>
                <w:rFonts w:ascii="Arial" w:cs="Arial" w:eastAsia="Arial" w:hAnsi="Arial"/>
                <w:b/>
                <w:bCs/>
                <w:color w:val="0E7C86"/>
              </w:rPr>
              <w:t xml:space="preserve">ptosis</w:t>
            </w:r>
            <w:r>
              <w:rPr>
                <w:rFonts w:ascii="Arial" w:cs="Arial" w:eastAsia="Arial" w:hAnsi="Arial"/>
                <w:color w:val="1F2933"/>
              </w:rPr>
              <w:t xml:space="preserve">, </w:t>
            </w:r>
            <w:r>
              <w:rPr>
                <w:rFonts w:ascii="Arial" w:cs="Arial" w:eastAsia="Arial" w:hAnsi="Arial"/>
                <w:b/>
                <w:bCs/>
                <w:color w:val="0E7C86"/>
              </w:rPr>
              <w:t xml:space="preserve">miosis</w:t>
            </w:r>
            <w:r>
              <w:rPr>
                <w:rFonts w:ascii="Arial" w:cs="Arial" w:eastAsia="Arial" w:hAnsi="Arial"/>
                <w:color w:val="1F2933"/>
              </w:rPr>
              <w:t xml:space="preserve">, apparent </w:t>
            </w:r>
            <w:r>
              <w:rPr>
                <w:rFonts w:ascii="Arial" w:cs="Arial" w:eastAsia="Arial" w:hAnsi="Arial"/>
                <w:b/>
                <w:bCs/>
                <w:color w:val="0E7C86"/>
              </w:rPr>
              <w:t xml:space="preserve">enophthalmos</w:t>
            </w:r>
            <w:r>
              <w:rPr>
                <w:rFonts w:ascii="Arial" w:cs="Arial" w:eastAsia="Arial" w:hAnsi="Arial"/>
                <w:color w:val="1F2933"/>
              </w:rPr>
              <w:t xml:space="preserve"> and </w:t>
            </w:r>
            <w:r>
              <w:rPr>
                <w:rFonts w:ascii="Arial" w:cs="Arial" w:eastAsia="Arial" w:hAnsi="Arial"/>
                <w:b/>
                <w:bCs/>
                <w:color w:val="0E7C86"/>
              </w:rPr>
              <w:t xml:space="preserve">loss of sweating</w:t>
            </w:r>
            <w:r>
              <w:rPr>
                <w:rFonts w:ascii="Arial" w:cs="Arial" w:eastAsia="Arial" w:hAnsi="Arial"/>
                <w:color w:val="1F2933"/>
              </w:rPr>
              <w:t xml:space="preserve"> of the face and neck — the combination known as </w:t>
            </w:r>
            <w:r>
              <w:rPr>
                <w:rFonts w:ascii="Arial" w:cs="Arial" w:eastAsia="Arial" w:hAnsi="Arial"/>
                <w:b/>
                <w:bCs/>
                <w:color w:val="0E7C86"/>
              </w:rPr>
              <w:t xml:space="preserve">Horner’s syndrome</w:t>
            </w:r>
            <w:r>
              <w:rPr>
                <w:rFonts w:ascii="Arial" w:cs="Arial" w:eastAsia="Arial" w:hAnsi="Arial"/>
                <w:color w:val="1F2933"/>
              </w:rPr>
              <w:t xml:space="preserve">.</w:t>
            </w:r>
          </w:p>
          <w:p>
            <w:pPr>
              <w:spacing w:after="70" w:line="270"/>
            </w:pPr>
            <w:r>
              <w:rPr>
                <w:rFonts w:ascii="Arial" w:cs="Arial" w:eastAsia="Arial" w:hAnsi="Arial"/>
                <w:color w:val="1F2933"/>
              </w:rPr>
              <w:t xml:space="preserve">An </w:t>
            </w:r>
            <w:r>
              <w:rPr>
                <w:rFonts w:ascii="Arial" w:cs="Arial" w:eastAsia="Arial" w:hAnsi="Arial"/>
                <w:b/>
                <w:bCs/>
                <w:color w:val="0E7C86"/>
              </w:rPr>
              <w:t xml:space="preserve">acute, painful</w:t>
            </w:r>
            <w:r>
              <w:rPr>
                <w:rFonts w:ascii="Arial" w:cs="Arial" w:eastAsia="Arial" w:hAnsi="Arial"/>
                <w:color w:val="1F2933"/>
              </w:rPr>
              <w:t xml:space="preserve"> Horner’s syndrome should be treated as a possible internal </w:t>
            </w:r>
            <w:r>
              <w:rPr>
                <w:rFonts w:ascii="Arial" w:cs="Arial" w:eastAsia="Arial" w:hAnsi="Arial"/>
                <w:b/>
                <w:bCs/>
                <w:color w:val="0E7C86"/>
              </w:rPr>
              <w:t xml:space="preserve">carotid artery dissection</w:t>
            </w:r>
            <w:r>
              <w:rPr>
                <w:rFonts w:ascii="Arial" w:cs="Arial" w:eastAsia="Arial" w:hAnsi="Arial"/>
                <w:color w:val="1F2933"/>
              </w:rPr>
              <w:t xml:space="preserve"> until proven otherwise, and needs same-day assessment with vascular imaging.</w:t>
            </w:r>
          </w:p>
        </w:tc>
      </w:tr>
    </w:tbl>
    <w:p>
      <w:pPr>
        <w:pBdr>
          <w:bottom w:val="single" w:color="BFE0E3" w:sz="10" w:space="6"/>
        </w:pBdr>
        <w:spacing w:after="140" w:before="260"/>
      </w:pPr>
      <w:r>
        <w:rPr>
          <w:rFonts w:ascii="Arial" w:cs="Arial" w:eastAsia="Arial" w:hAnsi="Arial"/>
          <w:b/>
          <w:bCs/>
          <w:color w:val="0F7480"/>
          <w:sz w:val="30"/>
          <w:szCs w:val="30"/>
        </w:rPr>
        <w:t xml:space="preserve">E   </w:t>
      </w:r>
      <w:r>
        <w:rPr>
          <w:rFonts w:ascii="Arial" w:cs="Arial" w:eastAsia="Arial" w:hAnsi="Arial"/>
          <w:b/>
          <w:bCs/>
          <w:color w:val="0E5A63"/>
          <w:sz w:val="30"/>
          <w:szCs w:val="30"/>
        </w:rPr>
        <w:t xml:space="preserve">Quick reference — lesions of the pathways</w:t>
      </w:r>
    </w:p>
    <w:p>
      <w:pPr>
        <w:spacing w:after="90" w:before="180"/>
      </w:pPr>
      <w:r>
        <w:rPr>
          <w:rFonts w:ascii="Arial" w:cs="Arial" w:eastAsia="Arial" w:hAnsi="Arial"/>
          <w:b/>
          <w:bCs/>
          <w:color w:val="0E5A63"/>
          <w:sz w:val="24"/>
          <w:szCs w:val="24"/>
        </w:rPr>
        <w:t xml:space="preserve">1   Lesions affecting the pupillary pathways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rPr>
          <w:tblHeader/>
        </w:trPr>
        <w:tc>
          <w:tcPr>
            <w:tcW w:type="dxa" w:w="420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Site of lesion</w:t>
            </w:r>
          </w:p>
        </w:tc>
        <w:tc>
          <w:tcPr>
            <w:tcW w:type="dxa" w:w="516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Effect on pupil reactions</w:t>
            </w:r>
          </w:p>
        </w:tc>
      </w:tr>
      <w:tr>
        <w:tc>
          <w:tcPr>
            <w:tcW w:type="dxa" w:w="42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Retina or optic nerve</w:t>
            </w:r>
          </w:p>
        </w:tc>
        <w:tc>
          <w:tcPr>
            <w:tcW w:type="dxa" w:w="51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Loss or depression of the direct reaction, and of the opposite consensual reaction. Near reflex retained.</w:t>
            </w:r>
          </w:p>
        </w:tc>
      </w:tr>
      <w:tr>
        <w:tc>
          <w:tcPr>
            <w:tcW w:type="dxa" w:w="42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Optic tract</w:t>
            </w:r>
          </w:p>
        </w:tc>
        <w:tc>
          <w:tcPr>
            <w:tcW w:type="dxa" w:w="51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Contralateral hemianopic loss of reaction (Wernicke’s).</w:t>
            </w:r>
          </w:p>
        </w:tc>
      </w:tr>
      <w:tr>
        <w:tc>
          <w:tcPr>
            <w:tcW w:type="dxa" w:w="42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Optic tract beyond the point at which the pupillary fibres leave</w:t>
            </w:r>
          </w:p>
        </w:tc>
        <w:tc>
          <w:tcPr>
            <w:tcW w:type="dxa" w:w="51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No loss of pupillary reaction.</w:t>
            </w:r>
          </w:p>
        </w:tc>
      </w:tr>
      <w:tr>
        <w:tc>
          <w:tcPr>
            <w:tcW w:type="dxa" w:w="42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Between decussation of the pupillary fibres and the Edinger–Westphal nucleus</w:t>
            </w:r>
          </w:p>
        </w:tc>
        <w:tc>
          <w:tcPr>
            <w:tcW w:type="dxa" w:w="51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Loss of ipsilateral direct and consensual reaction; near reflex intact (unilateral Argyll Robertson pupil).</w:t>
            </w:r>
          </w:p>
        </w:tc>
      </w:tr>
      <w:tr>
        <w:tc>
          <w:tcPr>
            <w:tcW w:type="dxa" w:w="42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All fibres from pretectal nucleus to Edinger–Westphal nucleus</w:t>
            </w:r>
          </w:p>
        </w:tc>
        <w:tc>
          <w:tcPr>
            <w:tcW w:type="dxa" w:w="51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Loss of all light response; near reflex retained (complete Argyll Robertson pupil).</w:t>
            </w:r>
          </w:p>
        </w:tc>
      </w:tr>
      <w:tr>
        <w:tc>
          <w:tcPr>
            <w:tcW w:type="dxa" w:w="42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Cranial nerve III</w:t>
            </w:r>
          </w:p>
        </w:tc>
        <w:tc>
          <w:tcPr>
            <w:tcW w:type="dxa" w:w="51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Absolute ipsilateral pupillary paralysis.</w:t>
            </w:r>
          </w:p>
        </w:tc>
      </w:tr>
      <w:tr>
        <w:tc>
          <w:tcPr>
            <w:tcW w:type="dxa" w:w="42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Ciliary ganglion</w:t>
            </w:r>
          </w:p>
        </w:tc>
        <w:tc>
          <w:tcPr>
            <w:tcW w:type="dxa" w:w="51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Ipsilateral loss of light reflex with retention of near reflex (unilateral Argyll Robertson-type pupil).</w:t>
            </w:r>
          </w:p>
        </w:tc>
      </w:tr>
    </w:tbl>
    <w:p>
      <w:pPr>
        <w:spacing w:after="90" w:before="180"/>
      </w:pPr>
      <w:r>
        <w:rPr>
          <w:rFonts w:ascii="Arial" w:cs="Arial" w:eastAsia="Arial" w:hAnsi="Arial"/>
          <w:b/>
          <w:bCs/>
          <w:color w:val="0E5A63"/>
          <w:sz w:val="24"/>
          <w:szCs w:val="24"/>
        </w:rPr>
        <w:t xml:space="preserve">2   Lesions affecting the visual field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Site of lesion</w:t>
            </w:r>
          </w:p>
        </w:tc>
        <w:tc>
          <w:tcPr>
            <w:tcW w:type="dxa" w:w="596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Field defect</w:t>
            </w:r>
          </w:p>
        </w:tc>
      </w:tr>
      <w:tr>
        <w:tc>
          <w:tcPr>
            <w:tcW w:type="dxa" w:w="34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Retina</w:t>
            </w:r>
          </w:p>
        </w:tc>
        <w:tc>
          <w:tcPr>
            <w:tcW w:type="dxa" w:w="59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Impairment of the corresponding area of field in the same eye.</w:t>
            </w:r>
          </w:p>
        </w:tc>
      </w:tr>
      <w:tr>
        <w:tc>
          <w:tcPr>
            <w:tcW w:type="dxa" w:w="34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Optic nerve</w:t>
            </w:r>
          </w:p>
        </w:tc>
        <w:tc>
          <w:tcPr>
            <w:tcW w:type="dxa" w:w="59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Loss of field, especially central, in the ipsilateral eye.</w:t>
            </w:r>
          </w:p>
        </w:tc>
      </w:tr>
      <w:tr>
        <w:tc>
          <w:tcPr>
            <w:tcW w:type="dxa" w:w="34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Optic chiasm</w:t>
            </w:r>
          </w:p>
        </w:tc>
        <w:tc>
          <w:tcPr>
            <w:tcW w:type="dxa" w:w="59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Bitemporal hemianopia.</w:t>
            </w:r>
          </w:p>
        </w:tc>
      </w:tr>
      <w:tr>
        <w:tc>
          <w:tcPr>
            <w:tcW w:type="dxa" w:w="34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Optic tract</w:t>
            </w:r>
          </w:p>
        </w:tc>
        <w:tc>
          <w:tcPr>
            <w:tcW w:type="dxa" w:w="59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Homonymous hemianopia.</w:t>
            </w:r>
          </w:p>
        </w:tc>
      </w:tr>
      <w:tr>
        <w:tc>
          <w:tcPr>
            <w:tcW w:type="dxa" w:w="34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Optic radiation</w:t>
            </w:r>
          </w:p>
        </w:tc>
        <w:tc>
          <w:tcPr>
            <w:tcW w:type="dxa" w:w="59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Homonymous hemianopia.</w:t>
            </w:r>
          </w:p>
        </w:tc>
      </w:tr>
      <w:tr>
        <w:tc>
          <w:tcPr>
            <w:tcW w:type="dxa" w:w="34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Visual cortex</w:t>
            </w:r>
          </w:p>
        </w:tc>
        <w:tc>
          <w:tcPr>
            <w:tcW w:type="dxa" w:w="59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Homonymous hemianopia.</w:t>
            </w:r>
          </w:p>
        </w:tc>
      </w:tr>
    </w:tbl>
    <w:p>
      <w:pPr>
        <w:pBdr>
          <w:top w:val="single" w:color="0F7480" w:sz="12" w:space="6"/>
        </w:pBdr>
        <w:spacing w:before="300"/>
      </w:pPr>
      <w:r>
        <w:rPr>
          <w:rFonts w:ascii="Arial" w:cs="Arial" w:eastAsia="Arial" w:hAnsi="Arial"/>
          <w:b/>
          <w:bCs/>
          <w:color w:val="0E5A63"/>
          <w:spacing w:val="40"/>
          <w:sz w:val="20"/>
          <w:szCs w:val="20"/>
        </w:rPr>
        <w:t xml:space="preserve">END OF CHAPTER 10 · VISUAL &amp; PUPILLARY PATHWAYS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E0E3" w:sz="4" w:space="6"/>
      </w:pBdr>
      <w:jc w:val="center"/>
    </w:pPr>
    <w:r>
      <w:rPr>
        <w:rFonts w:ascii="Arial" w:cs="Arial" w:eastAsia="Arial" w:hAnsi="Arial"/>
        <w:color w:val="5B6B73"/>
        <w:sz w:val="16"/>
        <w:szCs w:val="16"/>
      </w:rPr>
      <w:t xml:space="preserve">BRADFORD VTS TEACHING AIDS  ·  JUNE 2026  ·  Page </w:t>
    </w:r>
    <w:r>
      <w:rPr>
        <w:rFonts w:ascii="Arial" w:cs="Arial" w:eastAsia="Arial" w:hAnsi="Arial"/>
        <w:color w:val="5B6B73"/>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color w:val="0F7480"/>
      </w:rPr>
    </w:lvl>
  </w:abstractNum>
  <w:abstractNum w:abstractNumId="3" w15:restartNumberingAfterBreak="0">
    <w:multiLevelType w:val="hybridMultilevel"/>
    <w:lvl w:ilvl="0" w15:tentative="1">
      <w:start w:val="1"/>
      <w:numFmt w:val="bullet"/>
      <w:lvlText w:val="•"/>
      <w:lvlJc w:val="left"/>
      <w:pPr>
        <w:ind w:left="360" w:hanging="220"/>
      </w:pPr>
      <w:rPr>
        <w:color w:val="0E6B74"/>
      </w:rPr>
    </w:lvl>
  </w:abstractNum>
  <w:abstractNum w:abstractNumId="4" w15:restartNumberingAfterBreak="0">
    <w:multiLevelType w:val="hybridMultilevel"/>
    <w:lvl w:ilvl="0" w15:tentative="1">
      <w:start w:val="1"/>
      <w:numFmt w:val="decimal"/>
      <w:lvlText w:val="%1."/>
      <w:lvlJc w:val="left"/>
      <w:pPr>
        <w:ind w:left="460" w:hanging="280"/>
      </w:pPr>
      <w:rPr>
        <w:b/>
        <w:bCs/>
        <w:color w:val="0F7480"/>
      </w:r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4"/>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2026-06-08T17:05:05.175Z</dcterms:created>
  <dcterms:modified xsi:type="dcterms:W3CDTF">2026-06-08T17:05:05.175Z</dcterms:modified>
</cp:coreProperties>
</file>

<file path=docProps/custom.xml><?xml version="1.0" encoding="utf-8"?>
<Properties xmlns="http://schemas.openxmlformats.org/officeDocument/2006/custom-properties" xmlns:vt="http://schemas.openxmlformats.org/officeDocument/2006/docPropsVTypes"/>
</file>