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before="200"/>
      </w:pPr>
      <w:r>
        <w:rPr>
          <w:rFonts w:ascii="Arial" w:cs="Arial" w:eastAsia="Arial" w:hAnsi="Arial"/>
          <w:b/>
          <w:bCs/>
          <w:color w:val="0F7480"/>
          <w:spacing w:val="80"/>
          <w:sz w:val="20"/>
          <w:szCs w:val="20"/>
        </w:rPr>
        <w:t xml:space="preserve">BRADFORD VTS TEACHING AIDS</w:t>
      </w:r>
    </w:p>
    <w:p>
      <w:pPr>
        <w:spacing w:after="60"/>
      </w:pPr>
      <w:r>
        <w:rPr>
          <w:rFonts w:ascii="Arial" w:cs="Arial" w:eastAsia="Arial" w:hAnsi="Arial"/>
          <w:b/>
          <w:bCs/>
          <w:color w:val="5B6B73"/>
          <w:spacing w:val="40"/>
          <w:sz w:val="22"/>
          <w:szCs w:val="22"/>
        </w:rPr>
        <w:t xml:space="preserve">CHAPTER 12</w:t>
      </w:r>
    </w:p>
    <w:p>
      <w:pPr>
        <w:pBdr>
          <w:bottom w:val="single" w:color="0F7480" w:sz="22" w:space="8"/>
        </w:pBdr>
        <w:spacing w:after="120"/>
      </w:pPr>
      <w:r>
        <w:rPr>
          <w:rFonts w:ascii="Arial" w:cs="Arial" w:eastAsia="Arial" w:hAnsi="Arial"/>
          <w:b/>
          <w:bCs/>
          <w:color w:val="0E5A63"/>
          <w:sz w:val="56"/>
          <w:szCs w:val="56"/>
        </w:rPr>
        <w:t xml:space="preserve">Visual Acuity &amp; Electrodiagnostic Tests</w:t>
      </w:r>
    </w:p>
    <w:p>
      <w:pPr>
        <w:spacing w:after="30"/>
      </w:pPr>
      <w:r>
        <w:rPr>
          <w:rFonts w:ascii="Arial" w:cs="Arial" w:eastAsia="Arial" w:hAnsi="Arial"/>
          <w:color w:val="0F7480"/>
          <w:sz w:val="22"/>
          <w:szCs w:val="22"/>
        </w:rPr>
        <w:t xml:space="preserve">Measuring acuity    ·    Recording reduced vision    ·    Variables affecting acuity    ·    ERG · EOG · VER</w:t>
      </w:r>
    </w:p>
    <w:p>
      <w:pPr>
        <w:spacing w:after="280"/>
      </w:pPr>
      <w:r>
        <w:rPr>
          <w:rFonts w:ascii="Arial" w:cs="Arial" w:eastAsia="Arial" w:hAnsi="Arial"/>
          <w:i/>
          <w:iCs/>
          <w:color w:val="5B6B73"/>
          <w:sz w:val="22"/>
          <w:szCs w:val="22"/>
        </w:rPr>
        <w:t xml:space="preserve">how vision is quantified, and the electrical tests that probe the retina and visual pathway</w:t>
      </w:r>
    </w:p>
    <w:p>
      <w:pPr>
        <w:spacing w:after="100"/>
      </w:pPr>
      <w:r>
        <w:rPr>
          <w:rFonts w:ascii="Arial" w:cs="Arial" w:eastAsia="Arial" w:hAnsi="Arial"/>
          <w:b/>
          <w:bCs/>
          <w:color w:val="0F7480"/>
          <w:spacing w:val="60"/>
          <w:sz w:val="20"/>
          <w:szCs w:val="20"/>
        </w:rPr>
        <w:t xml:space="preserve">CONTENTS</w:t>
      </w:r>
    </w:p>
    <w:p>
      <w:pPr>
        <w:spacing w:after="70"/>
        <w:ind w:left="120"/>
      </w:pPr>
      <w:r>
        <w:rPr>
          <w:rFonts w:ascii="Arial" w:cs="Arial" w:eastAsia="Arial" w:hAnsi="Arial"/>
          <w:b/>
          <w:bCs/>
          <w:color w:val="0F7480"/>
          <w:sz w:val="22"/>
          <w:szCs w:val="22"/>
        </w:rPr>
        <w:t xml:space="preserve">A    </w:t>
      </w:r>
      <w:r>
        <w:rPr>
          <w:rFonts w:ascii="Arial" w:cs="Arial" w:eastAsia="Arial" w:hAnsi="Arial"/>
          <w:color w:val="1F2933"/>
          <w:sz w:val="22"/>
          <w:szCs w:val="22"/>
        </w:rPr>
        <w:t xml:space="preserve">Visual acuity — definition &amp; measurement</w:t>
      </w:r>
    </w:p>
    <w:p>
      <w:pPr>
        <w:spacing w:after="70"/>
        <w:ind w:left="120"/>
      </w:pPr>
      <w:r>
        <w:rPr>
          <w:rFonts w:ascii="Arial" w:cs="Arial" w:eastAsia="Arial" w:hAnsi="Arial"/>
          <w:b/>
          <w:bCs/>
          <w:color w:val="0F7480"/>
          <w:sz w:val="22"/>
          <w:szCs w:val="22"/>
        </w:rPr>
        <w:t xml:space="preserve">B    </w:t>
      </w:r>
      <w:r>
        <w:rPr>
          <w:rFonts w:ascii="Arial" w:cs="Arial" w:eastAsia="Arial" w:hAnsi="Arial"/>
          <w:color w:val="1F2933"/>
          <w:sz w:val="22"/>
          <w:szCs w:val="22"/>
        </w:rPr>
        <w:t xml:space="preserve">Recording reduced &amp; near acuity</w:t>
      </w:r>
    </w:p>
    <w:p>
      <w:pPr>
        <w:spacing w:after="70"/>
        <w:ind w:left="120"/>
      </w:pPr>
      <w:r>
        <w:rPr>
          <w:rFonts w:ascii="Arial" w:cs="Arial" w:eastAsia="Arial" w:hAnsi="Arial"/>
          <w:b/>
          <w:bCs/>
          <w:color w:val="0F7480"/>
          <w:sz w:val="22"/>
          <w:szCs w:val="22"/>
        </w:rPr>
        <w:t xml:space="preserve">C    </w:t>
      </w:r>
      <w:r>
        <w:rPr>
          <w:rFonts w:ascii="Arial" w:cs="Arial" w:eastAsia="Arial" w:hAnsi="Arial"/>
          <w:color w:val="1F2933"/>
          <w:sz w:val="22"/>
          <w:szCs w:val="22"/>
        </w:rPr>
        <w:t xml:space="preserve">Variables affecting acuity</w:t>
      </w:r>
    </w:p>
    <w:p>
      <w:pPr>
        <w:spacing w:after="70"/>
        <w:ind w:left="120"/>
      </w:pPr>
      <w:r>
        <w:rPr>
          <w:rFonts w:ascii="Arial" w:cs="Arial" w:eastAsia="Arial" w:hAnsi="Arial"/>
          <w:b/>
          <w:bCs/>
          <w:color w:val="0F7480"/>
          <w:sz w:val="22"/>
          <w:szCs w:val="22"/>
        </w:rPr>
        <w:t xml:space="preserve">D    </w:t>
      </w:r>
      <w:r>
        <w:rPr>
          <w:rFonts w:ascii="Arial" w:cs="Arial" w:eastAsia="Arial" w:hAnsi="Arial"/>
          <w:color w:val="1F2933"/>
          <w:sz w:val="22"/>
          <w:szCs w:val="22"/>
        </w:rPr>
        <w:t xml:space="preserve">Electrodiagnostic tests</w:t>
      </w:r>
    </w:p>
    <w:p>
      <w:pPr>
        <w:pBdr>
          <w:top w:val="single" w:color="BFE0E3" w:sz="6" w:space="6"/>
        </w:pBdr>
        <w:tabs>
          <w:tab w:val="right" w:pos="9360"/>
        </w:tabs>
        <w:spacing w:before="320"/>
      </w:pPr>
      <w:r>
        <w:rPr>
          <w:rFonts w:ascii="Arial" w:cs="Arial" w:eastAsia="Arial" w:hAnsi="Arial"/>
          <w:color w:val="5B6B73"/>
          <w:sz w:val="20"/>
          <w:szCs w:val="20"/>
        </w:rPr>
        <w:t xml:space="preserve">Postgraduate ophthalmology teaching resource</w:t>
      </w:r>
      <w:r>
        <w:rPr>
          <w:rFonts w:ascii="Arial" w:cs="Arial" w:eastAsia="Arial" w:hAnsi="Arial"/>
          <w:b/>
          <w:bCs/>
          <w:color w:val="0F7480"/>
          <w:sz w:val="20"/>
          <w:szCs w:val="20"/>
        </w:rPr>
        <w:t xml:space="preserve">	June 2026</w:t>
      </w:r>
    </w:p>
    <w:p>
      <w:r>
        <w:br w:type="page"/>
      </w:r>
    </w:p>
    <w:p>
      <w:pPr>
        <w:spacing w:after="40" w:before="60"/>
      </w:pPr>
      <w:r>
        <w:rPr>
          <w:rFonts w:ascii="Arial" w:cs="Arial" w:eastAsia="Arial" w:hAnsi="Arial"/>
          <w:b/>
          <w:bCs/>
          <w:color w:val="0F7480"/>
          <w:spacing w:val="60"/>
          <w:sz w:val="16"/>
          <w:szCs w:val="16"/>
        </w:rPr>
        <w:t xml:space="preserve">BRADFORD VTS TEACHING AIDS · CHAPTER 12</w:t>
      </w:r>
    </w:p>
    <w:p>
      <w:pPr>
        <w:pBdr>
          <w:bottom w:val="single" w:color="0F7480" w:sz="18" w:space="6"/>
        </w:pBdr>
        <w:spacing w:after="180" w:before="80"/>
      </w:pPr>
      <w:r>
        <w:rPr>
          <w:rFonts w:ascii="Arial" w:cs="Arial" w:eastAsia="Arial" w:hAnsi="Arial"/>
          <w:b/>
          <w:bCs/>
          <w:color w:val="0E5A63"/>
          <w:sz w:val="40"/>
          <w:szCs w:val="40"/>
        </w:rPr>
        <w:t xml:space="preserve">Visual Acuity &amp; Electrodiagnostic Tests</w:t>
      </w:r>
    </w:p>
    <w:p>
      <w:pPr>
        <w:spacing w:after="60" w:before="120"/>
      </w:pPr>
      <w:r>
        <w:rPr>
          <w:rFonts w:ascii="Arial" w:cs="Arial" w:eastAsia="Arial" w:hAnsi="Arial"/>
          <w:b/>
          <w:bCs/>
          <w:color w:val="1F2933"/>
          <w:sz w:val="22"/>
          <w:szCs w:val="22"/>
        </w:rPr>
        <w:t xml:space="preserve">Introduction</w:t>
      </w:r>
    </w:p>
    <w:p>
      <w:pPr>
        <w:spacing w:after="160" w:line="276"/>
      </w:pPr>
      <w:r>
        <w:rPr>
          <w:rFonts w:ascii="Arial" w:cs="Arial" w:eastAsia="Arial" w:hAnsi="Arial"/>
          <w:color w:val="1F2933"/>
        </w:rPr>
        <w:t xml:space="preserve">Vision has to be measured before it can be followed. This chapter sets out how </w:t>
      </w:r>
      <w:r>
        <w:rPr>
          <w:rFonts w:ascii="Arial" w:cs="Arial" w:eastAsia="Arial" w:hAnsi="Arial"/>
          <w:b/>
          <w:bCs/>
          <w:color w:val="0E7C86"/>
        </w:rPr>
        <w:t xml:space="preserve">visual acuity</w:t>
      </w:r>
      <w:r>
        <w:rPr>
          <w:rFonts w:ascii="Arial" w:cs="Arial" w:eastAsia="Arial" w:hAnsi="Arial"/>
          <w:color w:val="1F2933"/>
        </w:rPr>
        <w:t xml:space="preserve"> is quantified — from the Snellen chart down to perception of light — and then turns to the </w:t>
      </w:r>
      <w:r>
        <w:rPr>
          <w:rFonts w:ascii="Arial" w:cs="Arial" w:eastAsia="Arial" w:hAnsi="Arial"/>
          <w:b/>
          <w:bCs/>
          <w:color w:val="0E7C86"/>
        </w:rPr>
        <w:t xml:space="preserve">electrodiagnostic tests</w:t>
      </w:r>
      <w:r>
        <w:rPr>
          <w:rFonts w:ascii="Arial" w:cs="Arial" w:eastAsia="Arial" w:hAnsi="Arial"/>
          <w:color w:val="1F2933"/>
        </w:rPr>
        <w:t xml:space="preserve"> that record the electrical activity of the retina and visual pathway when imaging alone cannot explain a loss of vision.</w:t>
      </w:r>
    </w:p>
    <w:p>
      <w:pPr>
        <w:pBdr>
          <w:bottom w:val="single" w:color="BFE0E3" w:sz="10" w:space="6"/>
        </w:pBdr>
        <w:spacing w:after="140" w:before="260"/>
      </w:pPr>
      <w:r>
        <w:rPr>
          <w:rFonts w:ascii="Arial" w:cs="Arial" w:eastAsia="Arial" w:hAnsi="Arial"/>
          <w:b/>
          <w:bCs/>
          <w:color w:val="0F7480"/>
          <w:sz w:val="30"/>
          <w:szCs w:val="30"/>
        </w:rPr>
        <w:t xml:space="preserve">A   </w:t>
      </w:r>
      <w:r>
        <w:rPr>
          <w:rFonts w:ascii="Arial" w:cs="Arial" w:eastAsia="Arial" w:hAnsi="Arial"/>
          <w:b/>
          <w:bCs/>
          <w:color w:val="0E5A63"/>
          <w:sz w:val="30"/>
          <w:szCs w:val="30"/>
        </w:rPr>
        <w:t xml:space="preserve">Visual acuity — definition &amp; measurement</w:t>
      </w:r>
    </w:p>
    <w:p>
      <w:pPr>
        <w:spacing w:after="160" w:line="276"/>
      </w:pPr>
      <w:r>
        <w:rPr>
          <w:rFonts w:ascii="Arial" w:cs="Arial" w:eastAsia="Arial" w:hAnsi="Arial"/>
          <w:b/>
          <w:bCs/>
          <w:color w:val="0E7C86"/>
        </w:rPr>
        <w:t xml:space="preserve">Visual acuity</w:t>
      </w:r>
      <w:r>
        <w:rPr>
          <w:rFonts w:ascii="Arial" w:cs="Arial" w:eastAsia="Arial" w:hAnsi="Arial"/>
          <w:color w:val="1F2933"/>
        </w:rPr>
        <w:t xml:space="preserve"> is the capacity to discriminate the fine details of objects in the field of view.</w:t>
      </w:r>
    </w:p>
    <w:p>
      <w:pPr>
        <w:spacing w:after="160" w:line="276"/>
      </w:pPr>
      <w:r>
        <w:rPr>
          <w:rFonts w:ascii="Arial" w:cs="Arial" w:eastAsia="Arial" w:hAnsi="Arial"/>
          <w:color w:val="1F2933"/>
        </w:rPr>
        <w:t xml:space="preserve">The </w:t>
      </w:r>
      <w:r>
        <w:rPr>
          <w:rFonts w:ascii="Arial" w:cs="Arial" w:eastAsia="Arial" w:hAnsi="Arial"/>
          <w:b/>
          <w:bCs/>
          <w:color w:val="0E7C86"/>
        </w:rPr>
        <w:t xml:space="preserve">angle subtended at the eye</w:t>
      </w:r>
      <w:r>
        <w:rPr>
          <w:rFonts w:ascii="Arial" w:cs="Arial" w:eastAsia="Arial" w:hAnsi="Arial"/>
          <w:color w:val="1F2933"/>
        </w:rPr>
        <w:t xml:space="preserve"> by an object is the best measure of acuity, because it takes account of both the size of the object and the distance at which it is viewed. In practice, ‘normal’ acuity is the ability to discriminate a dimension subtending </w:t>
      </w:r>
      <w:r>
        <w:rPr>
          <w:rFonts w:ascii="Arial" w:cs="Arial" w:eastAsia="Arial" w:hAnsi="Arial"/>
          <w:b/>
          <w:bCs/>
          <w:color w:val="0E7C86"/>
        </w:rPr>
        <w:t xml:space="preserve">one minute of arc</w:t>
      </w:r>
      <w:r>
        <w:rPr>
          <w:rFonts w:ascii="Arial" w:cs="Arial" w:eastAsia="Arial" w:hAnsi="Arial"/>
          <w:color w:val="1F2933"/>
        </w:rPr>
        <w:t xml:space="preserve"> at the eye. A standard test letter such as ‘E’ subtends an angle of 5′ at the eye, but to identify the letter its component dimensions — which subtend 1′ — must be discriminated.</w:t>
      </w:r>
    </w:p>
    <w:p>
      <w:pPr>
        <w:spacing w:after="160" w:line="276"/>
      </w:pPr>
      <w:r>
        <w:rPr>
          <w:rFonts w:ascii="Arial" w:cs="Arial" w:eastAsia="Arial" w:hAnsi="Arial"/>
          <w:color w:val="1F2933"/>
        </w:rPr>
        <w:t xml:space="preserve">A viewing distance of </w:t>
      </w:r>
      <w:r>
        <w:rPr>
          <w:rFonts w:ascii="Arial" w:cs="Arial" w:eastAsia="Arial" w:hAnsi="Arial"/>
          <w:b/>
          <w:bCs/>
          <w:color w:val="0E7C86"/>
        </w:rPr>
        <w:t xml:space="preserve">six metres</w:t>
      </w:r>
      <w:r>
        <w:rPr>
          <w:rFonts w:ascii="Arial" w:cs="Arial" w:eastAsia="Arial" w:hAnsi="Arial"/>
          <w:color w:val="1F2933"/>
        </w:rPr>
        <w:t xml:space="preserve"> is adopted as standard. On the testing charts, larger test objects are supplied whose dimensions also subtend 1′ of arc, but at greater viewing distances.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4F2F3" w:sz="2"/>
              <w:left w:val="single" w:color="0F7480" w:sz="30"/>
              <w:bottom w:val="single" w:color="E4F2F3" w:sz="2"/>
              <w:right w:val="single" w:color="E4F2F3" w:sz="2"/>
            </w:tcBorders>
            <w:shd w:fill="E4F2F3" w:color="auto" w:val="clear"/>
            <w:tcMar>
              <w:top w:type="dxa" w:w="130"/>
              <w:left w:type="dxa" w:w="200"/>
              <w:bottom w:type="dxa" w:w="130"/>
              <w:right w:type="dxa" w:w="160"/>
            </w:tcMar>
          </w:tcPr>
          <w:p>
            <w:pPr>
              <w:spacing w:after="80"/>
            </w:pPr>
            <w:r>
              <w:rPr>
                <w:rFonts w:ascii="Arial" w:cs="Arial" w:eastAsia="Arial" w:hAnsi="Arial"/>
                <w:b/>
                <w:bCs/>
                <w:color w:val="0E6B74"/>
                <w:spacing w:val="20"/>
                <w:sz w:val="19"/>
                <w:szCs w:val="19"/>
              </w:rPr>
              <w:t xml:space="preserve">WHAT “6/12” MEANS</w:t>
            </w:r>
          </w:p>
          <w:p>
            <w:pPr>
              <w:spacing w:after="70" w:line="270"/>
            </w:pPr>
            <w:r>
              <w:rPr>
                <w:rFonts w:ascii="Arial" w:cs="Arial" w:eastAsia="Arial" w:hAnsi="Arial"/>
                <w:color w:val="1F2933"/>
              </w:rPr>
              <w:t xml:space="preserve">If a person has </w:t>
            </w:r>
            <w:r>
              <w:rPr>
                <w:rFonts w:ascii="Arial" w:cs="Arial" w:eastAsia="Arial" w:hAnsi="Arial"/>
                <w:b/>
                <w:bCs/>
                <w:color w:val="0E7C86"/>
              </w:rPr>
              <w:t xml:space="preserve">6/12</w:t>
            </w:r>
            <w:r>
              <w:rPr>
                <w:rFonts w:ascii="Arial" w:cs="Arial" w:eastAsia="Arial" w:hAnsi="Arial"/>
                <w:color w:val="1F2933"/>
              </w:rPr>
              <w:t xml:space="preserve"> vision, they can just respond at </w:t>
            </w:r>
            <w:r>
              <w:rPr>
                <w:rFonts w:ascii="Arial" w:cs="Arial" w:eastAsia="Arial" w:hAnsi="Arial"/>
                <w:b/>
                <w:bCs/>
                <w:color w:val="0E7C86"/>
              </w:rPr>
              <w:t xml:space="preserve">6 metres</w:t>
            </w:r>
            <w:r>
              <w:rPr>
                <w:rFonts w:ascii="Arial" w:cs="Arial" w:eastAsia="Arial" w:hAnsi="Arial"/>
                <w:color w:val="1F2933"/>
              </w:rPr>
              <w:t xml:space="preserve"> to test objects that ‘normals’ can discriminate at </w:t>
            </w:r>
            <w:r>
              <w:rPr>
                <w:rFonts w:ascii="Arial" w:cs="Arial" w:eastAsia="Arial" w:hAnsi="Arial"/>
                <w:b/>
                <w:bCs/>
                <w:color w:val="0E7C86"/>
              </w:rPr>
              <w:t xml:space="preserve">12 metres</w:t>
            </w:r>
            <w:r>
              <w:rPr>
                <w:rFonts w:ascii="Arial" w:cs="Arial" w:eastAsia="Arial" w:hAnsi="Arial"/>
                <w:color w:val="1F2933"/>
              </w:rPr>
              <w:t xml:space="preserve">. The </w:t>
            </w:r>
            <w:r>
              <w:rPr>
                <w:rFonts w:ascii="Arial" w:cs="Arial" w:eastAsia="Arial" w:hAnsi="Arial"/>
                <w:b/>
                <w:bCs/>
                <w:color w:val="0E7C86"/>
              </w:rPr>
              <w:t xml:space="preserve">Snellen chart</w:t>
            </w:r>
            <w:r>
              <w:rPr>
                <w:rFonts w:ascii="Arial" w:cs="Arial" w:eastAsia="Arial" w:hAnsi="Arial"/>
                <w:color w:val="1F2933"/>
              </w:rPr>
              <w:t xml:space="preserve"> is used to test distance acuity in this way.</w:t>
            </w:r>
          </w:p>
          <w:p>
            <w:pPr>
              <w:spacing w:after="70" w:line="270"/>
            </w:pPr>
            <w:r>
              <w:rPr>
                <w:rFonts w:ascii="Arial" w:cs="Arial" w:eastAsia="Arial" w:hAnsi="Arial"/>
                <w:color w:val="1F2933"/>
              </w:rPr>
              <w:t xml:space="preserve">If the patient wears distance glasses they should be used to read the chart, and their use recorded. If the reading is poor but improves with a </w:t>
            </w:r>
            <w:r>
              <w:rPr>
                <w:rFonts w:ascii="Arial" w:cs="Arial" w:eastAsia="Arial" w:hAnsi="Arial"/>
                <w:b/>
                <w:bCs/>
                <w:color w:val="0E7C86"/>
              </w:rPr>
              <w:t xml:space="preserve">pinhole</w:t>
            </w:r>
            <w:r>
              <w:rPr>
                <w:rFonts w:ascii="Arial" w:cs="Arial" w:eastAsia="Arial" w:hAnsi="Arial"/>
                <w:color w:val="1F2933"/>
              </w:rPr>
              <w:t xml:space="preserve">, the poor acuity is usually due to a </w:t>
            </w:r>
            <w:r>
              <w:rPr>
                <w:rFonts w:ascii="Arial" w:cs="Arial" w:eastAsia="Arial" w:hAnsi="Arial"/>
                <w:b/>
                <w:bCs/>
                <w:color w:val="0E7C86"/>
              </w:rPr>
              <w:t xml:space="preserve">refractive error</w:t>
            </w:r>
            <w:r>
              <w:rPr>
                <w:rFonts w:ascii="Arial" w:cs="Arial" w:eastAsia="Arial" w:hAnsi="Arial"/>
                <w:color w:val="1F2933"/>
              </w:rPr>
              <w:t xml:space="preserve">.</w:t>
            </w:r>
          </w:p>
        </w:tc>
      </w:tr>
    </w:tbl>
    <w:p>
      <w:pPr>
        <w:pBdr>
          <w:bottom w:val="single" w:color="BFE0E3" w:sz="10" w:space="6"/>
        </w:pBdr>
        <w:spacing w:after="140" w:before="260"/>
      </w:pPr>
      <w:r>
        <w:rPr>
          <w:rFonts w:ascii="Arial" w:cs="Arial" w:eastAsia="Arial" w:hAnsi="Arial"/>
          <w:b/>
          <w:bCs/>
          <w:color w:val="0F7480"/>
          <w:sz w:val="30"/>
          <w:szCs w:val="30"/>
        </w:rPr>
        <w:t xml:space="preserve">B   </w:t>
      </w:r>
      <w:r>
        <w:rPr>
          <w:rFonts w:ascii="Arial" w:cs="Arial" w:eastAsia="Arial" w:hAnsi="Arial"/>
          <w:b/>
          <w:bCs/>
          <w:color w:val="0E5A63"/>
          <w:sz w:val="30"/>
          <w:szCs w:val="30"/>
        </w:rPr>
        <w:t xml:space="preserve">Recording reduced &amp; near acuity</w:t>
      </w:r>
    </w:p>
    <w:p>
      <w:pPr>
        <w:spacing w:after="90" w:before="180"/>
      </w:pPr>
      <w:r>
        <w:rPr>
          <w:rFonts w:ascii="Arial" w:cs="Arial" w:eastAsia="Arial" w:hAnsi="Arial"/>
          <w:b/>
          <w:bCs/>
          <w:color w:val="0E5A63"/>
          <w:sz w:val="24"/>
          <w:szCs w:val="24"/>
        </w:rPr>
        <w:t xml:space="preserve">Testing children and illiterate adults</w:t>
      </w:r>
    </w:p>
    <w:p>
      <w:pPr>
        <w:pStyle w:val="ListParagraph"/>
        <w:numPr>
          <w:ilvl w:val="0"/>
          <w:numId w:val="2"/>
        </w:numPr>
        <w:spacing w:after="80" w:line="270"/>
      </w:pPr>
      <w:r>
        <w:rPr>
          <w:rFonts w:ascii="Arial" w:cs="Arial" w:eastAsia="Arial" w:hAnsi="Arial"/>
          <w:b/>
          <w:bCs/>
          <w:color w:val="0E7C86"/>
        </w:rPr>
        <w:t xml:space="preserve">Sheridan–Gardiner test</w:t>
      </w:r>
      <w:r>
        <w:rPr>
          <w:rFonts w:ascii="Arial" w:cs="Arial" w:eastAsia="Arial" w:hAnsi="Arial"/>
          <w:color w:val="1F2933"/>
        </w:rPr>
        <w:t xml:space="preserve"> — the patient matches Snellen letters to those on a hand-held card.</w:t>
      </w:r>
    </w:p>
    <w:p>
      <w:pPr>
        <w:pStyle w:val="ListParagraph"/>
        <w:numPr>
          <w:ilvl w:val="0"/>
          <w:numId w:val="2"/>
        </w:numPr>
        <w:spacing w:after="80" w:line="270"/>
      </w:pPr>
      <w:r>
        <w:rPr>
          <w:rFonts w:ascii="Arial" w:cs="Arial" w:eastAsia="Arial" w:hAnsi="Arial"/>
          <w:b/>
          <w:bCs/>
          <w:color w:val="0E7C86"/>
        </w:rPr>
        <w:t xml:space="preserve">‘E’ test</w:t>
      </w:r>
      <w:r>
        <w:rPr>
          <w:rFonts w:ascii="Arial" w:cs="Arial" w:eastAsia="Arial" w:hAnsi="Arial"/>
          <w:color w:val="1F2933"/>
        </w:rPr>
        <w:t xml:space="preserve"> — the patient orientates a wooden E to match the orientation shown on the chart.</w:t>
      </w:r>
    </w:p>
    <w:p>
      <w:pPr>
        <w:spacing w:after="90" w:before="180"/>
      </w:pPr>
      <w:r>
        <w:rPr>
          <w:rFonts w:ascii="Arial" w:cs="Arial" w:eastAsia="Arial" w:hAnsi="Arial"/>
          <w:b/>
          <w:bCs/>
          <w:color w:val="0E5A63"/>
          <w:sz w:val="24"/>
          <w:szCs w:val="24"/>
        </w:rPr>
        <w:t xml:space="preserve">When the top letter cannot be seen (acuity below 6/60)</w:t>
      </w:r>
    </w:p>
    <w:p>
      <w:pPr>
        <w:spacing w:after="160" w:line="276"/>
      </w:pPr>
      <w:r>
        <w:rPr>
          <w:rFonts w:ascii="Arial" w:cs="Arial" w:eastAsia="Arial" w:hAnsi="Arial"/>
          <w:color w:val="1F2933"/>
        </w:rPr>
        <w:t xml:space="preserve">Move the patient </w:t>
      </w:r>
      <w:r>
        <w:rPr>
          <w:rFonts w:ascii="Arial" w:cs="Arial" w:eastAsia="Arial" w:hAnsi="Arial"/>
          <w:b/>
          <w:bCs/>
          <w:color w:val="0E7C86"/>
        </w:rPr>
        <w:t xml:space="preserve">closer</w:t>
      </w:r>
      <w:r>
        <w:rPr>
          <w:rFonts w:ascii="Arial" w:cs="Arial" w:eastAsia="Arial" w:hAnsi="Arial"/>
          <w:color w:val="1F2933"/>
        </w:rPr>
        <w:t xml:space="preserve"> to the chart. If the top letter can be read at 3 metres, the acuity is recorded as </w:t>
      </w:r>
      <w:r>
        <w:rPr>
          <w:rFonts w:ascii="Arial" w:cs="Arial" w:eastAsia="Arial" w:hAnsi="Arial"/>
          <w:b/>
          <w:bCs/>
          <w:color w:val="0E7C86"/>
        </w:rPr>
        <w:t xml:space="preserve">3/60</w:t>
      </w:r>
      <w:r>
        <w:rPr>
          <w:rFonts w:ascii="Arial" w:cs="Arial" w:eastAsia="Arial" w:hAnsi="Arial"/>
          <w:color w:val="1F2933"/>
        </w:rPr>
        <w:t xml:space="preserve">; if only at 1 metre, </w:t>
      </w:r>
      <w:r>
        <w:rPr>
          <w:rFonts w:ascii="Arial" w:cs="Arial" w:eastAsia="Arial" w:hAnsi="Arial"/>
          <w:b/>
          <w:bCs/>
          <w:color w:val="0E7C86"/>
        </w:rPr>
        <w:t xml:space="preserve">1/60</w:t>
      </w:r>
      <w:r>
        <w:rPr>
          <w:rFonts w:ascii="Arial" w:cs="Arial" w:eastAsia="Arial" w:hAnsi="Arial"/>
          <w:color w:val="1F2933"/>
        </w:rPr>
        <w:t xml:space="preserve">.</w:t>
      </w:r>
    </w:p>
    <w:p>
      <w:pPr>
        <w:spacing w:after="160" w:line="276"/>
      </w:pPr>
      <w:r>
        <w:rPr>
          <w:rFonts w:ascii="Arial" w:cs="Arial" w:eastAsia="Arial" w:hAnsi="Arial"/>
          <w:color w:val="1F2933"/>
        </w:rPr>
        <w:t xml:space="preserve">If acuity is </w:t>
      </w:r>
      <w:r>
        <w:rPr>
          <w:rFonts w:ascii="Arial" w:cs="Arial" w:eastAsia="Arial" w:hAnsi="Arial"/>
          <w:b/>
          <w:bCs/>
          <w:color w:val="0E7C86"/>
        </w:rPr>
        <w:t xml:space="preserve">less than 1/60</w:t>
      </w:r>
      <w:r>
        <w:rPr>
          <w:rFonts w:ascii="Arial" w:cs="Arial" w:eastAsia="Arial" w:hAnsi="Arial"/>
          <w:color w:val="1F2933"/>
        </w:rPr>
        <w:t xml:space="preserve">, test in this descending order:</w:t>
      </w:r>
    </w:p>
    <w:p>
      <w:pPr>
        <w:pStyle w:val="ListParagraph"/>
        <w:numPr>
          <w:ilvl w:val="0"/>
          <w:numId w:val="3"/>
        </w:numPr>
        <w:spacing w:after="80" w:line="270"/>
      </w:pPr>
      <w:r>
        <w:rPr>
          <w:rFonts w:ascii="Arial" w:cs="Arial" w:eastAsia="Arial" w:hAnsi="Arial"/>
          <w:b/>
          <w:bCs/>
          <w:color w:val="0E7C86"/>
        </w:rPr>
        <w:t xml:space="preserve">Counting fingers (CF)</w:t>
      </w:r>
      <w:r>
        <w:rPr>
          <w:rFonts w:ascii="Arial" w:cs="Arial" w:eastAsia="Arial" w:hAnsi="Arial"/>
          <w:color w:val="1F2933"/>
        </w:rPr>
        <w:t xml:space="preserve"> at 1 metre against a white background.</w:t>
      </w:r>
    </w:p>
    <w:p>
      <w:pPr>
        <w:pStyle w:val="ListParagraph"/>
        <w:numPr>
          <w:ilvl w:val="0"/>
          <w:numId w:val="3"/>
        </w:numPr>
        <w:spacing w:after="80" w:line="270"/>
      </w:pPr>
      <w:r>
        <w:rPr>
          <w:rFonts w:ascii="Arial" w:cs="Arial" w:eastAsia="Arial" w:hAnsi="Arial"/>
          <w:b/>
          <w:bCs/>
          <w:color w:val="0E7C86"/>
        </w:rPr>
        <w:t xml:space="preserve">Hand movements (HM)</w:t>
      </w:r>
      <w:r>
        <w:rPr>
          <w:rFonts w:ascii="Arial" w:cs="Arial" w:eastAsia="Arial" w:hAnsi="Arial"/>
          <w:color w:val="1F2933"/>
        </w:rPr>
        <w:t xml:space="preserve"> if fingers cannot be counted.</w:t>
      </w:r>
    </w:p>
    <w:p>
      <w:pPr>
        <w:pStyle w:val="ListParagraph"/>
        <w:numPr>
          <w:ilvl w:val="0"/>
          <w:numId w:val="3"/>
        </w:numPr>
        <w:spacing w:after="80" w:line="270"/>
      </w:pPr>
      <w:r>
        <w:rPr>
          <w:rFonts w:ascii="Arial" w:cs="Arial" w:eastAsia="Arial" w:hAnsi="Arial"/>
          <w:b/>
          <w:bCs/>
          <w:color w:val="0E7C86"/>
        </w:rPr>
        <w:t xml:space="preserve">Perception of light (PL)</w:t>
      </w:r>
      <w:r>
        <w:rPr>
          <w:rFonts w:ascii="Arial" w:cs="Arial" w:eastAsia="Arial" w:hAnsi="Arial"/>
          <w:color w:val="1F2933"/>
        </w:rPr>
        <w:t xml:space="preserve"> — or </w:t>
      </w:r>
      <w:r>
        <w:rPr>
          <w:rFonts w:ascii="Arial" w:cs="Arial" w:eastAsia="Arial" w:hAnsi="Arial"/>
          <w:b/>
          <w:bCs/>
          <w:color w:val="0E7C86"/>
        </w:rPr>
        <w:t xml:space="preserve">no perception of light (NPL)</w:t>
      </w:r>
      <w:r>
        <w:rPr>
          <w:rFonts w:ascii="Arial" w:cs="Arial" w:eastAsia="Arial" w:hAnsi="Arial"/>
          <w:color w:val="1F2933"/>
        </w:rPr>
        <w:t xml:space="preserve">.</w:t>
      </w:r>
    </w:p>
    <w:p>
      <w:pPr>
        <w:spacing w:after="90" w:before="180"/>
      </w:pPr>
      <w:r>
        <w:rPr>
          <w:rFonts w:ascii="Arial" w:cs="Arial" w:eastAsia="Arial" w:hAnsi="Arial"/>
          <w:b/>
          <w:bCs/>
          <w:color w:val="0E5A63"/>
          <w:sz w:val="24"/>
          <w:szCs w:val="24"/>
        </w:rPr>
        <w:t xml:space="preserve">Near acuity</w:t>
      </w:r>
    </w:p>
    <w:p>
      <w:pPr>
        <w:spacing w:after="160" w:line="276"/>
      </w:pPr>
      <w:r>
        <w:rPr>
          <w:rFonts w:ascii="Arial" w:cs="Arial" w:eastAsia="Arial" w:hAnsi="Arial"/>
          <w:color w:val="1F2933"/>
        </w:rPr>
        <w:t xml:space="preserve">Near acuity is tested (with the patient’s reading glasses if needed) in good illumination at a comfortable reading distance using standard test type, and is recorded as </w:t>
      </w:r>
      <w:r>
        <w:rPr>
          <w:rFonts w:ascii="Arial" w:cs="Arial" w:eastAsia="Arial" w:hAnsi="Arial"/>
          <w:b/>
          <w:bCs/>
          <w:color w:val="0E7C86"/>
        </w:rPr>
        <w:t xml:space="preserve">N5, N8</w:t>
      </w:r>
      <w:r>
        <w:rPr>
          <w:rFonts w:ascii="Arial" w:cs="Arial" w:eastAsia="Arial" w:hAnsi="Arial"/>
          <w:color w:val="1F2933"/>
        </w:rPr>
        <w:t xml:space="preserve"> and so 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FF6E0" w:sz="2"/>
              <w:left w:val="single" w:color="D49A14" w:sz="30"/>
              <w:bottom w:val="single" w:color="FFF6E0" w:sz="2"/>
              <w:right w:val="single" w:color="FFF6E0" w:sz="2"/>
            </w:tcBorders>
            <w:shd w:fill="FFF6E0" w:color="auto" w:val="clear"/>
            <w:tcMar>
              <w:top w:type="dxa" w:w="130"/>
              <w:left w:type="dxa" w:w="200"/>
              <w:bottom w:type="dxa" w:w="130"/>
              <w:right w:type="dxa" w:w="160"/>
            </w:tcMar>
          </w:tcPr>
          <w:p>
            <w:pPr>
              <w:spacing w:after="80"/>
            </w:pPr>
            <w:r>
              <w:rPr>
                <w:rFonts w:ascii="Arial" w:cs="Arial" w:eastAsia="Arial" w:hAnsi="Arial"/>
                <w:b/>
                <w:bCs/>
                <w:color w:val="9A6A00"/>
                <w:spacing w:val="20"/>
                <w:sz w:val="19"/>
                <w:szCs w:val="19"/>
              </w:rPr>
              <w:t xml:space="preserve">A NOTE ON MODERN CHARTS</w:t>
            </w:r>
          </w:p>
          <w:p>
            <w:pPr>
              <w:spacing w:after="70" w:line="270"/>
            </w:pPr>
            <w:r>
              <w:rPr>
                <w:rFonts w:ascii="Arial" w:cs="Arial" w:eastAsia="Arial" w:hAnsi="Arial"/>
                <w:color w:val="1F2933"/>
              </w:rPr>
              <w:t xml:space="preserve">Snellen testing remains in everyday use, but </w:t>
            </w:r>
            <w:r>
              <w:rPr>
                <w:rFonts w:ascii="Arial" w:cs="Arial" w:eastAsia="Arial" w:hAnsi="Arial"/>
                <w:b/>
                <w:bCs/>
                <w:color w:val="0E7C86"/>
              </w:rPr>
              <w:t xml:space="preserve">logMAR (ETDRS-style) charts</w:t>
            </w:r>
            <w:r>
              <w:rPr>
                <w:rFonts w:ascii="Arial" w:cs="Arial" w:eastAsia="Arial" w:hAnsi="Arial"/>
                <w:color w:val="1F2933"/>
              </w:rPr>
              <w:t xml:space="preserve"> are now widely used in UK eye services and in research. With an equal number of letters per line and equal spacing, they give more reproducible, statistically robust measurements — useful when small changes in acuity matter, such as monitoring treatment.</w:t>
            </w:r>
          </w:p>
        </w:tc>
      </w:tr>
    </w:tbl>
    <w:p>
      <w:pPr>
        <w:pBdr>
          <w:bottom w:val="single" w:color="BFE0E3" w:sz="10" w:space="6"/>
        </w:pBdr>
        <w:spacing w:after="140" w:before="260"/>
      </w:pPr>
      <w:r>
        <w:rPr>
          <w:rFonts w:ascii="Arial" w:cs="Arial" w:eastAsia="Arial" w:hAnsi="Arial"/>
          <w:b/>
          <w:bCs/>
          <w:color w:val="0F7480"/>
          <w:sz w:val="30"/>
          <w:szCs w:val="30"/>
        </w:rPr>
        <w:t xml:space="preserve">C   </w:t>
      </w:r>
      <w:r>
        <w:rPr>
          <w:rFonts w:ascii="Arial" w:cs="Arial" w:eastAsia="Arial" w:hAnsi="Arial"/>
          <w:b/>
          <w:bCs/>
          <w:color w:val="0E5A63"/>
          <w:sz w:val="30"/>
          <w:szCs w:val="30"/>
        </w:rPr>
        <w:t xml:space="preserve">Variables affecting acuity</w:t>
      </w:r>
    </w:p>
    <w:p>
      <w:pPr>
        <w:spacing w:after="90" w:before="180"/>
      </w:pPr>
      <w:r>
        <w:rPr>
          <w:rFonts w:ascii="Arial" w:cs="Arial" w:eastAsia="Arial" w:hAnsi="Arial"/>
          <w:b/>
          <w:bCs/>
          <w:color w:val="0E5A63"/>
          <w:sz w:val="24"/>
          <w:szCs w:val="24"/>
        </w:rPr>
        <w:t xml:space="preserve">1   Physical variables</w:t>
      </w:r>
    </w:p>
    <w:p>
      <w:pPr>
        <w:pStyle w:val="ListParagraph"/>
        <w:numPr>
          <w:ilvl w:val="0"/>
          <w:numId w:val="2"/>
        </w:numPr>
        <w:spacing w:after="80" w:line="270"/>
      </w:pPr>
      <w:r>
        <w:rPr>
          <w:rFonts w:ascii="Arial" w:cs="Arial" w:eastAsia="Arial" w:hAnsi="Arial"/>
          <w:color w:val="1F2933"/>
        </w:rPr>
        <w:t xml:space="preserve">Brightness of the background.</w:t>
      </w:r>
    </w:p>
    <w:p>
      <w:pPr>
        <w:pStyle w:val="ListParagraph"/>
        <w:numPr>
          <w:ilvl w:val="0"/>
          <w:numId w:val="2"/>
        </w:numPr>
        <w:spacing w:after="80" w:line="270"/>
      </w:pPr>
      <w:r>
        <w:rPr>
          <w:rFonts w:ascii="Arial" w:cs="Arial" w:eastAsia="Arial" w:hAnsi="Arial"/>
          <w:color w:val="1F2933"/>
        </w:rPr>
        <w:t xml:space="preserve">Illumination.</w:t>
      </w:r>
    </w:p>
    <w:p>
      <w:pPr>
        <w:spacing w:after="90" w:before="180"/>
      </w:pPr>
      <w:r>
        <w:rPr>
          <w:rFonts w:ascii="Arial" w:cs="Arial" w:eastAsia="Arial" w:hAnsi="Arial"/>
          <w:b/>
          <w:bCs/>
          <w:color w:val="0E5A63"/>
          <w:sz w:val="24"/>
          <w:szCs w:val="24"/>
        </w:rPr>
        <w:t xml:space="preserve">2   Physiological variables</w:t>
      </w:r>
    </w:p>
    <w:p>
      <w:pPr>
        <w:spacing w:after="160" w:line="276"/>
      </w:pPr>
      <w:r>
        <w:rPr>
          <w:rFonts w:ascii="Arial" w:cs="Arial" w:eastAsia="Arial" w:hAnsi="Arial"/>
          <w:b/>
          <w:bCs/>
          <w:color w:val="0E7C86"/>
        </w:rPr>
        <w:t xml:space="preserve">Size of pupil.</w:t>
      </w:r>
      <w:r>
        <w:rPr>
          <w:rFonts w:ascii="Arial" w:cs="Arial" w:eastAsia="Arial" w:hAnsi="Arial"/>
          <w:color w:val="1F2933"/>
        </w:rPr>
        <w:t xml:space="preserve"> The pupil size for best acuity is about </w:t>
      </w:r>
      <w:r>
        <w:rPr>
          <w:rFonts w:ascii="Arial" w:cs="Arial" w:eastAsia="Arial" w:hAnsi="Arial"/>
          <w:b/>
          <w:bCs/>
          <w:color w:val="0E7C86"/>
        </w:rPr>
        <w:t xml:space="preserve">3 mm</w:t>
      </w:r>
      <w:r>
        <w:rPr>
          <w:rFonts w:ascii="Arial" w:cs="Arial" w:eastAsia="Arial" w:hAnsi="Arial"/>
          <w:color w:val="1F2933"/>
        </w:rPr>
        <w:t xml:space="preserve">. A larger pupil admits more light to the retina but heightens aberrations, because the peripheral lens becomes part of the light pathway; smaller pupils in bright light eliminate most ocular aberrations.</w:t>
      </w:r>
    </w:p>
    <w:p>
      <w:pPr>
        <w:spacing w:after="160" w:line="276"/>
      </w:pPr>
      <w:r>
        <w:rPr>
          <w:rFonts w:ascii="Arial" w:cs="Arial" w:eastAsia="Arial" w:hAnsi="Arial"/>
          <w:b/>
          <w:bCs/>
          <w:color w:val="0E7C86"/>
        </w:rPr>
        <w:t xml:space="preserve">Receptor distribution.</w:t>
      </w:r>
      <w:r>
        <w:rPr>
          <w:rFonts w:ascii="Arial" w:cs="Arial" w:eastAsia="Arial" w:hAnsi="Arial"/>
          <w:color w:val="1F2933"/>
        </w:rPr>
        <w:t xml:space="preserve"> Acuity is best when the image is formed at the </w:t>
      </w:r>
      <w:r>
        <w:rPr>
          <w:rFonts w:ascii="Arial" w:cs="Arial" w:eastAsia="Arial" w:hAnsi="Arial"/>
          <w:b/>
          <w:bCs/>
          <w:color w:val="0E7C86"/>
        </w:rPr>
        <w:t xml:space="preserve">centre of the fovea</w:t>
      </w:r>
      <w:r>
        <w:rPr>
          <w:rFonts w:ascii="Arial" w:cs="Arial" w:eastAsia="Arial" w:hAnsi="Arial"/>
          <w:color w:val="1F2933"/>
        </w:rPr>
        <w:t xml:space="preserve">. There are about </w:t>
      </w:r>
      <w:r>
        <w:rPr>
          <w:rFonts w:ascii="Arial" w:cs="Arial" w:eastAsia="Arial" w:hAnsi="Arial"/>
          <w:b/>
          <w:bCs/>
          <w:color w:val="0E7C86"/>
        </w:rPr>
        <w:t xml:space="preserve">34,000</w:t>
      </w:r>
      <w:r>
        <w:rPr>
          <w:rFonts w:ascii="Arial" w:cs="Arial" w:eastAsia="Arial" w:hAnsi="Arial"/>
          <w:color w:val="1F2933"/>
        </w:rPr>
        <w:t xml:space="preserve"> tightly packed cones in the foveola. As noted earlier, there are no nerve fibres, ganglion cells, bipolar cells or blood vessels at this point — just cones, their nuclei and their fibres.</w:t>
      </w:r>
    </w:p>
    <w:p>
      <w:pPr>
        <w:pBdr>
          <w:bottom w:val="single" w:color="BFE0E3" w:sz="10" w:space="6"/>
        </w:pBdr>
        <w:spacing w:after="140" w:before="260"/>
      </w:pPr>
      <w:r>
        <w:rPr>
          <w:rFonts w:ascii="Arial" w:cs="Arial" w:eastAsia="Arial" w:hAnsi="Arial"/>
          <w:b/>
          <w:bCs/>
          <w:color w:val="0F7480"/>
          <w:sz w:val="30"/>
          <w:szCs w:val="30"/>
        </w:rPr>
        <w:t xml:space="preserve">D   </w:t>
      </w:r>
      <w:r>
        <w:rPr>
          <w:rFonts w:ascii="Arial" w:cs="Arial" w:eastAsia="Arial" w:hAnsi="Arial"/>
          <w:b/>
          <w:bCs/>
          <w:color w:val="0E5A63"/>
          <w:sz w:val="30"/>
          <w:szCs w:val="30"/>
        </w:rPr>
        <w:t xml:space="preserve">Electrodiagnostic tests</w:t>
      </w:r>
    </w:p>
    <w:p>
      <w:pPr>
        <w:spacing w:after="90" w:before="180"/>
      </w:pPr>
      <w:r>
        <w:rPr>
          <w:rFonts w:ascii="Arial" w:cs="Arial" w:eastAsia="Arial" w:hAnsi="Arial"/>
          <w:b/>
          <w:bCs/>
          <w:color w:val="0E5A63"/>
          <w:sz w:val="24"/>
          <w:szCs w:val="24"/>
        </w:rPr>
        <w:t xml:space="preserve">1   The electroretinogram (ERG)</w:t>
      </w:r>
    </w:p>
    <w:p>
      <w:pPr>
        <w:spacing w:after="160" w:line="276"/>
      </w:pPr>
      <w:r>
        <w:rPr>
          <w:rFonts w:ascii="Arial" w:cs="Arial" w:eastAsia="Arial" w:hAnsi="Arial"/>
          <w:color w:val="1F2933"/>
        </w:rPr>
        <w:t xml:space="preserve">The ERG is the </w:t>
      </w:r>
      <w:r>
        <w:rPr>
          <w:rFonts w:ascii="Arial" w:cs="Arial" w:eastAsia="Arial" w:hAnsi="Arial"/>
          <w:b/>
          <w:bCs/>
          <w:color w:val="0E7C86"/>
        </w:rPr>
        <w:t xml:space="preserve">mass electrical response of the whole retina</w:t>
      </w:r>
      <w:r>
        <w:rPr>
          <w:rFonts w:ascii="Arial" w:cs="Arial" w:eastAsia="Arial" w:hAnsi="Arial"/>
          <w:color w:val="1F2933"/>
        </w:rPr>
        <w:t xml:space="preserve"> to a light stimulus. One electrode is attached to the eye using conductive material embedded in a contact lens, and a second electrode is placed on the forehead. The potential difference between the two is the ERG, which can be amplified and recorded on an oscilloscope.</w:t>
      </w:r>
    </w:p>
    <w:p>
      <w:pPr>
        <w:spacing w:after="160" w:line="276"/>
      </w:pPr>
      <w:r>
        <w:rPr>
          <w:rFonts w:ascii="Arial" w:cs="Arial" w:eastAsia="Arial" w:hAnsi="Arial"/>
          <w:color w:val="1F2933"/>
        </w:rPr>
        <w:t xml:space="preserve">Under dark-adapted conditions with a bright flash the waveform shows: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200"/>
        <w:gridCol w:w="4960"/>
      </w:tblGrid>
      <w:tr>
        <w:trPr>
          <w:tblHeader/>
        </w:trPr>
        <w:tc>
          <w:tcPr>
            <w:tcW w:type="dxa" w:w="2200"/>
            <w:tcBorders>
              <w:top w:val="single" w:color="CFE3E5" w:sz="2"/>
              <w:left w:val="single" w:color="CFE3E5" w:sz="2"/>
              <w:bottom w:val="single" w:color="CFE3E5" w:sz="2"/>
              <w:right w:val="single" w:color="CFE3E5" w:sz="2"/>
            </w:tcBorders>
            <w:shd w:fill="0F7480" w:color="auto" w:val="clear"/>
            <w:tcMar>
              <w:top w:type="dxa" w:w="70"/>
              <w:left w:type="dxa" w:w="110"/>
              <w:bottom w:type="dxa" w:w="70"/>
              <w:right w:type="dxa" w:w="110"/>
            </w:tcMar>
            <w:vAlign w:val="center"/>
          </w:tcPr>
          <w:p>
            <w:r>
              <w:rPr>
                <w:rFonts w:ascii="Arial" w:cs="Arial" w:eastAsia="Arial" w:hAnsi="Arial"/>
                <w:b/>
                <w:bCs/>
                <w:color w:val="FFFFFF"/>
                <w:sz w:val="19"/>
                <w:szCs w:val="19"/>
              </w:rPr>
              <w:t xml:space="preserve">Wave</w:t>
            </w:r>
          </w:p>
        </w:tc>
        <w:tc>
          <w:tcPr>
            <w:tcW w:type="dxa" w:w="2200"/>
            <w:tcBorders>
              <w:top w:val="single" w:color="CFE3E5" w:sz="2"/>
              <w:left w:val="single" w:color="CFE3E5" w:sz="2"/>
              <w:bottom w:val="single" w:color="CFE3E5" w:sz="2"/>
              <w:right w:val="single" w:color="CFE3E5" w:sz="2"/>
            </w:tcBorders>
            <w:shd w:fill="0F7480" w:color="auto" w:val="clear"/>
            <w:tcMar>
              <w:top w:type="dxa" w:w="70"/>
              <w:left w:type="dxa" w:w="110"/>
              <w:bottom w:type="dxa" w:w="70"/>
              <w:right w:type="dxa" w:w="110"/>
            </w:tcMar>
            <w:vAlign w:val="center"/>
          </w:tcPr>
          <w:p>
            <w:r>
              <w:rPr>
                <w:rFonts w:ascii="Arial" w:cs="Arial" w:eastAsia="Arial" w:hAnsi="Arial"/>
                <w:b/>
                <w:bCs/>
                <w:color w:val="FFFFFF"/>
                <w:sz w:val="19"/>
                <w:szCs w:val="19"/>
              </w:rPr>
              <w:t xml:space="preserve">Polarity</w:t>
            </w:r>
          </w:p>
        </w:tc>
        <w:tc>
          <w:tcPr>
            <w:tcW w:type="dxa" w:w="4960"/>
            <w:tcBorders>
              <w:top w:val="single" w:color="CFE3E5" w:sz="2"/>
              <w:left w:val="single" w:color="CFE3E5" w:sz="2"/>
              <w:bottom w:val="single" w:color="CFE3E5" w:sz="2"/>
              <w:right w:val="single" w:color="CFE3E5" w:sz="2"/>
            </w:tcBorders>
            <w:shd w:fill="0F7480" w:color="auto" w:val="clear"/>
            <w:tcMar>
              <w:top w:type="dxa" w:w="70"/>
              <w:left w:type="dxa" w:w="110"/>
              <w:bottom w:type="dxa" w:w="70"/>
              <w:right w:type="dxa" w:w="110"/>
            </w:tcMar>
            <w:vAlign w:val="center"/>
          </w:tcPr>
          <w:p>
            <w:r>
              <w:rPr>
                <w:rFonts w:ascii="Arial" w:cs="Arial" w:eastAsia="Arial" w:hAnsi="Arial"/>
                <w:b/>
                <w:bCs/>
                <w:color w:val="FFFFFF"/>
                <w:sz w:val="19"/>
                <w:szCs w:val="19"/>
              </w:rPr>
              <w:t xml:space="preserve">Thought to arise from</w:t>
            </w:r>
          </w:p>
        </w:tc>
      </w:tr>
      <w:tr>
        <w:tc>
          <w:tcPr>
            <w:tcW w:type="dxa" w:w="2200"/>
            <w:tcBorders>
              <w:top w:val="single" w:color="CFE3E5" w:sz="2"/>
              <w:left w:val="single" w:color="CFE3E5" w:sz="2"/>
              <w:bottom w:val="single" w:color="CFE3E5" w:sz="2"/>
              <w:right w:val="single" w:color="CFE3E5" w:sz="2"/>
            </w:tcBorders>
            <w:shd w:fill="FFFFFF" w:color="auto" w:val="clear"/>
            <w:tcMar>
              <w:top w:type="dxa" w:w="60"/>
              <w:left w:type="dxa" w:w="110"/>
              <w:bottom w:type="dxa" w:w="60"/>
              <w:right w:type="dxa" w:w="110"/>
            </w:tcMar>
            <w:vAlign w:val="top"/>
          </w:tcPr>
          <w:p>
            <w:pPr>
              <w:spacing w:line="264"/>
            </w:pPr>
            <w:r>
              <w:rPr>
                <w:rFonts w:ascii="Arial" w:cs="Arial" w:eastAsia="Arial" w:hAnsi="Arial"/>
                <w:b/>
                <w:bCs/>
                <w:color w:val="0E7C86"/>
                <w:sz w:val="19"/>
                <w:szCs w:val="19"/>
              </w:rPr>
              <w:t xml:space="preserve">a-wave</w:t>
            </w:r>
          </w:p>
        </w:tc>
        <w:tc>
          <w:tcPr>
            <w:tcW w:type="dxa" w:w="2200"/>
            <w:tcBorders>
              <w:top w:val="single" w:color="CFE3E5" w:sz="2"/>
              <w:left w:val="single" w:color="CFE3E5" w:sz="2"/>
              <w:bottom w:val="single" w:color="CFE3E5" w:sz="2"/>
              <w:right w:val="single" w:color="CFE3E5" w:sz="2"/>
            </w:tcBorders>
            <w:shd w:fill="FFFFFF" w:color="auto" w:val="clear"/>
            <w:tcMar>
              <w:top w:type="dxa" w:w="60"/>
              <w:left w:type="dxa" w:w="110"/>
              <w:bottom w:type="dxa" w:w="60"/>
              <w:right w:type="dxa" w:w="110"/>
            </w:tcMar>
            <w:vAlign w:val="top"/>
          </w:tcPr>
          <w:p>
            <w:pPr>
              <w:spacing w:line="264"/>
            </w:pPr>
            <w:r>
              <w:rPr>
                <w:rFonts w:ascii="Arial" w:cs="Arial" w:eastAsia="Arial" w:hAnsi="Arial"/>
                <w:color w:val="1F2933"/>
                <w:sz w:val="19"/>
                <w:szCs w:val="19"/>
              </w:rPr>
              <w:t xml:space="preserve">Negative</w:t>
            </w:r>
          </w:p>
        </w:tc>
        <w:tc>
          <w:tcPr>
            <w:tcW w:type="dxa" w:w="4960"/>
            <w:tcBorders>
              <w:top w:val="single" w:color="CFE3E5" w:sz="2"/>
              <w:left w:val="single" w:color="CFE3E5" w:sz="2"/>
              <w:bottom w:val="single" w:color="CFE3E5" w:sz="2"/>
              <w:right w:val="single" w:color="CFE3E5" w:sz="2"/>
            </w:tcBorders>
            <w:shd w:fill="FFFFFF" w:color="auto" w:val="clear"/>
            <w:tcMar>
              <w:top w:type="dxa" w:w="60"/>
              <w:left w:type="dxa" w:w="110"/>
              <w:bottom w:type="dxa" w:w="60"/>
              <w:right w:type="dxa" w:w="110"/>
            </w:tcMar>
            <w:vAlign w:val="top"/>
          </w:tcPr>
          <w:p>
            <w:pPr>
              <w:spacing w:line="264"/>
            </w:pPr>
            <w:r>
              <w:rPr>
                <w:rFonts w:ascii="Arial" w:cs="Arial" w:eastAsia="Arial" w:hAnsi="Arial"/>
                <w:color w:val="1F2933"/>
                <w:sz w:val="19"/>
                <w:szCs w:val="19"/>
              </w:rPr>
              <w:t xml:space="preserve">The receptors and retinal pigment epithelium.</w:t>
            </w:r>
          </w:p>
        </w:tc>
      </w:tr>
      <w:tr>
        <w:tc>
          <w:tcPr>
            <w:tcW w:type="dxa" w:w="2200"/>
            <w:tcBorders>
              <w:top w:val="single" w:color="CFE3E5" w:sz="2"/>
              <w:left w:val="single" w:color="CFE3E5" w:sz="2"/>
              <w:bottom w:val="single" w:color="CFE3E5" w:sz="2"/>
              <w:right w:val="single" w:color="CFE3E5" w:sz="2"/>
            </w:tcBorders>
            <w:shd w:fill="F2F8F9" w:color="auto" w:val="clear"/>
            <w:tcMar>
              <w:top w:type="dxa" w:w="60"/>
              <w:left w:type="dxa" w:w="110"/>
              <w:bottom w:type="dxa" w:w="60"/>
              <w:right w:type="dxa" w:w="110"/>
            </w:tcMar>
            <w:vAlign w:val="top"/>
          </w:tcPr>
          <w:p>
            <w:pPr>
              <w:spacing w:line="264"/>
            </w:pPr>
            <w:r>
              <w:rPr>
                <w:rFonts w:ascii="Arial" w:cs="Arial" w:eastAsia="Arial" w:hAnsi="Arial"/>
                <w:b/>
                <w:bCs/>
                <w:color w:val="0E7C86"/>
                <w:sz w:val="19"/>
                <w:szCs w:val="19"/>
              </w:rPr>
              <w:t xml:space="preserve">b-wave</w:t>
            </w:r>
          </w:p>
        </w:tc>
        <w:tc>
          <w:tcPr>
            <w:tcW w:type="dxa" w:w="2200"/>
            <w:tcBorders>
              <w:top w:val="single" w:color="CFE3E5" w:sz="2"/>
              <w:left w:val="single" w:color="CFE3E5" w:sz="2"/>
              <w:bottom w:val="single" w:color="CFE3E5" w:sz="2"/>
              <w:right w:val="single" w:color="CFE3E5" w:sz="2"/>
            </w:tcBorders>
            <w:shd w:fill="F2F8F9" w:color="auto" w:val="clear"/>
            <w:tcMar>
              <w:top w:type="dxa" w:w="60"/>
              <w:left w:type="dxa" w:w="110"/>
              <w:bottom w:type="dxa" w:w="60"/>
              <w:right w:type="dxa" w:w="110"/>
            </w:tcMar>
            <w:vAlign w:val="top"/>
          </w:tcPr>
          <w:p>
            <w:pPr>
              <w:spacing w:line="264"/>
            </w:pPr>
            <w:r>
              <w:rPr>
                <w:rFonts w:ascii="Arial" w:cs="Arial" w:eastAsia="Arial" w:hAnsi="Arial"/>
                <w:color w:val="1F2933"/>
                <w:sz w:val="19"/>
                <w:szCs w:val="19"/>
              </w:rPr>
              <w:t xml:space="preserve">Positive</w:t>
            </w:r>
          </w:p>
        </w:tc>
        <w:tc>
          <w:tcPr>
            <w:tcW w:type="dxa" w:w="4960"/>
            <w:tcBorders>
              <w:top w:val="single" w:color="CFE3E5" w:sz="2"/>
              <w:left w:val="single" w:color="CFE3E5" w:sz="2"/>
              <w:bottom w:val="single" w:color="CFE3E5" w:sz="2"/>
              <w:right w:val="single" w:color="CFE3E5" w:sz="2"/>
            </w:tcBorders>
            <w:shd w:fill="F2F8F9" w:color="auto" w:val="clear"/>
            <w:tcMar>
              <w:top w:type="dxa" w:w="60"/>
              <w:left w:type="dxa" w:w="110"/>
              <w:bottom w:type="dxa" w:w="60"/>
              <w:right w:type="dxa" w:w="110"/>
            </w:tcMar>
            <w:vAlign w:val="top"/>
          </w:tcPr>
          <w:p>
            <w:pPr>
              <w:spacing w:line="264"/>
            </w:pPr>
            <w:r>
              <w:rPr>
                <w:rFonts w:ascii="Arial" w:cs="Arial" w:eastAsia="Arial" w:hAnsi="Arial"/>
                <w:color w:val="1F2933"/>
                <w:sz w:val="19"/>
                <w:szCs w:val="19"/>
              </w:rPr>
              <w:t xml:space="preserve">The layers between the receptors and ganglion cells — probably Müller’s cells.</w:t>
            </w:r>
          </w:p>
        </w:tc>
      </w:tr>
      <w:tr>
        <w:tc>
          <w:tcPr>
            <w:tcW w:type="dxa" w:w="2200"/>
            <w:tcBorders>
              <w:top w:val="single" w:color="CFE3E5" w:sz="2"/>
              <w:left w:val="single" w:color="CFE3E5" w:sz="2"/>
              <w:bottom w:val="single" w:color="CFE3E5" w:sz="2"/>
              <w:right w:val="single" w:color="CFE3E5" w:sz="2"/>
            </w:tcBorders>
            <w:shd w:fill="FFFFFF" w:color="auto" w:val="clear"/>
            <w:tcMar>
              <w:top w:type="dxa" w:w="60"/>
              <w:left w:type="dxa" w:w="110"/>
              <w:bottom w:type="dxa" w:w="60"/>
              <w:right w:type="dxa" w:w="110"/>
            </w:tcMar>
            <w:vAlign w:val="top"/>
          </w:tcPr>
          <w:p>
            <w:pPr>
              <w:spacing w:line="264"/>
            </w:pPr>
            <w:r>
              <w:rPr>
                <w:rFonts w:ascii="Arial" w:cs="Arial" w:eastAsia="Arial" w:hAnsi="Arial"/>
                <w:b/>
                <w:bCs/>
                <w:color w:val="0E7C86"/>
                <w:sz w:val="19"/>
                <w:szCs w:val="19"/>
              </w:rPr>
              <w:t xml:space="preserve">c-wave</w:t>
            </w:r>
          </w:p>
        </w:tc>
        <w:tc>
          <w:tcPr>
            <w:tcW w:type="dxa" w:w="2200"/>
            <w:tcBorders>
              <w:top w:val="single" w:color="CFE3E5" w:sz="2"/>
              <w:left w:val="single" w:color="CFE3E5" w:sz="2"/>
              <w:bottom w:val="single" w:color="CFE3E5" w:sz="2"/>
              <w:right w:val="single" w:color="CFE3E5" w:sz="2"/>
            </w:tcBorders>
            <w:shd w:fill="FFFFFF" w:color="auto" w:val="clear"/>
            <w:tcMar>
              <w:top w:type="dxa" w:w="60"/>
              <w:left w:type="dxa" w:w="110"/>
              <w:bottom w:type="dxa" w:w="60"/>
              <w:right w:type="dxa" w:w="110"/>
            </w:tcMar>
            <w:vAlign w:val="top"/>
          </w:tcPr>
          <w:p>
            <w:pPr>
              <w:spacing w:line="264"/>
            </w:pPr>
            <w:r>
              <w:rPr>
                <w:rFonts w:ascii="Arial" w:cs="Arial" w:eastAsia="Arial" w:hAnsi="Arial"/>
                <w:color w:val="1F2933"/>
                <w:sz w:val="19"/>
                <w:szCs w:val="19"/>
              </w:rPr>
              <w:t xml:space="preserve">Positive</w:t>
            </w:r>
          </w:p>
        </w:tc>
        <w:tc>
          <w:tcPr>
            <w:tcW w:type="dxa" w:w="4960"/>
            <w:tcBorders>
              <w:top w:val="single" w:color="CFE3E5" w:sz="2"/>
              <w:left w:val="single" w:color="CFE3E5" w:sz="2"/>
              <w:bottom w:val="single" w:color="CFE3E5" w:sz="2"/>
              <w:right w:val="single" w:color="CFE3E5" w:sz="2"/>
            </w:tcBorders>
            <w:shd w:fill="FFFFFF" w:color="auto" w:val="clear"/>
            <w:tcMar>
              <w:top w:type="dxa" w:w="60"/>
              <w:left w:type="dxa" w:w="110"/>
              <w:bottom w:type="dxa" w:w="60"/>
              <w:right w:type="dxa" w:w="110"/>
            </w:tcMar>
            <w:vAlign w:val="top"/>
          </w:tcPr>
          <w:p>
            <w:pPr>
              <w:spacing w:line="264"/>
            </w:pPr>
            <w:r>
              <w:rPr>
                <w:rFonts w:ascii="Arial" w:cs="Arial" w:eastAsia="Arial" w:hAnsi="Arial"/>
                <w:color w:val="1F2933"/>
                <w:sz w:val="19"/>
                <w:szCs w:val="19"/>
              </w:rPr>
              <w:t xml:space="preserve">The pigment epithelium.</w:t>
            </w:r>
          </w:p>
        </w:tc>
      </w:tr>
      <w:tr>
        <w:tc>
          <w:tcPr>
            <w:tcW w:type="dxa" w:w="2200"/>
            <w:tcBorders>
              <w:top w:val="single" w:color="CFE3E5" w:sz="2"/>
              <w:left w:val="single" w:color="CFE3E5" w:sz="2"/>
              <w:bottom w:val="single" w:color="CFE3E5" w:sz="2"/>
              <w:right w:val="single" w:color="CFE3E5" w:sz="2"/>
            </w:tcBorders>
            <w:shd w:fill="F2F8F9" w:color="auto" w:val="clear"/>
            <w:tcMar>
              <w:top w:type="dxa" w:w="60"/>
              <w:left w:type="dxa" w:w="110"/>
              <w:bottom w:type="dxa" w:w="60"/>
              <w:right w:type="dxa" w:w="110"/>
            </w:tcMar>
            <w:vAlign w:val="top"/>
          </w:tcPr>
          <w:p>
            <w:pPr>
              <w:spacing w:line="264"/>
            </w:pPr>
            <w:r>
              <w:rPr>
                <w:rFonts w:ascii="Arial" w:cs="Arial" w:eastAsia="Arial" w:hAnsi="Arial"/>
                <w:b/>
                <w:bCs/>
                <w:color w:val="0E7C86"/>
                <w:sz w:val="19"/>
                <w:szCs w:val="19"/>
              </w:rPr>
              <w:t xml:space="preserve">d-wave</w:t>
            </w:r>
          </w:p>
        </w:tc>
        <w:tc>
          <w:tcPr>
            <w:tcW w:type="dxa" w:w="2200"/>
            <w:tcBorders>
              <w:top w:val="single" w:color="CFE3E5" w:sz="2"/>
              <w:left w:val="single" w:color="CFE3E5" w:sz="2"/>
              <w:bottom w:val="single" w:color="CFE3E5" w:sz="2"/>
              <w:right w:val="single" w:color="CFE3E5" w:sz="2"/>
            </w:tcBorders>
            <w:shd w:fill="F2F8F9" w:color="auto" w:val="clear"/>
            <w:tcMar>
              <w:top w:type="dxa" w:w="60"/>
              <w:left w:type="dxa" w:w="110"/>
              <w:bottom w:type="dxa" w:w="60"/>
              <w:right w:type="dxa" w:w="110"/>
            </w:tcMar>
            <w:vAlign w:val="top"/>
          </w:tcPr>
          <w:p>
            <w:pPr>
              <w:spacing w:line="264"/>
            </w:pPr>
            <w:r>
              <w:rPr>
                <w:rFonts w:ascii="Arial" w:cs="Arial" w:eastAsia="Arial" w:hAnsi="Arial"/>
                <w:color w:val="1F2933"/>
                <w:sz w:val="19"/>
                <w:szCs w:val="19"/>
              </w:rPr>
              <w:t xml:space="preserve">Negative</w:t>
            </w:r>
          </w:p>
        </w:tc>
        <w:tc>
          <w:tcPr>
            <w:tcW w:type="dxa" w:w="4960"/>
            <w:tcBorders>
              <w:top w:val="single" w:color="CFE3E5" w:sz="2"/>
              <w:left w:val="single" w:color="CFE3E5" w:sz="2"/>
              <w:bottom w:val="single" w:color="CFE3E5" w:sz="2"/>
              <w:right w:val="single" w:color="CFE3E5" w:sz="2"/>
            </w:tcBorders>
            <w:shd w:fill="F2F8F9" w:color="auto" w:val="clear"/>
            <w:tcMar>
              <w:top w:type="dxa" w:w="60"/>
              <w:left w:type="dxa" w:w="110"/>
              <w:bottom w:type="dxa" w:w="60"/>
              <w:right w:type="dxa" w:w="110"/>
            </w:tcMar>
            <w:vAlign w:val="top"/>
          </w:tcPr>
          <w:p>
            <w:pPr>
              <w:spacing w:line="264"/>
            </w:pPr>
            <w:r>
              <w:rPr>
                <w:rFonts w:ascii="Arial" w:cs="Arial" w:eastAsia="Arial" w:hAnsi="Arial"/>
                <w:color w:val="1F2933"/>
                <w:sz w:val="19"/>
                <w:szCs w:val="19"/>
              </w:rPr>
              <w:t xml:space="preserve">An ‘off’ effect as the light is removed.</w:t>
            </w:r>
          </w:p>
        </w:tc>
      </w:tr>
    </w:tbl>
    <w:p>
      <w:pPr>
        <w:spacing w:after="60"/>
      </w:pPr>
    </w:p>
    <w:p>
      <w:pPr>
        <w:spacing w:after="160" w:line="276"/>
      </w:pPr>
      <w:r>
        <w:rPr>
          <w:rFonts w:ascii="Arial" w:cs="Arial" w:eastAsia="Arial" w:hAnsi="Arial"/>
          <w:color w:val="1F2933"/>
        </w:rPr>
        <w:t xml:space="preserve">Usually only the </w:t>
      </w:r>
      <w:r>
        <w:rPr>
          <w:rFonts w:ascii="Arial" w:cs="Arial" w:eastAsia="Arial" w:hAnsi="Arial"/>
          <w:b/>
          <w:bCs/>
          <w:color w:val="0E7C86"/>
        </w:rPr>
        <w:t xml:space="preserve">a- and b-waves</w:t>
      </w:r>
      <w:r>
        <w:rPr>
          <w:rFonts w:ascii="Arial" w:cs="Arial" w:eastAsia="Arial" w:hAnsi="Arial"/>
          <w:color w:val="1F2933"/>
        </w:rPr>
        <w:t xml:space="preserve"> can be recorded with any certainty.</w:t>
      </w:r>
    </w:p>
    <w:p>
      <w:pPr>
        <w:spacing w:after="60" w:before="120"/>
      </w:pPr>
      <w:r>
        <w:rPr>
          <w:rFonts w:ascii="Arial" w:cs="Arial" w:eastAsia="Arial" w:hAnsi="Arial"/>
          <w:b/>
          <w:bCs/>
          <w:color w:val="1F2933"/>
          <w:sz w:val="22"/>
          <w:szCs w:val="22"/>
        </w:rPr>
        <w:t xml:space="preserve">Clinical applications</w:t>
      </w:r>
    </w:p>
    <w:p>
      <w:pPr>
        <w:pStyle w:val="ListParagraph"/>
        <w:numPr>
          <w:ilvl w:val="0"/>
          <w:numId w:val="2"/>
        </w:numPr>
        <w:spacing w:after="80" w:line="270"/>
      </w:pPr>
      <w:r>
        <w:rPr>
          <w:rFonts w:ascii="Arial" w:cs="Arial" w:eastAsia="Arial" w:hAnsi="Arial"/>
          <w:color w:val="1F2933"/>
        </w:rPr>
        <w:t xml:space="preserve">To diagnose diseases causing </w:t>
      </w:r>
      <w:r>
        <w:rPr>
          <w:rFonts w:ascii="Arial" w:cs="Arial" w:eastAsia="Arial" w:hAnsi="Arial"/>
          <w:b/>
          <w:bCs/>
          <w:color w:val="0E7C86"/>
        </w:rPr>
        <w:t xml:space="preserve">widespread</w:t>
      </w:r>
      <w:r>
        <w:rPr>
          <w:rFonts w:ascii="Arial" w:cs="Arial" w:eastAsia="Arial" w:hAnsi="Arial"/>
          <w:color w:val="1F2933"/>
        </w:rPr>
        <w:t xml:space="preserve"> lesions of the retinal receptors and pigment epithelium — for example retinitis pigmentosa and generalised retinal disease. The response may be </w:t>
      </w:r>
      <w:r>
        <w:rPr>
          <w:rFonts w:ascii="Arial" w:cs="Arial" w:eastAsia="Arial" w:hAnsi="Arial"/>
          <w:b/>
          <w:bCs/>
          <w:color w:val="0E7C86"/>
        </w:rPr>
        <w:t xml:space="preserve">subnormal</w:t>
      </w:r>
      <w:r>
        <w:rPr>
          <w:rFonts w:ascii="Arial" w:cs="Arial" w:eastAsia="Arial" w:hAnsi="Arial"/>
          <w:color w:val="1F2933"/>
        </w:rPr>
        <w:t xml:space="preserve"> (reduced to about half amplitude) or </w:t>
      </w:r>
      <w:r>
        <w:rPr>
          <w:rFonts w:ascii="Arial" w:cs="Arial" w:eastAsia="Arial" w:hAnsi="Arial"/>
          <w:b/>
          <w:bCs/>
          <w:color w:val="0E7C86"/>
        </w:rPr>
        <w:t xml:space="preserve">extinguished</w:t>
      </w:r>
      <w:r>
        <w:rPr>
          <w:rFonts w:ascii="Arial" w:cs="Arial" w:eastAsia="Arial" w:hAnsi="Arial"/>
          <w:color w:val="1F2933"/>
        </w:rPr>
        <w:t xml:space="preserve"> (not recognisable). The ERG can detect such receptor diseases </w:t>
      </w:r>
      <w:r>
        <w:rPr>
          <w:rFonts w:ascii="Arial" w:cs="Arial" w:eastAsia="Arial" w:hAnsi="Arial"/>
          <w:b/>
          <w:bCs/>
          <w:color w:val="0E7C86"/>
        </w:rPr>
        <w:t xml:space="preserve">before they are clinically manifest</w:t>
      </w:r>
      <w:r>
        <w:rPr>
          <w:rFonts w:ascii="Arial" w:cs="Arial" w:eastAsia="Arial" w:hAnsi="Arial"/>
          <w:color w:val="1F2933"/>
        </w:rPr>
        <w:t xml:space="preserve">, or before the patient has any visual complaint.</w:t>
      </w:r>
    </w:p>
    <w:p>
      <w:pPr>
        <w:pStyle w:val="ListParagraph"/>
        <w:numPr>
          <w:ilvl w:val="0"/>
          <w:numId w:val="2"/>
        </w:numPr>
        <w:spacing w:after="80" w:line="270"/>
      </w:pPr>
      <w:r>
        <w:rPr>
          <w:rFonts w:ascii="Arial" w:cs="Arial" w:eastAsia="Arial" w:hAnsi="Arial"/>
          <w:color w:val="1F2933"/>
        </w:rPr>
        <w:t xml:space="preserve">As a valuable index of retinal function in </w:t>
      </w:r>
      <w:r>
        <w:rPr>
          <w:rFonts w:ascii="Arial" w:cs="Arial" w:eastAsia="Arial" w:hAnsi="Arial"/>
          <w:b/>
          <w:bCs/>
          <w:color w:val="0E7C86"/>
        </w:rPr>
        <w:t xml:space="preserve">infants</w:t>
      </w:r>
      <w:r>
        <w:rPr>
          <w:rFonts w:ascii="Arial" w:cs="Arial" w:eastAsia="Arial" w:hAnsi="Arial"/>
          <w:color w:val="1F2933"/>
        </w:rPr>
        <w:t xml:space="preserve">, or where media opacities obscure the retina.</w:t>
      </w:r>
    </w:p>
    <w:p>
      <w:pPr>
        <w:spacing w:after="90" w:before="180"/>
      </w:pPr>
      <w:r>
        <w:rPr>
          <w:rFonts w:ascii="Arial" w:cs="Arial" w:eastAsia="Arial" w:hAnsi="Arial"/>
          <w:b/>
          <w:bCs/>
          <w:color w:val="0E5A63"/>
          <w:sz w:val="24"/>
          <w:szCs w:val="24"/>
        </w:rPr>
        <w:t xml:space="preserve">2   The electro-oculogram (EOG)</w:t>
      </w:r>
    </w:p>
    <w:p>
      <w:pPr>
        <w:spacing w:after="160" w:line="276"/>
      </w:pPr>
      <w:r>
        <w:rPr>
          <w:rFonts w:ascii="Arial" w:cs="Arial" w:eastAsia="Arial" w:hAnsi="Arial"/>
          <w:color w:val="1F2933"/>
        </w:rPr>
        <w:t xml:space="preserve">The EOG is an additional way of measuring retinal function electronically. Electrodes are placed at the inner and outer canthi; as the eye moves from side to side, an alternating potential is recorded. The potential difference is measured in the </w:t>
      </w:r>
      <w:r>
        <w:rPr>
          <w:rFonts w:ascii="Arial" w:cs="Arial" w:eastAsia="Arial" w:hAnsi="Arial"/>
          <w:b/>
          <w:bCs/>
          <w:color w:val="0E7C86"/>
        </w:rPr>
        <w:t xml:space="preserve">dark</w:t>
      </w:r>
      <w:r>
        <w:rPr>
          <w:rFonts w:ascii="Arial" w:cs="Arial" w:eastAsia="Arial" w:hAnsi="Arial"/>
          <w:color w:val="1F2933"/>
        </w:rPr>
        <w:t xml:space="preserve"> (small) and after exposure to </w:t>
      </w:r>
      <w:r>
        <w:rPr>
          <w:rFonts w:ascii="Arial" w:cs="Arial" w:eastAsia="Arial" w:hAnsi="Arial"/>
          <w:b/>
          <w:bCs/>
          <w:color w:val="0E7C86"/>
        </w:rPr>
        <w:t xml:space="preserve">light</w:t>
      </w:r>
      <w:r>
        <w:rPr>
          <w:rFonts w:ascii="Arial" w:cs="Arial" w:eastAsia="Arial" w:hAnsi="Arial"/>
          <w:color w:val="1F2933"/>
        </w:rPr>
        <w:t xml:space="preserve"> (large). The ratio is the </w:t>
      </w:r>
      <w:r>
        <w:rPr>
          <w:rFonts w:ascii="Arial" w:cs="Arial" w:eastAsia="Arial" w:hAnsi="Arial"/>
          <w:b/>
          <w:bCs/>
          <w:color w:val="0E7C86"/>
        </w:rPr>
        <w:t xml:space="preserve">light rise</w:t>
      </w:r>
      <w:r>
        <w:rPr>
          <w:rFonts w:ascii="Arial" w:cs="Arial" w:eastAsia="Arial" w:hAnsi="Arial"/>
          <w:color w:val="1F2933"/>
        </w:rPr>
        <w:t xml:space="preserve">, a useful index of </w:t>
      </w:r>
      <w:r>
        <w:rPr>
          <w:rFonts w:ascii="Arial" w:cs="Arial" w:eastAsia="Arial" w:hAnsi="Arial"/>
          <w:b/>
          <w:bCs/>
          <w:color w:val="0E7C86"/>
        </w:rPr>
        <w:t xml:space="preserve">retinal pigment epithelium function</w:t>
      </w:r>
      <w:r>
        <w:rPr>
          <w:rFonts w:ascii="Arial" w:cs="Arial" w:eastAsia="Arial" w:hAnsi="Arial"/>
          <w:color w:val="1F2933"/>
        </w:rPr>
        <w:t xml:space="preserve">.</w:t>
      </w:r>
    </w:p>
    <w:p>
      <w:pPr>
        <w:spacing w:after="90" w:before="180"/>
      </w:pPr>
      <w:r>
        <w:rPr>
          <w:rFonts w:ascii="Arial" w:cs="Arial" w:eastAsia="Arial" w:hAnsi="Arial"/>
          <w:b/>
          <w:bCs/>
          <w:color w:val="0E5A63"/>
          <w:sz w:val="24"/>
          <w:szCs w:val="24"/>
        </w:rPr>
        <w:t xml:space="preserve">3   The visual evoked response (VER)</w:t>
      </w:r>
    </w:p>
    <w:p>
      <w:pPr>
        <w:spacing w:after="160" w:line="276"/>
      </w:pPr>
      <w:r>
        <w:rPr>
          <w:rFonts w:ascii="Arial" w:cs="Arial" w:eastAsia="Arial" w:hAnsi="Arial"/>
          <w:color w:val="1F2933"/>
        </w:rPr>
        <w:t xml:space="preserve">Using scalp electrodes, the VER measures the electrical potential resulting from a visual stimulus. It is primarily a test of </w:t>
      </w:r>
      <w:r>
        <w:rPr>
          <w:rFonts w:ascii="Arial" w:cs="Arial" w:eastAsia="Arial" w:hAnsi="Arial"/>
          <w:b/>
          <w:bCs/>
          <w:color w:val="0E7C86"/>
        </w:rPr>
        <w:t xml:space="preserve">macular and optic nerve function</w:t>
      </w:r>
      <w:r>
        <w:rPr>
          <w:rFonts w:ascii="Arial" w:cs="Arial" w:eastAsia="Arial" w:hAnsi="Arial"/>
          <w:color w:val="1F2933"/>
        </w:rPr>
        <w:t xml:space="preserve">. Abnormalities due to conditions such as </w:t>
      </w:r>
      <w:r>
        <w:rPr>
          <w:rFonts w:ascii="Arial" w:cs="Arial" w:eastAsia="Arial" w:hAnsi="Arial"/>
          <w:b/>
          <w:bCs/>
          <w:color w:val="0E7C86"/>
        </w:rPr>
        <w:t xml:space="preserve">demyelination</w:t>
      </w:r>
      <w:r>
        <w:rPr>
          <w:rFonts w:ascii="Arial" w:cs="Arial" w:eastAsia="Arial" w:hAnsi="Arial"/>
          <w:color w:val="1F2933"/>
        </w:rPr>
        <w:t xml:space="preserve"> can be detected, and the VER can also detect and monitor </w:t>
      </w:r>
      <w:r>
        <w:rPr>
          <w:rFonts w:ascii="Arial" w:cs="Arial" w:eastAsia="Arial" w:hAnsi="Arial"/>
          <w:b/>
          <w:bCs/>
          <w:color w:val="0E7C86"/>
        </w:rPr>
        <w:t xml:space="preserve">amblyopia</w:t>
      </w:r>
      <w:r>
        <w:rPr>
          <w:rFonts w:ascii="Arial" w:cs="Arial" w:eastAsia="Arial" w:hAnsi="Arial"/>
          <w:color w:val="1F2933"/>
        </w:rPr>
        <w:t xml:space="preserve"> in infants.</w:t>
      </w:r>
    </w:p>
    <w:p>
      <w:pPr>
        <w:spacing w:after="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4F2F3" w:sz="2"/>
              <w:left w:val="single" w:color="0F7480" w:sz="30"/>
              <w:bottom w:val="single" w:color="E4F2F3" w:sz="2"/>
              <w:right w:val="single" w:color="E4F2F3" w:sz="2"/>
            </w:tcBorders>
            <w:shd w:fill="E4F2F3" w:color="auto" w:val="clear"/>
            <w:tcMar>
              <w:top w:type="dxa" w:w="130"/>
              <w:left w:type="dxa" w:w="200"/>
              <w:bottom w:type="dxa" w:w="130"/>
              <w:right w:type="dxa" w:w="160"/>
            </w:tcMar>
          </w:tcPr>
          <w:p>
            <w:pPr>
              <w:spacing w:after="80"/>
            </w:pPr>
            <w:r>
              <w:rPr>
                <w:rFonts w:ascii="Arial" w:cs="Arial" w:eastAsia="Arial" w:hAnsi="Arial"/>
                <w:b/>
                <w:bCs/>
                <w:color w:val="0E6B74"/>
                <w:spacing w:val="20"/>
                <w:sz w:val="19"/>
                <w:szCs w:val="19"/>
              </w:rPr>
              <w:t xml:space="preserve">WHICH TEST PROBES WHICH STRUCTURE</w:t>
            </w:r>
          </w:p>
          <w:p>
            <w:pPr>
              <w:pStyle w:val="ListParagraph"/>
              <w:numPr>
                <w:ilvl w:val="0"/>
                <w:numId w:val="4"/>
              </w:numPr>
              <w:spacing w:after="50" w:line="264"/>
            </w:pPr>
            <w:r>
              <w:rPr>
                <w:rFonts w:ascii="Arial" w:cs="Arial" w:eastAsia="Arial" w:hAnsi="Arial"/>
                <w:b/>
                <w:bCs/>
                <w:color w:val="0E7C86"/>
              </w:rPr>
              <w:t xml:space="preserve">ERG</w:t>
            </w:r>
            <w:r>
              <w:rPr>
                <w:rFonts w:ascii="Arial" w:cs="Arial" w:eastAsia="Arial" w:hAnsi="Arial"/>
                <w:color w:val="1F2933"/>
              </w:rPr>
              <w:t xml:space="preserve"> — the photoreceptors and outer retina (whole-retina response).</w:t>
            </w:r>
          </w:p>
          <w:p>
            <w:pPr>
              <w:pStyle w:val="ListParagraph"/>
              <w:numPr>
                <w:ilvl w:val="0"/>
                <w:numId w:val="4"/>
              </w:numPr>
              <w:spacing w:after="50" w:line="264"/>
            </w:pPr>
            <w:r>
              <w:rPr>
                <w:rFonts w:ascii="Arial" w:cs="Arial" w:eastAsia="Arial" w:hAnsi="Arial"/>
                <w:b/>
                <w:bCs/>
                <w:color w:val="0E7C86"/>
              </w:rPr>
              <w:t xml:space="preserve">EOG</w:t>
            </w:r>
            <w:r>
              <w:rPr>
                <w:rFonts w:ascii="Arial" w:cs="Arial" w:eastAsia="Arial" w:hAnsi="Arial"/>
                <w:color w:val="1F2933"/>
              </w:rPr>
              <w:t xml:space="preserve"> — the retinal pigment epithelium (the light rise).</w:t>
            </w:r>
          </w:p>
          <w:p>
            <w:pPr>
              <w:pStyle w:val="ListParagraph"/>
              <w:numPr>
                <w:ilvl w:val="0"/>
                <w:numId w:val="4"/>
              </w:numPr>
              <w:spacing w:after="50" w:line="264"/>
            </w:pPr>
            <w:r>
              <w:rPr>
                <w:rFonts w:ascii="Arial" w:cs="Arial" w:eastAsia="Arial" w:hAnsi="Arial"/>
                <w:b/>
                <w:bCs/>
                <w:color w:val="0E7C86"/>
              </w:rPr>
              <w:t xml:space="preserve">VER</w:t>
            </w:r>
            <w:r>
              <w:rPr>
                <w:rFonts w:ascii="Arial" w:cs="Arial" w:eastAsia="Arial" w:hAnsi="Arial"/>
                <w:color w:val="1F2933"/>
              </w:rPr>
              <w:t xml:space="preserve"> — the macula and optic nerve / visual pathway to the cortex.</w:t>
            </w:r>
          </w:p>
        </w:tc>
      </w:tr>
    </w:tbl>
    <w:p>
      <w:pPr>
        <w:pBdr>
          <w:top w:val="single" w:color="0F7480" w:sz="12" w:space="6"/>
        </w:pBdr>
        <w:spacing w:before="300"/>
      </w:pPr>
      <w:r>
        <w:rPr>
          <w:rFonts w:ascii="Arial" w:cs="Arial" w:eastAsia="Arial" w:hAnsi="Arial"/>
          <w:b/>
          <w:bCs/>
          <w:color w:val="0E5A63"/>
          <w:spacing w:val="40"/>
          <w:sz w:val="20"/>
          <w:szCs w:val="20"/>
        </w:rPr>
        <w:t xml:space="preserve">END OF CHAPTER 12 · VISUAL ACUITY &amp; ELECTRODIAGNOSTIC TESTS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E0E3" w:sz="4" w:space="6"/>
      </w:pBdr>
      <w:jc w:val="center"/>
    </w:pPr>
    <w:r>
      <w:rPr>
        <w:rFonts w:ascii="Arial" w:cs="Arial" w:eastAsia="Arial" w:hAnsi="Arial"/>
        <w:color w:val="5B6B73"/>
        <w:sz w:val="16"/>
        <w:szCs w:val="16"/>
      </w:rPr>
      <w:t xml:space="preserve">BRADFORD VTS TEACHING AIDS  ·  JUNE 2026  ·  Page </w:t>
    </w:r>
    <w:r>
      <w:rPr>
        <w:rFonts w:ascii="Arial" w:cs="Arial" w:eastAsia="Arial" w:hAnsi="Arial"/>
        <w:color w:val="5B6B73"/>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rPr>
        <w:color w:val="0F7480"/>
      </w:rPr>
    </w:lvl>
  </w:abstractNum>
  <w:abstractNum w:abstractNumId="3" w15:restartNumberingAfterBreak="0">
    <w:multiLevelType w:val="hybridMultilevel"/>
    <w:lvl w:ilvl="0" w15:tentative="1">
      <w:start w:val="1"/>
      <w:numFmt w:val="bullet"/>
      <w:lvlText w:val="•"/>
      <w:lvlJc w:val="left"/>
      <w:pPr>
        <w:ind w:left="360" w:hanging="220"/>
      </w:pPr>
      <w:rPr>
        <w:color w:val="0E6B74"/>
      </w:rPr>
    </w:lvl>
  </w:abstractNum>
  <w:abstractNum w:abstractNumId="4" w15:restartNumberingAfterBreak="0">
    <w:multiLevelType w:val="hybridMultilevel"/>
    <w:lvl w:ilvl="0" w15:tentative="1">
      <w:start w:val="1"/>
      <w:numFmt w:val="decimal"/>
      <w:lvlText w:val="%1."/>
      <w:lvlJc w:val="left"/>
      <w:pPr>
        <w:ind w:left="460" w:hanging="280"/>
      </w:pPr>
      <w:rPr>
        <w:b/>
        <w:bCs/>
        <w:color w:val="0F7480"/>
      </w:rPr>
    </w:lvl>
  </w:abstractNum>
  <w:num w:numId="1">
    <w:abstractNumId w:val="1"/>
    <w:lvlOverride w:ilvl="0">
      <w:startOverride w:val="1"/>
    </w:lvlOverride>
  </w:num>
  <w:num w:numId="2">
    <w:abstractNumId w:val="2"/>
    <w:lvlOverride w:ilvl="0">
      <w:startOverride w:val="1"/>
    </w:lvlOverride>
  </w:num>
  <w:num w:numId="3">
    <w:abstractNumId w:val="4"/>
    <w:lvlOverride w:ilvl="0">
      <w:startOverride w:val="1"/>
    </w:lvlOverride>
  </w:num>
  <w:num w:numId="4">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F29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2026-06-08T17:08:43.355Z</dcterms:created>
  <dcterms:modified xsi:type="dcterms:W3CDTF">2026-06-08T17:08:43.355Z</dcterms:modified>
</cp:coreProperties>
</file>

<file path=docProps/custom.xml><?xml version="1.0" encoding="utf-8"?>
<Properties xmlns="http://schemas.openxmlformats.org/officeDocument/2006/custom-properties" xmlns:vt="http://schemas.openxmlformats.org/officeDocument/2006/docPropsVTypes"/>
</file>