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560" w:type="dxa"/>
        <w:jc w:val="center"/>
        <w:tblLook w:val="04A0" w:firstRow="1" w:lastRow="0" w:firstColumn="1" w:lastColumn="0" w:noHBand="0" w:noVBand="1"/>
      </w:tblPr>
      <w:tblGrid>
        <w:gridCol w:w="9560"/>
      </w:tblGrid>
      <w:tr w:rsidR="004579D3" w14:paraId="742C371F" w14:textId="77777777">
        <w:trPr>
          <w:trHeight w:val="1800"/>
          <w:jc w:val="center"/>
        </w:trPr>
        <w:tc>
          <w:tcPr>
            <w:tcW w:w="96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0651F"/>
          </w:tcPr>
          <w:p w14:paraId="6DF12698" w14:textId="77777777" w:rsidR="004579D3" w:rsidRDefault="00000000" w:rsidP="00785AB1">
            <w:pPr>
              <w:spacing w:before="200" w:after="40"/>
              <w:ind w:right="-427"/>
              <w:jc w:val="center"/>
            </w:pPr>
            <w:r>
              <w:rPr>
                <w:rFonts w:ascii="Calibri" w:hAnsi="Calibri"/>
                <w:b/>
                <w:caps/>
                <w:color w:val="FFFFFF"/>
              </w:rPr>
              <w:t>BRADFORD VTS TEACHING AIDS</w:t>
            </w:r>
          </w:p>
          <w:p w14:paraId="57627F17" w14:textId="77777777" w:rsidR="004579D3" w:rsidRDefault="00000000" w:rsidP="00785AB1">
            <w:pPr>
              <w:spacing w:before="80" w:after="80"/>
              <w:ind w:right="-427"/>
              <w:jc w:val="center"/>
            </w:pPr>
            <w:r>
              <w:rPr>
                <w:rFonts w:ascii="Calibri" w:hAnsi="Calibri"/>
                <w:b/>
                <w:color w:val="FFFFFF"/>
                <w:sz w:val="64"/>
              </w:rPr>
              <w:t>Assessing Child Growth</w:t>
            </w:r>
            <w:r>
              <w:rPr>
                <w:rFonts w:ascii="Calibri" w:hAnsi="Calibri"/>
                <w:b/>
                <w:color w:val="FFFFFF"/>
                <w:sz w:val="64"/>
              </w:rPr>
              <w:br/>
              <w:t>in Primary Care</w:t>
            </w:r>
          </w:p>
          <w:p w14:paraId="78B28884" w14:textId="77777777" w:rsidR="004579D3" w:rsidRDefault="00000000" w:rsidP="00785AB1">
            <w:pPr>
              <w:spacing w:before="40" w:after="200"/>
              <w:ind w:right="-427"/>
              <w:jc w:val="center"/>
            </w:pPr>
            <w:r>
              <w:rPr>
                <w:rFonts w:ascii="Calibri" w:hAnsi="Calibri"/>
                <w:i/>
                <w:color w:val="FFFFFF"/>
              </w:rPr>
              <w:t>A Practical Clinical Guide  ·  Bradford VTS  ·  June 2026</w:t>
            </w:r>
          </w:p>
        </w:tc>
      </w:tr>
    </w:tbl>
    <w:p w14:paraId="5F4B942D" w14:textId="77777777" w:rsidR="004579D3" w:rsidRDefault="004579D3" w:rsidP="00785AB1">
      <w:pPr>
        <w:ind w:right="-427"/>
      </w:pPr>
    </w:p>
    <w:p w14:paraId="71805C2F" w14:textId="77777777" w:rsidR="004579D3" w:rsidRDefault="00000000" w:rsidP="00785AB1">
      <w:pPr>
        <w:spacing w:before="40"/>
        <w:ind w:right="-427"/>
        <w:jc w:val="center"/>
      </w:pPr>
      <w:r>
        <w:rPr>
          <w:i/>
          <w:color w:val="555555"/>
          <w:sz w:val="20"/>
        </w:rPr>
        <w:t>Essential skills for GP trainees: how to measure, plot, and interpret child growth — and when to worry.</w:t>
      </w:r>
    </w:p>
    <w:p w14:paraId="645D6F1C" w14:textId="77777777" w:rsidR="004579D3" w:rsidRDefault="00000000" w:rsidP="00785AB1">
      <w:pPr>
        <w:spacing w:before="280" w:after="80"/>
        <w:ind w:right="-427"/>
      </w:pPr>
      <w:r>
        <w:rPr>
          <w:rFonts w:ascii="Calibri" w:hAnsi="Calibri"/>
          <w:b/>
          <w:color w:val="1B3A6B"/>
          <w:sz w:val="28"/>
        </w:rPr>
        <w:t>Introduction</w:t>
      </w:r>
    </w:p>
    <w:p w14:paraId="6F7C5EB5" w14:textId="77777777" w:rsidR="004579D3" w:rsidRDefault="00000000" w:rsidP="00785AB1">
      <w:pPr>
        <w:spacing w:before="20" w:after="120"/>
        <w:ind w:right="-427"/>
      </w:pPr>
      <w:r>
        <w:rPr>
          <w:rFonts w:ascii="Calibri" w:hAnsi="Calibri"/>
          <w:sz w:val="21"/>
        </w:rPr>
        <w:t>Growth assessment is a core GP skill. GPs and health visitors are often first to identify abnormal growth trajectories. Early recognition and timely referral are critical — children with hormonal deficiencies need treatment as early as possible. Every year of delay without appropriate therapy risks permanent loss of adult height.</w:t>
      </w:r>
    </w:p>
    <w:p w14:paraId="114A4848" w14:textId="77777777" w:rsidR="004579D3" w:rsidRDefault="00000000" w:rsidP="00785AB1">
      <w:pPr>
        <w:spacing w:before="20" w:after="80"/>
        <w:ind w:right="-427"/>
      </w:pPr>
      <w:r>
        <w:rPr>
          <w:rFonts w:ascii="Calibri" w:hAnsi="Calibri"/>
          <w:b/>
          <w:sz w:val="21"/>
        </w:rPr>
        <w:t>Key principle: There should be no hesitation in referring children with short stature.</w:t>
      </w:r>
    </w:p>
    <w:p w14:paraId="69C3B5D0" w14:textId="77777777" w:rsidR="004579D3" w:rsidRDefault="00000000" w:rsidP="00785AB1">
      <w:pPr>
        <w:spacing w:before="280" w:after="80"/>
        <w:ind w:right="-427"/>
      </w:pPr>
      <w:r>
        <w:rPr>
          <w:rFonts w:ascii="Calibri" w:hAnsi="Calibri"/>
          <w:b/>
          <w:color w:val="1B3A6B"/>
          <w:sz w:val="28"/>
        </w:rPr>
        <w:t>Normal Growth — Key Facts</w:t>
      </w:r>
    </w:p>
    <w:p w14:paraId="1422ED98" w14:textId="77777777" w:rsidR="004579D3" w:rsidRDefault="00000000" w:rsidP="00785AB1">
      <w:pPr>
        <w:pStyle w:val="ListBullet"/>
        <w:spacing w:before="20" w:after="40"/>
        <w:ind w:right="-427"/>
      </w:pPr>
      <w:r>
        <w:rPr>
          <w:rFonts w:ascii="Calibri" w:hAnsi="Calibri"/>
          <w:b/>
          <w:sz w:val="21"/>
        </w:rPr>
        <w:t xml:space="preserve">Average UK birth weight: </w:t>
      </w:r>
      <w:r>
        <w:rPr>
          <w:rFonts w:ascii="Calibri" w:hAnsi="Calibri"/>
          <w:sz w:val="21"/>
        </w:rPr>
        <w:t>3.5 kg</w:t>
      </w:r>
    </w:p>
    <w:p w14:paraId="1B018B74" w14:textId="77777777" w:rsidR="004579D3" w:rsidRDefault="00000000" w:rsidP="00785AB1">
      <w:pPr>
        <w:pStyle w:val="ListBullet"/>
        <w:spacing w:before="20" w:after="40"/>
        <w:ind w:right="-427"/>
      </w:pPr>
      <w:r>
        <w:rPr>
          <w:rFonts w:ascii="Calibri" w:hAnsi="Calibri"/>
          <w:b/>
          <w:sz w:val="21"/>
        </w:rPr>
        <w:t xml:space="preserve">Weight doubles birth weight by: </w:t>
      </w:r>
      <w:r>
        <w:rPr>
          <w:rFonts w:ascii="Calibri" w:hAnsi="Calibri"/>
          <w:sz w:val="21"/>
        </w:rPr>
        <w:t>~4 months</w:t>
      </w:r>
    </w:p>
    <w:p w14:paraId="254FB390" w14:textId="77777777" w:rsidR="004579D3" w:rsidRDefault="00000000" w:rsidP="00785AB1">
      <w:pPr>
        <w:pStyle w:val="ListBullet"/>
        <w:spacing w:before="20" w:after="40"/>
        <w:ind w:right="-427"/>
      </w:pPr>
      <w:r>
        <w:rPr>
          <w:rFonts w:ascii="Calibri" w:hAnsi="Calibri"/>
          <w:b/>
          <w:sz w:val="21"/>
        </w:rPr>
        <w:t xml:space="preserve">Weight triples by: </w:t>
      </w:r>
      <w:r>
        <w:rPr>
          <w:rFonts w:ascii="Calibri" w:hAnsi="Calibri"/>
          <w:sz w:val="21"/>
        </w:rPr>
        <w:t>~12 months</w:t>
      </w:r>
    </w:p>
    <w:p w14:paraId="7DA86DA8" w14:textId="77777777" w:rsidR="004579D3" w:rsidRDefault="00000000" w:rsidP="00785AB1">
      <w:pPr>
        <w:pStyle w:val="ListBullet"/>
        <w:spacing w:before="20" w:after="40"/>
        <w:ind w:right="-427"/>
      </w:pPr>
      <w:r>
        <w:rPr>
          <w:rFonts w:ascii="Calibri" w:hAnsi="Calibri"/>
          <w:b/>
          <w:sz w:val="21"/>
        </w:rPr>
        <w:t xml:space="preserve">Birth length (~50 cm) × 2: </w:t>
      </w:r>
      <w:r>
        <w:rPr>
          <w:rFonts w:ascii="Calibri" w:hAnsi="Calibri"/>
          <w:sz w:val="21"/>
        </w:rPr>
        <w:t>age 4 years</w:t>
      </w:r>
    </w:p>
    <w:p w14:paraId="4183B7C6" w14:textId="77777777" w:rsidR="004579D3" w:rsidRDefault="00000000" w:rsidP="00785AB1">
      <w:pPr>
        <w:pStyle w:val="ListBullet"/>
        <w:spacing w:before="20" w:after="40"/>
        <w:ind w:right="-427"/>
      </w:pPr>
      <w:r>
        <w:rPr>
          <w:rFonts w:ascii="Calibri" w:hAnsi="Calibri"/>
          <w:b/>
          <w:sz w:val="21"/>
        </w:rPr>
        <w:t xml:space="preserve">Birth length × 3: </w:t>
      </w:r>
      <w:r>
        <w:rPr>
          <w:rFonts w:ascii="Calibri" w:hAnsi="Calibri"/>
          <w:sz w:val="21"/>
        </w:rPr>
        <w:t>age 13 years</w:t>
      </w:r>
    </w:p>
    <w:p w14:paraId="752DF693" w14:textId="77777777" w:rsidR="004579D3" w:rsidRDefault="00000000" w:rsidP="00785AB1">
      <w:pPr>
        <w:pStyle w:val="ListBullet"/>
        <w:spacing w:before="20" w:after="40"/>
        <w:ind w:right="-427"/>
      </w:pPr>
      <w:r>
        <w:rPr>
          <w:rFonts w:ascii="Calibri" w:hAnsi="Calibri"/>
          <w:b/>
          <w:sz w:val="21"/>
        </w:rPr>
        <w:t xml:space="preserve">Annual height gain (school age): </w:t>
      </w:r>
      <w:r>
        <w:rPr>
          <w:rFonts w:ascii="Calibri" w:hAnsi="Calibri"/>
          <w:sz w:val="21"/>
        </w:rPr>
        <w:t>5–7 cm/year</w:t>
      </w:r>
    </w:p>
    <w:p w14:paraId="7F5968D3" w14:textId="77777777" w:rsidR="004579D3" w:rsidRDefault="00000000" w:rsidP="00785AB1">
      <w:pPr>
        <w:pStyle w:val="ListBullet"/>
        <w:spacing w:before="20" w:after="40"/>
        <w:ind w:right="-427"/>
      </w:pPr>
      <w:r>
        <w:rPr>
          <w:rFonts w:ascii="Calibri" w:hAnsi="Calibri"/>
          <w:b/>
          <w:sz w:val="21"/>
        </w:rPr>
        <w:t xml:space="preserve">Pubertal growth spurt: </w:t>
      </w:r>
      <w:r>
        <w:rPr>
          <w:rFonts w:ascii="Calibri" w:hAnsi="Calibri"/>
          <w:sz w:val="21"/>
        </w:rPr>
        <w:t>typically 5 cm/year, up to 10 cm/year</w:t>
      </w:r>
    </w:p>
    <w:p w14:paraId="24175792" w14:textId="77777777" w:rsidR="004579D3" w:rsidRDefault="00000000" w:rsidP="00785AB1">
      <w:pPr>
        <w:pStyle w:val="ListBullet"/>
        <w:spacing w:before="20" w:after="40"/>
        <w:ind w:right="-427"/>
      </w:pPr>
      <w:r>
        <w:rPr>
          <w:rFonts w:ascii="Calibri" w:hAnsi="Calibri"/>
          <w:b/>
          <w:sz w:val="21"/>
        </w:rPr>
        <w:t xml:space="preserve">Girls' epiphyseal fusion: </w:t>
      </w:r>
      <w:r>
        <w:rPr>
          <w:rFonts w:ascii="Calibri" w:hAnsi="Calibri"/>
          <w:sz w:val="21"/>
        </w:rPr>
        <w:t>16–18 years</w:t>
      </w:r>
    </w:p>
    <w:p w14:paraId="2E874BB0" w14:textId="77777777" w:rsidR="004579D3" w:rsidRDefault="00000000" w:rsidP="00785AB1">
      <w:pPr>
        <w:pStyle w:val="ListBullet"/>
        <w:spacing w:before="20" w:after="40"/>
        <w:ind w:right="-427"/>
      </w:pPr>
      <w:r>
        <w:rPr>
          <w:rFonts w:ascii="Calibri" w:hAnsi="Calibri"/>
          <w:b/>
          <w:sz w:val="21"/>
        </w:rPr>
        <w:t xml:space="preserve">Boys' epiphyseal fusion: </w:t>
      </w:r>
      <w:r>
        <w:rPr>
          <w:rFonts w:ascii="Calibri" w:hAnsi="Calibri"/>
          <w:sz w:val="21"/>
        </w:rPr>
        <w:t>18–21 years</w:t>
      </w:r>
    </w:p>
    <w:tbl>
      <w:tblPr>
        <w:tblStyle w:val="TableGrid"/>
        <w:tblW w:w="9200" w:type="dxa"/>
        <w:jc w:val="center"/>
        <w:tblLook w:val="04A0" w:firstRow="1" w:lastRow="0" w:firstColumn="1" w:lastColumn="0" w:noHBand="0" w:noVBand="1"/>
      </w:tblPr>
      <w:tblGrid>
        <w:gridCol w:w="9200"/>
      </w:tblGrid>
      <w:tr w:rsidR="004579D3" w14:paraId="33B02637" w14:textId="77777777">
        <w:trPr>
          <w:jc w:val="center"/>
        </w:trPr>
        <w:tc>
          <w:tcPr>
            <w:tcW w:w="9638" w:type="dxa"/>
            <w:tcBorders>
              <w:top w:val="single" w:sz="6" w:space="0" w:color="0D7377"/>
              <w:left w:val="single" w:sz="6" w:space="0" w:color="0D7377"/>
              <w:bottom w:val="single" w:sz="6" w:space="0" w:color="0D7377"/>
              <w:right w:val="single" w:sz="6" w:space="0" w:color="0D7377"/>
            </w:tcBorders>
            <w:shd w:val="clear" w:color="auto" w:fill="E8F8F5"/>
          </w:tcPr>
          <w:p w14:paraId="176F7C00" w14:textId="77777777" w:rsidR="004579D3" w:rsidRDefault="00000000" w:rsidP="00785AB1">
            <w:pPr>
              <w:spacing w:before="120" w:after="60"/>
              <w:ind w:right="-427"/>
            </w:pPr>
            <w:r>
              <w:rPr>
                <w:rFonts w:ascii="Calibri" w:hAnsi="Calibri"/>
                <w:b/>
                <w:color w:val="0D7377"/>
              </w:rPr>
              <w:t>💡 Why are boys taller than girls after puberty?</w:t>
            </w:r>
          </w:p>
          <w:p w14:paraId="2AF4D668" w14:textId="77777777" w:rsidR="004579D3" w:rsidRDefault="00000000" w:rsidP="00785AB1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>Girls enter the pubertal growth spurt ~2 years before boys.</w:t>
            </w:r>
          </w:p>
          <w:p w14:paraId="0DD2156C" w14:textId="77777777" w:rsidR="004579D3" w:rsidRDefault="00000000" w:rsidP="00785AB1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>Boys enter their spurt later but accelerate to 8–10 cm/year for a longer period.</w:t>
            </w:r>
          </w:p>
          <w:p w14:paraId="4F8C8835" w14:textId="77777777" w:rsidR="004579D3" w:rsidRDefault="00000000" w:rsidP="00785AB1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>Boys' growth plates fuse ~2 years later → net result: boys end up ~13 cm taller on average.</w:t>
            </w:r>
          </w:p>
          <w:p w14:paraId="5D522707" w14:textId="77777777" w:rsidR="004579D3" w:rsidRDefault="004579D3" w:rsidP="00785AB1">
            <w:pPr>
              <w:spacing w:after="120"/>
              <w:ind w:right="-427"/>
            </w:pPr>
          </w:p>
        </w:tc>
      </w:tr>
    </w:tbl>
    <w:p w14:paraId="07B6CA53" w14:textId="77777777" w:rsidR="004579D3" w:rsidRDefault="004579D3" w:rsidP="00785AB1">
      <w:pPr>
        <w:ind w:right="-427"/>
      </w:pPr>
    </w:p>
    <w:p w14:paraId="0A7C8A6D" w14:textId="77777777" w:rsidR="004579D3" w:rsidRDefault="00000000" w:rsidP="00785AB1">
      <w:pPr>
        <w:spacing w:before="280" w:after="80"/>
        <w:ind w:right="-427"/>
      </w:pPr>
      <w:r>
        <w:rPr>
          <w:rFonts w:ascii="Calibri" w:hAnsi="Calibri"/>
          <w:b/>
          <w:color w:val="1B3A6B"/>
          <w:sz w:val="28"/>
        </w:rPr>
        <w:t>UK Growth Charts — Current Standards</w:t>
      </w:r>
    </w:p>
    <w:p w14:paraId="66D73AE2" w14:textId="77777777" w:rsidR="004579D3" w:rsidRDefault="00000000" w:rsidP="00785AB1">
      <w:pPr>
        <w:spacing w:before="20" w:after="80"/>
        <w:ind w:right="-427"/>
      </w:pPr>
      <w:r>
        <w:rPr>
          <w:rFonts w:ascii="Calibri" w:hAnsi="Calibri"/>
          <w:sz w:val="21"/>
        </w:rPr>
        <w:t>Two chart systems are in current use in the UK:</w:t>
      </w:r>
    </w:p>
    <w:tbl>
      <w:tblPr>
        <w:tblStyle w:val="TableGrid"/>
        <w:tblW w:w="9200" w:type="dxa"/>
        <w:jc w:val="center"/>
        <w:tblLook w:val="04A0" w:firstRow="1" w:lastRow="0" w:firstColumn="1" w:lastColumn="0" w:noHBand="0" w:noVBand="1"/>
      </w:tblPr>
      <w:tblGrid>
        <w:gridCol w:w="2296"/>
        <w:gridCol w:w="2283"/>
        <w:gridCol w:w="2301"/>
        <w:gridCol w:w="2320"/>
      </w:tblGrid>
      <w:tr w:rsidR="004579D3" w14:paraId="5C63EEDA" w14:textId="77777777">
        <w:trPr>
          <w:jc w:val="center"/>
        </w:trPr>
        <w:tc>
          <w:tcPr>
            <w:tcW w:w="2409" w:type="dxa"/>
            <w:shd w:val="clear" w:color="auto" w:fill="1B3A6B"/>
          </w:tcPr>
          <w:p w14:paraId="69FACE49" w14:textId="77777777" w:rsidR="004579D3" w:rsidRDefault="00000000" w:rsidP="00785AB1">
            <w:pPr>
              <w:ind w:right="-427"/>
              <w:jc w:val="center"/>
            </w:pPr>
            <w:r>
              <w:rPr>
                <w:rFonts w:ascii="Calibri" w:hAnsi="Calibri"/>
                <w:b/>
                <w:color w:val="FFFFFF"/>
                <w:sz w:val="20"/>
              </w:rPr>
              <w:t>Chart</w:t>
            </w:r>
          </w:p>
        </w:tc>
        <w:tc>
          <w:tcPr>
            <w:tcW w:w="2409" w:type="dxa"/>
            <w:shd w:val="clear" w:color="auto" w:fill="1B3A6B"/>
          </w:tcPr>
          <w:p w14:paraId="55C8ACB9" w14:textId="77777777" w:rsidR="004579D3" w:rsidRDefault="00000000" w:rsidP="00785AB1">
            <w:pPr>
              <w:ind w:right="-427"/>
              <w:jc w:val="center"/>
            </w:pPr>
            <w:r>
              <w:rPr>
                <w:rFonts w:ascii="Calibri" w:hAnsi="Calibri"/>
                <w:b/>
                <w:color w:val="FFFFFF"/>
                <w:sz w:val="20"/>
              </w:rPr>
              <w:t>Age Range</w:t>
            </w:r>
          </w:p>
        </w:tc>
        <w:tc>
          <w:tcPr>
            <w:tcW w:w="2409" w:type="dxa"/>
            <w:shd w:val="clear" w:color="auto" w:fill="1B3A6B"/>
          </w:tcPr>
          <w:p w14:paraId="0E9705C2" w14:textId="77777777" w:rsidR="004579D3" w:rsidRDefault="00000000" w:rsidP="00785AB1">
            <w:pPr>
              <w:ind w:right="-427"/>
              <w:jc w:val="center"/>
            </w:pPr>
            <w:r>
              <w:rPr>
                <w:rFonts w:ascii="Calibri" w:hAnsi="Calibri"/>
                <w:b/>
                <w:color w:val="FFFFFF"/>
                <w:sz w:val="20"/>
              </w:rPr>
              <w:t>Basis</w:t>
            </w:r>
          </w:p>
        </w:tc>
        <w:tc>
          <w:tcPr>
            <w:tcW w:w="2409" w:type="dxa"/>
            <w:shd w:val="clear" w:color="auto" w:fill="1B3A6B"/>
          </w:tcPr>
          <w:p w14:paraId="52C4A111" w14:textId="77777777" w:rsidR="004579D3" w:rsidRDefault="00000000" w:rsidP="00785AB1">
            <w:pPr>
              <w:ind w:right="-427"/>
              <w:jc w:val="center"/>
            </w:pPr>
            <w:r>
              <w:rPr>
                <w:rFonts w:ascii="Calibri" w:hAnsi="Calibri"/>
                <w:b/>
                <w:color w:val="FFFFFF"/>
                <w:sz w:val="20"/>
              </w:rPr>
              <w:t>Key Feature</w:t>
            </w:r>
          </w:p>
        </w:tc>
      </w:tr>
      <w:tr w:rsidR="004579D3" w14:paraId="421A9714" w14:textId="77777777">
        <w:trPr>
          <w:jc w:val="center"/>
        </w:trPr>
        <w:tc>
          <w:tcPr>
            <w:tcW w:w="2409" w:type="dxa"/>
            <w:shd w:val="clear" w:color="auto" w:fill="FFFFFF"/>
          </w:tcPr>
          <w:p w14:paraId="00CF0DB2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UK-WHO 0–4 yrs</w:t>
            </w:r>
          </w:p>
        </w:tc>
        <w:tc>
          <w:tcPr>
            <w:tcW w:w="2409" w:type="dxa"/>
            <w:shd w:val="clear" w:color="auto" w:fill="FFFFFF"/>
          </w:tcPr>
          <w:p w14:paraId="224D19BE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Birth to 4 years</w:t>
            </w:r>
          </w:p>
        </w:tc>
        <w:tc>
          <w:tcPr>
            <w:tcW w:w="2409" w:type="dxa"/>
            <w:shd w:val="clear" w:color="auto" w:fill="FFFFFF"/>
          </w:tcPr>
          <w:p w14:paraId="02E14AB8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WHO Child Growth Standards (2006)</w:t>
            </w:r>
          </w:p>
        </w:tc>
        <w:tc>
          <w:tcPr>
            <w:tcW w:w="2409" w:type="dxa"/>
            <w:shd w:val="clear" w:color="auto" w:fill="FFFFFF"/>
          </w:tcPr>
          <w:p w14:paraId="17FC38C5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Describes optimal growth; breastfeeding as norm; introduced May 2009</w:t>
            </w:r>
          </w:p>
        </w:tc>
      </w:tr>
      <w:tr w:rsidR="004579D3" w14:paraId="68595848" w14:textId="77777777">
        <w:trPr>
          <w:jc w:val="center"/>
        </w:trPr>
        <w:tc>
          <w:tcPr>
            <w:tcW w:w="2409" w:type="dxa"/>
            <w:shd w:val="clear" w:color="auto" w:fill="EBF5FB"/>
          </w:tcPr>
          <w:p w14:paraId="1122A143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UK90 (updated 2–18 yrs)</w:t>
            </w:r>
          </w:p>
        </w:tc>
        <w:tc>
          <w:tcPr>
            <w:tcW w:w="2409" w:type="dxa"/>
            <w:shd w:val="clear" w:color="auto" w:fill="EBF5FB"/>
          </w:tcPr>
          <w:p w14:paraId="789151F7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2–18 years</w:t>
            </w:r>
          </w:p>
        </w:tc>
        <w:tc>
          <w:tcPr>
            <w:tcW w:w="2409" w:type="dxa"/>
            <w:shd w:val="clear" w:color="auto" w:fill="EBF5FB"/>
          </w:tcPr>
          <w:p w14:paraId="7A026DA2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UK 1990 reference data</w:t>
            </w:r>
          </w:p>
        </w:tc>
        <w:tc>
          <w:tcPr>
            <w:tcW w:w="2409" w:type="dxa"/>
            <w:shd w:val="clear" w:color="auto" w:fill="EBF5FB"/>
          </w:tcPr>
          <w:p w14:paraId="4A34D843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Updated to include WHO overlap 2–4 yrs; available from rcpch.ac.uk</w:t>
            </w:r>
          </w:p>
        </w:tc>
      </w:tr>
    </w:tbl>
    <w:p w14:paraId="469CA91C" w14:textId="77777777" w:rsidR="004579D3" w:rsidRPr="00785AB1" w:rsidRDefault="004579D3" w:rsidP="00785AB1">
      <w:pPr>
        <w:ind w:right="-427"/>
        <w:rPr>
          <w:sz w:val="2"/>
          <w:szCs w:val="2"/>
        </w:rPr>
      </w:pPr>
    </w:p>
    <w:tbl>
      <w:tblPr>
        <w:tblStyle w:val="TableGrid"/>
        <w:tblW w:w="9200" w:type="dxa"/>
        <w:jc w:val="center"/>
        <w:tblLook w:val="04A0" w:firstRow="1" w:lastRow="0" w:firstColumn="1" w:lastColumn="0" w:noHBand="0" w:noVBand="1"/>
      </w:tblPr>
      <w:tblGrid>
        <w:gridCol w:w="9200"/>
      </w:tblGrid>
      <w:tr w:rsidR="004579D3" w14:paraId="25E36EB4" w14:textId="77777777">
        <w:trPr>
          <w:jc w:val="center"/>
        </w:trPr>
        <w:tc>
          <w:tcPr>
            <w:tcW w:w="9638" w:type="dxa"/>
            <w:tcBorders>
              <w:top w:val="single" w:sz="6" w:space="0" w:color="C0392B"/>
              <w:left w:val="single" w:sz="6" w:space="0" w:color="C0392B"/>
              <w:bottom w:val="single" w:sz="6" w:space="0" w:color="C0392B"/>
              <w:right w:val="single" w:sz="6" w:space="0" w:color="C0392B"/>
            </w:tcBorders>
            <w:shd w:val="clear" w:color="auto" w:fill="FDEDEC"/>
          </w:tcPr>
          <w:p w14:paraId="031060AE" w14:textId="77777777" w:rsidR="004579D3" w:rsidRDefault="00000000" w:rsidP="00785AB1">
            <w:pPr>
              <w:spacing w:before="120" w:after="60"/>
              <w:ind w:right="-427"/>
            </w:pPr>
            <w:r>
              <w:rPr>
                <w:rFonts w:ascii="Calibri" w:hAnsi="Calibri"/>
                <w:b/>
                <w:color w:val="C0392B"/>
              </w:rPr>
              <w:lastRenderedPageBreak/>
              <w:t>⚠️ IMPORTANT CLINICAL CORRECTION</w:t>
            </w:r>
          </w:p>
          <w:p w14:paraId="2659ADF5" w14:textId="77777777" w:rsidR="004579D3" w:rsidRDefault="00000000" w:rsidP="00785AB1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>Older sources (including original Bradford VTS materials and pre-2009 textbooks) define short stature as 'below the 3rd centile'.</w:t>
            </w:r>
          </w:p>
          <w:p w14:paraId="59735311" w14:textId="77777777" w:rsidR="004579D3" w:rsidRDefault="00000000" w:rsidP="00785AB1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>This refers to outdated 1959 Tanner/UK90 charts and is NO LONGER current.</w:t>
            </w:r>
          </w:p>
          <w:p w14:paraId="38469376" w14:textId="77777777" w:rsidR="004579D3" w:rsidRDefault="004579D3" w:rsidP="00785AB1">
            <w:pPr>
              <w:spacing w:before="20" w:after="40"/>
              <w:ind w:right="-427"/>
            </w:pPr>
          </w:p>
          <w:p w14:paraId="0693D902" w14:textId="77777777" w:rsidR="004579D3" w:rsidRDefault="00000000" w:rsidP="00785AB1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>CURRENT STANDARD (RCPCH UK-WHO charts, 2009 onwards):</w:t>
            </w:r>
          </w:p>
          <w:p w14:paraId="70F8CB9C" w14:textId="77777777" w:rsidR="004579D3" w:rsidRDefault="00000000" w:rsidP="00785AB1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 xml:space="preserve">  • Height below the 0.4th centile → warrants investigation and referral</w:t>
            </w:r>
          </w:p>
          <w:p w14:paraId="13A80E1F" w14:textId="77777777" w:rsidR="004579D3" w:rsidRDefault="00000000" w:rsidP="00785AB1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 xml:space="preserve">  • Below 2nd centile → monitor closely; investigate if crossing centiles</w:t>
            </w:r>
          </w:p>
          <w:p w14:paraId="7553AB66" w14:textId="00422CD5" w:rsidR="004579D3" w:rsidRDefault="00000000" w:rsidP="00785AB1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 xml:space="preserve">  • Centile crossing (≥2 spaces downward over ≥12 months) is more important than any single measurement</w:t>
            </w:r>
          </w:p>
        </w:tc>
      </w:tr>
    </w:tbl>
    <w:p w14:paraId="211AB29B" w14:textId="77777777" w:rsidR="004579D3" w:rsidRPr="00785AB1" w:rsidRDefault="004579D3" w:rsidP="00785AB1">
      <w:pPr>
        <w:ind w:right="-427"/>
        <w:rPr>
          <w:sz w:val="2"/>
          <w:szCs w:val="2"/>
        </w:rPr>
      </w:pPr>
    </w:p>
    <w:p w14:paraId="1842952A" w14:textId="77777777" w:rsidR="004579D3" w:rsidRDefault="00000000" w:rsidP="00785AB1">
      <w:pPr>
        <w:spacing w:before="280" w:after="80"/>
        <w:ind w:right="-427"/>
      </w:pPr>
      <w:r>
        <w:rPr>
          <w:rFonts w:ascii="Calibri" w:hAnsi="Calibri"/>
          <w:b/>
          <w:color w:val="0D7377"/>
          <w:sz w:val="24"/>
        </w:rPr>
        <w:t>10 Key Facts About the UK-WHO 0–4 Year Charts (RCPCH)</w:t>
      </w:r>
    </w:p>
    <w:p w14:paraId="4D613038" w14:textId="77777777" w:rsidR="004579D3" w:rsidRDefault="00000000" w:rsidP="00785AB1">
      <w:pPr>
        <w:pStyle w:val="ListNumber"/>
        <w:spacing w:before="20" w:after="40"/>
        <w:ind w:right="-427"/>
      </w:pPr>
      <w:r>
        <w:rPr>
          <w:rFonts w:ascii="Calibri" w:hAnsi="Calibri"/>
          <w:sz w:val="21"/>
        </w:rPr>
        <w:t>Describes optimal (not average) growth — uses healthy breastfed children worldwide.</w:t>
      </w:r>
    </w:p>
    <w:p w14:paraId="2483A485" w14:textId="77777777" w:rsidR="004579D3" w:rsidRDefault="00000000" w:rsidP="00785AB1">
      <w:pPr>
        <w:pStyle w:val="ListNumber"/>
        <w:spacing w:before="20" w:after="40"/>
        <w:ind w:right="-427"/>
      </w:pPr>
      <w:r>
        <w:rPr>
          <w:rFonts w:ascii="Calibri" w:hAnsi="Calibri"/>
          <w:sz w:val="21"/>
        </w:rPr>
        <w:t>Suitable for all ethnic groups — WHO showed similar linear growth patterns across ethnicities.</w:t>
      </w:r>
    </w:p>
    <w:p w14:paraId="694B436D" w14:textId="77777777" w:rsidR="004579D3" w:rsidRDefault="00000000" w:rsidP="00785AB1">
      <w:pPr>
        <w:pStyle w:val="ListNumber"/>
        <w:spacing w:before="20" w:after="40"/>
        <w:ind w:right="-427"/>
      </w:pPr>
      <w:r>
        <w:rPr>
          <w:rFonts w:ascii="Calibri" w:hAnsi="Calibri"/>
          <w:sz w:val="21"/>
        </w:rPr>
        <w:t>After 6 months: only 1 in 200 children will be below the 2nd centile for weight.</w:t>
      </w:r>
    </w:p>
    <w:p w14:paraId="0766A6E2" w14:textId="77777777" w:rsidR="004579D3" w:rsidRDefault="00000000" w:rsidP="00785AB1">
      <w:pPr>
        <w:pStyle w:val="ListNumber"/>
        <w:spacing w:before="20" w:after="40"/>
        <w:ind w:right="-427"/>
      </w:pPr>
      <w:r>
        <w:rPr>
          <w:rFonts w:ascii="Calibri" w:hAnsi="Calibri"/>
          <w:sz w:val="21"/>
        </w:rPr>
        <w:t>Twice as many children above the 98th centile compared to old UK90 charts.</w:t>
      </w:r>
    </w:p>
    <w:p w14:paraId="081CF05D" w14:textId="77777777" w:rsidR="004579D3" w:rsidRDefault="00000000" w:rsidP="00785AB1">
      <w:pPr>
        <w:pStyle w:val="ListNumber"/>
        <w:spacing w:before="20" w:after="40"/>
        <w:ind w:right="-427"/>
      </w:pPr>
      <w:r>
        <w:rPr>
          <w:rFonts w:ascii="Calibri" w:hAnsi="Calibri"/>
          <w:sz w:val="21"/>
        </w:rPr>
        <w:t>No centile lines between 0–2 weeks — use % weight loss assessment in early neonatal period.</w:t>
      </w:r>
    </w:p>
    <w:p w14:paraId="593DE578" w14:textId="77777777" w:rsidR="004579D3" w:rsidRDefault="00000000" w:rsidP="00785AB1">
      <w:pPr>
        <w:pStyle w:val="ListNumber"/>
        <w:spacing w:before="20" w:after="40"/>
        <w:ind w:right="-427"/>
      </w:pPr>
      <w:r>
        <w:rPr>
          <w:rFonts w:ascii="Calibri" w:hAnsi="Calibri"/>
          <w:sz w:val="21"/>
        </w:rPr>
        <w:t>Separate preterm section with clear gestational correction guidance.</w:t>
      </w:r>
    </w:p>
    <w:p w14:paraId="36990396" w14:textId="77777777" w:rsidR="004579D3" w:rsidRDefault="00000000" w:rsidP="00785AB1">
      <w:pPr>
        <w:pStyle w:val="ListNumber"/>
        <w:spacing w:before="20" w:after="40"/>
        <w:ind w:right="-427"/>
      </w:pPr>
      <w:r>
        <w:rPr>
          <w:rFonts w:ascii="Calibri" w:hAnsi="Calibri"/>
          <w:sz w:val="21"/>
        </w:rPr>
        <w:t>50th centile no longer emphasised (reduces parental fixation on the median).</w:t>
      </w:r>
    </w:p>
    <w:p w14:paraId="272B66EA" w14:textId="77777777" w:rsidR="004579D3" w:rsidRDefault="00000000" w:rsidP="00785AB1">
      <w:pPr>
        <w:pStyle w:val="ListNumber"/>
        <w:spacing w:before="20" w:after="40"/>
        <w:ind w:right="-427"/>
      </w:pPr>
      <w:r>
        <w:rPr>
          <w:rFonts w:ascii="Calibri" w:hAnsi="Calibri"/>
          <w:sz w:val="21"/>
        </w:rPr>
        <w:t>Training: 30 minutes for occasional users; 2 hours for regular users.</w:t>
      </w:r>
    </w:p>
    <w:p w14:paraId="4717D52E" w14:textId="77777777" w:rsidR="004579D3" w:rsidRDefault="00000000" w:rsidP="00785AB1">
      <w:pPr>
        <w:pStyle w:val="ListNumber"/>
        <w:spacing w:before="20" w:after="40"/>
        <w:ind w:right="-427"/>
      </w:pPr>
      <w:r>
        <w:rPr>
          <w:rFonts w:ascii="Calibri" w:hAnsi="Calibri"/>
          <w:sz w:val="21"/>
        </w:rPr>
        <w:t>Available in A5 (PCHR) and A4 format — free download from rcpch.ac.uk.</w:t>
      </w:r>
    </w:p>
    <w:p w14:paraId="3659404C" w14:textId="04886974" w:rsidR="004579D3" w:rsidRDefault="00000000" w:rsidP="00785AB1">
      <w:pPr>
        <w:pStyle w:val="ListNumber"/>
        <w:spacing w:before="20" w:after="40"/>
        <w:ind w:right="-427"/>
      </w:pPr>
      <w:r>
        <w:rPr>
          <w:rFonts w:ascii="Calibri" w:hAnsi="Calibri"/>
          <w:sz w:val="21"/>
        </w:rPr>
        <w:t>All information in the Personal Child Health Record (PCHR) is now aimed at parents.</w:t>
      </w:r>
    </w:p>
    <w:p w14:paraId="19047F66" w14:textId="77777777" w:rsidR="004579D3" w:rsidRDefault="00000000" w:rsidP="00785AB1">
      <w:pPr>
        <w:spacing w:before="280" w:after="80"/>
        <w:ind w:right="-427"/>
      </w:pPr>
      <w:r>
        <w:rPr>
          <w:rFonts w:ascii="Calibri" w:hAnsi="Calibri"/>
          <w:b/>
          <w:color w:val="1B3A6B"/>
          <w:sz w:val="28"/>
        </w:rPr>
        <w:t>Measuring Technique</w:t>
      </w:r>
    </w:p>
    <w:p w14:paraId="5C983316" w14:textId="77777777" w:rsidR="004579D3" w:rsidRDefault="00000000" w:rsidP="00785AB1">
      <w:pPr>
        <w:spacing w:before="280" w:after="80"/>
        <w:ind w:right="-427"/>
      </w:pPr>
      <w:r>
        <w:rPr>
          <w:rFonts w:ascii="Calibri" w:hAnsi="Calibri"/>
          <w:b/>
          <w:color w:val="0D7377"/>
          <w:sz w:val="24"/>
        </w:rPr>
        <w:t>Standing Height (age 2+)</w:t>
      </w:r>
    </w:p>
    <w:p w14:paraId="55ECB453" w14:textId="77777777" w:rsidR="004579D3" w:rsidRDefault="00000000" w:rsidP="00785AB1">
      <w:pPr>
        <w:pStyle w:val="ListNumber"/>
        <w:spacing w:before="20" w:after="40"/>
        <w:ind w:right="-427"/>
      </w:pPr>
      <w:r>
        <w:rPr>
          <w:rFonts w:ascii="Calibri" w:hAnsi="Calibri"/>
          <w:sz w:val="21"/>
        </w:rPr>
        <w:t>Remove the child's shoes.</w:t>
      </w:r>
    </w:p>
    <w:p w14:paraId="74CEAC1E" w14:textId="77777777" w:rsidR="004579D3" w:rsidRDefault="00000000" w:rsidP="00785AB1">
      <w:pPr>
        <w:pStyle w:val="ListNumber"/>
        <w:spacing w:before="20" w:after="40"/>
        <w:ind w:right="-427"/>
      </w:pPr>
      <w:r>
        <w:rPr>
          <w:rFonts w:ascii="Calibri" w:hAnsi="Calibri"/>
          <w:sz w:val="21"/>
        </w:rPr>
        <w:t>Child stands with heels, buttocks, and upper back against wall or stadiometer.</w:t>
      </w:r>
    </w:p>
    <w:p w14:paraId="37ADDE2E" w14:textId="77777777" w:rsidR="004579D3" w:rsidRDefault="00000000" w:rsidP="00785AB1">
      <w:pPr>
        <w:pStyle w:val="ListNumber"/>
        <w:spacing w:before="20" w:after="40"/>
        <w:ind w:right="-427"/>
      </w:pPr>
      <w:r>
        <w:rPr>
          <w:rFonts w:ascii="Calibri" w:hAnsi="Calibri"/>
          <w:sz w:val="21"/>
        </w:rPr>
        <w:t>Assistant holds feet flat — prevents heel rise when stretching.</w:t>
      </w:r>
    </w:p>
    <w:p w14:paraId="2431581D" w14:textId="77777777" w:rsidR="004579D3" w:rsidRDefault="00000000" w:rsidP="00785AB1">
      <w:pPr>
        <w:pStyle w:val="ListNumber"/>
        <w:spacing w:before="20" w:after="40"/>
        <w:ind w:right="-427"/>
      </w:pPr>
      <w:r>
        <w:rPr>
          <w:rFonts w:ascii="Calibri" w:hAnsi="Calibri"/>
          <w:sz w:val="21"/>
        </w:rPr>
        <w:t>Child stands straight; press thighs and pelvis gently backward against surface.</w:t>
      </w:r>
    </w:p>
    <w:p w14:paraId="140E1C5E" w14:textId="77777777" w:rsidR="004579D3" w:rsidRDefault="00000000" w:rsidP="00785AB1">
      <w:pPr>
        <w:pStyle w:val="ListNumber"/>
        <w:spacing w:before="20" w:after="40"/>
        <w:ind w:right="-427"/>
      </w:pPr>
      <w:r>
        <w:rPr>
          <w:rFonts w:ascii="Calibri" w:hAnsi="Calibri"/>
          <w:sz w:val="21"/>
        </w:rPr>
        <w:t>Ensure the Frankfurt Plane: upper margin of auditory meatus in line with angle of orbit (child looks straight ahead).</w:t>
      </w:r>
    </w:p>
    <w:p w14:paraId="7C62EEBA" w14:textId="77777777" w:rsidR="004579D3" w:rsidRDefault="00000000" w:rsidP="00785AB1">
      <w:pPr>
        <w:pStyle w:val="ListNumber"/>
        <w:spacing w:before="20" w:after="40"/>
        <w:ind w:right="-427"/>
      </w:pPr>
      <w:r>
        <w:rPr>
          <w:rFonts w:ascii="Calibri" w:hAnsi="Calibri"/>
          <w:sz w:val="21"/>
        </w:rPr>
        <w:t>Apply gentle upward traction under angle of jaw; ask child to take a deep breath and stretch.</w:t>
      </w:r>
    </w:p>
    <w:p w14:paraId="7A6D58B1" w14:textId="77777777" w:rsidR="004579D3" w:rsidRDefault="00000000" w:rsidP="00785AB1">
      <w:pPr>
        <w:pStyle w:val="ListNumber"/>
        <w:spacing w:before="20" w:after="40"/>
        <w:ind w:right="-427"/>
      </w:pPr>
      <w:r>
        <w:rPr>
          <w:rFonts w:ascii="Calibri" w:hAnsi="Calibri"/>
          <w:sz w:val="21"/>
        </w:rPr>
        <w:t>Read scale with eye level with measurement to avoid parallax error.</w:t>
      </w:r>
    </w:p>
    <w:p w14:paraId="4FF079B5" w14:textId="77777777" w:rsidR="004579D3" w:rsidRDefault="00000000" w:rsidP="00785AB1">
      <w:pPr>
        <w:pStyle w:val="ListNumber"/>
        <w:spacing w:before="20" w:after="40"/>
        <w:ind w:right="-427"/>
      </w:pPr>
      <w:r>
        <w:rPr>
          <w:rFonts w:ascii="Calibri" w:hAnsi="Calibri"/>
          <w:sz w:val="21"/>
        </w:rPr>
        <w:t>Plot on chart immediately — record to nearest 0.1 cm.</w:t>
      </w:r>
    </w:p>
    <w:p w14:paraId="5779F4E3" w14:textId="77777777" w:rsidR="004579D3" w:rsidRDefault="00000000" w:rsidP="00785AB1">
      <w:pPr>
        <w:spacing w:before="280" w:after="80"/>
        <w:ind w:right="-427"/>
      </w:pPr>
      <w:r>
        <w:rPr>
          <w:rFonts w:ascii="Calibri" w:hAnsi="Calibri"/>
          <w:b/>
          <w:color w:val="0D7377"/>
          <w:sz w:val="24"/>
        </w:rPr>
        <w:t>Supine Length (under age 2)</w:t>
      </w:r>
    </w:p>
    <w:p w14:paraId="7CB48406" w14:textId="77777777" w:rsidR="004579D3" w:rsidRDefault="00000000" w:rsidP="00785AB1">
      <w:pPr>
        <w:pStyle w:val="ListBullet"/>
        <w:spacing w:before="20" w:after="40"/>
        <w:ind w:left="283" w:right="-427"/>
      </w:pPr>
      <w:r>
        <w:rPr>
          <w:rFonts w:ascii="Calibri" w:hAnsi="Calibri"/>
          <w:sz w:val="21"/>
        </w:rPr>
        <w:t>Child lies on back on a flat surface with head against a fixed board.</w:t>
      </w:r>
    </w:p>
    <w:p w14:paraId="3439D909" w14:textId="77777777" w:rsidR="004579D3" w:rsidRDefault="00000000" w:rsidP="00785AB1">
      <w:pPr>
        <w:pStyle w:val="ListBullet"/>
        <w:spacing w:before="20" w:after="40"/>
        <w:ind w:left="283" w:right="-427"/>
      </w:pPr>
      <w:r>
        <w:rPr>
          <w:rFonts w:ascii="Calibri" w:hAnsi="Calibri"/>
          <w:sz w:val="21"/>
        </w:rPr>
        <w:t>Second observer straightens legs and brings sliding board to heels.</w:t>
      </w:r>
    </w:p>
    <w:p w14:paraId="2A47F5AE" w14:textId="77777777" w:rsidR="004579D3" w:rsidRPr="00785AB1" w:rsidRDefault="00000000" w:rsidP="00785AB1">
      <w:pPr>
        <w:pStyle w:val="ListBullet"/>
        <w:spacing w:before="20" w:after="40"/>
        <w:ind w:left="283" w:right="-427"/>
      </w:pPr>
      <w:r>
        <w:rPr>
          <w:rFonts w:ascii="Calibri" w:hAnsi="Calibri"/>
          <w:sz w:val="21"/>
        </w:rPr>
        <w:t>Note: Supine length is ~1 cm more than standing height — there is overlap at 2–3 years.</w:t>
      </w:r>
    </w:p>
    <w:p w14:paraId="7280D1A8" w14:textId="77777777" w:rsidR="00785AB1" w:rsidRDefault="00785AB1" w:rsidP="00785AB1">
      <w:pPr>
        <w:pStyle w:val="ListBullet"/>
        <w:numPr>
          <w:ilvl w:val="0"/>
          <w:numId w:val="0"/>
        </w:numPr>
        <w:spacing w:before="20" w:after="40"/>
        <w:ind w:left="283" w:right="-427"/>
      </w:pPr>
    </w:p>
    <w:p w14:paraId="25A8CBA9" w14:textId="7E611D0B" w:rsidR="004579D3" w:rsidRPr="00785AB1" w:rsidRDefault="00000000" w:rsidP="00785AB1">
      <w:pPr>
        <w:ind w:right="-427"/>
        <w:rPr>
          <w:rFonts w:ascii="Calibri" w:hAnsi="Calibri"/>
          <w:b/>
          <w:color w:val="0D7377"/>
          <w:sz w:val="24"/>
        </w:rPr>
      </w:pPr>
      <w:r>
        <w:rPr>
          <w:rFonts w:ascii="Calibri" w:hAnsi="Calibri"/>
          <w:b/>
          <w:color w:val="0D7377"/>
          <w:sz w:val="24"/>
        </w:rPr>
        <w:t>Weight and Head Circumference</w:t>
      </w:r>
    </w:p>
    <w:p w14:paraId="5799D5C1" w14:textId="77777777" w:rsidR="004579D3" w:rsidRDefault="00000000" w:rsidP="00785AB1">
      <w:pPr>
        <w:pStyle w:val="ListBullet"/>
        <w:spacing w:before="20" w:after="40"/>
        <w:ind w:left="283" w:right="-427"/>
      </w:pPr>
      <w:r>
        <w:rPr>
          <w:rFonts w:ascii="Calibri" w:hAnsi="Calibri"/>
          <w:sz w:val="21"/>
        </w:rPr>
        <w:t>Weight: Class III electronic scales; babies weighed naked, toddlers in vest and pants.</w:t>
      </w:r>
    </w:p>
    <w:p w14:paraId="43AA3244" w14:textId="77777777" w:rsidR="004579D3" w:rsidRDefault="00000000" w:rsidP="00785AB1">
      <w:pPr>
        <w:pStyle w:val="ListBullet"/>
        <w:spacing w:before="20" w:after="40"/>
        <w:ind w:left="283" w:right="-427"/>
      </w:pPr>
      <w:r>
        <w:rPr>
          <w:rFonts w:ascii="Calibri" w:hAnsi="Calibri"/>
          <w:sz w:val="21"/>
        </w:rPr>
        <w:t>Head circumference: Narrow non-stretch tape over widest circumference; record to nearest 0.1 cm.</w:t>
      </w:r>
    </w:p>
    <w:p w14:paraId="73573CC8" w14:textId="77777777" w:rsidR="004579D3" w:rsidRDefault="004579D3" w:rsidP="00785AB1">
      <w:pPr>
        <w:ind w:right="-427"/>
      </w:pPr>
    </w:p>
    <w:p w14:paraId="74C3BBF0" w14:textId="52F81EBA" w:rsidR="004579D3" w:rsidRPr="00785AB1" w:rsidRDefault="00785AB1" w:rsidP="00785AB1">
      <w:pPr>
        <w:ind w:right="-427"/>
        <w:rPr>
          <w:rFonts w:ascii="Calibri" w:hAnsi="Calibri"/>
          <w:b/>
          <w:color w:val="1B3A6B"/>
          <w:sz w:val="28"/>
        </w:rPr>
      </w:pPr>
      <w:r>
        <w:rPr>
          <w:rFonts w:ascii="Calibri" w:hAnsi="Calibri"/>
          <w:b/>
          <w:color w:val="1B3A6B"/>
          <w:sz w:val="28"/>
        </w:rPr>
        <w:br w:type="page"/>
      </w:r>
      <w:r w:rsidR="00000000">
        <w:rPr>
          <w:rFonts w:ascii="Calibri" w:hAnsi="Calibri"/>
          <w:b/>
          <w:color w:val="1B3A6B"/>
          <w:sz w:val="28"/>
        </w:rPr>
        <w:lastRenderedPageBreak/>
        <w:t>Clinical Assessment — Worry or Not?</w:t>
      </w:r>
    </w:p>
    <w:p w14:paraId="140DECFD" w14:textId="77777777" w:rsidR="004579D3" w:rsidRDefault="00000000" w:rsidP="00785AB1">
      <w:pPr>
        <w:spacing w:before="280" w:after="80"/>
        <w:ind w:right="-427"/>
      </w:pPr>
      <w:r>
        <w:rPr>
          <w:rFonts w:ascii="Calibri" w:hAnsi="Calibri"/>
          <w:b/>
          <w:color w:val="0D7377"/>
          <w:sz w:val="24"/>
        </w:rPr>
        <w:t>History</w:t>
      </w:r>
    </w:p>
    <w:p w14:paraId="754950B1" w14:textId="77777777" w:rsidR="004579D3" w:rsidRDefault="00000000" w:rsidP="00785AB1">
      <w:pPr>
        <w:pStyle w:val="ListBullet"/>
        <w:spacing w:before="20" w:after="40"/>
        <w:ind w:left="283" w:right="-427"/>
      </w:pPr>
      <w:r>
        <w:rPr>
          <w:rFonts w:ascii="Calibri" w:hAnsi="Calibri"/>
          <w:sz w:val="21"/>
        </w:rPr>
        <w:t>Parental concern and reason for presentation.</w:t>
      </w:r>
    </w:p>
    <w:p w14:paraId="18A98BA4" w14:textId="77777777" w:rsidR="004579D3" w:rsidRDefault="00000000" w:rsidP="00785AB1">
      <w:pPr>
        <w:pStyle w:val="ListBullet"/>
        <w:spacing w:before="20" w:after="40"/>
        <w:ind w:left="283" w:right="-427"/>
      </w:pPr>
      <w:r>
        <w:rPr>
          <w:rFonts w:ascii="Calibri" w:hAnsi="Calibri"/>
          <w:sz w:val="21"/>
        </w:rPr>
        <w:t>Screening question: "Is the child growing out of their trousers or shoes?"</w:t>
      </w:r>
    </w:p>
    <w:p w14:paraId="3B5ED770" w14:textId="77777777" w:rsidR="004579D3" w:rsidRDefault="00000000" w:rsidP="00785AB1">
      <w:pPr>
        <w:pStyle w:val="ListBullet"/>
        <w:spacing w:before="20" w:after="40"/>
        <w:ind w:left="283" w:right="-427"/>
      </w:pPr>
      <w:r>
        <w:rPr>
          <w:rFonts w:ascii="Calibri" w:hAnsi="Calibri"/>
          <w:sz w:val="21"/>
        </w:rPr>
        <w:t>Systems review: gut (malabsorption), heart (congenital), chest (respiratory), renal (CKD), CNS.</w:t>
      </w:r>
    </w:p>
    <w:p w14:paraId="407BBAC1" w14:textId="77777777" w:rsidR="004579D3" w:rsidRDefault="00000000" w:rsidP="00785AB1">
      <w:pPr>
        <w:pStyle w:val="ListBullet"/>
        <w:spacing w:before="20" w:after="40"/>
        <w:ind w:left="283" w:right="-427"/>
      </w:pPr>
      <w:r>
        <w:rPr>
          <w:rFonts w:ascii="Calibri" w:hAnsi="Calibri"/>
          <w:sz w:val="21"/>
        </w:rPr>
        <w:t>Birth weight and gestation — correct for prematurity up to age 2 years.</w:t>
      </w:r>
    </w:p>
    <w:p w14:paraId="65B85A7F" w14:textId="77777777" w:rsidR="004579D3" w:rsidRDefault="00000000" w:rsidP="00785AB1">
      <w:pPr>
        <w:pStyle w:val="ListBullet"/>
        <w:spacing w:before="20" w:after="40"/>
        <w:ind w:left="283" w:right="-427"/>
      </w:pPr>
      <w:r>
        <w:rPr>
          <w:rFonts w:ascii="Calibri" w:hAnsi="Calibri"/>
          <w:sz w:val="21"/>
        </w:rPr>
        <w:t>Past illnesses, medications, nutritional history.</w:t>
      </w:r>
    </w:p>
    <w:p w14:paraId="6C74B8EA" w14:textId="77777777" w:rsidR="004579D3" w:rsidRDefault="00000000" w:rsidP="00785AB1">
      <w:pPr>
        <w:spacing w:before="280" w:after="80"/>
        <w:ind w:right="-427"/>
      </w:pPr>
      <w:r>
        <w:rPr>
          <w:rFonts w:ascii="Calibri" w:hAnsi="Calibri"/>
          <w:b/>
          <w:color w:val="0D7377"/>
          <w:sz w:val="24"/>
        </w:rPr>
        <w:t>Measurements</w:t>
      </w:r>
    </w:p>
    <w:p w14:paraId="54E6CFBC" w14:textId="77777777" w:rsidR="004579D3" w:rsidRDefault="00000000" w:rsidP="00785AB1">
      <w:pPr>
        <w:pStyle w:val="ListBullet"/>
        <w:spacing w:before="20" w:after="40"/>
        <w:ind w:left="283" w:right="-427"/>
      </w:pPr>
      <w:r>
        <w:rPr>
          <w:rFonts w:ascii="Calibri" w:hAnsi="Calibri"/>
          <w:sz w:val="21"/>
        </w:rPr>
        <w:t>Obtain past growth records — growth velocity is more informative than a single measurement.</w:t>
      </w:r>
    </w:p>
    <w:p w14:paraId="35BC3A56" w14:textId="77777777" w:rsidR="004579D3" w:rsidRDefault="00000000" w:rsidP="00785AB1">
      <w:pPr>
        <w:pStyle w:val="ListBullet"/>
        <w:spacing w:before="20" w:after="40"/>
        <w:ind w:left="283" w:right="-427"/>
      </w:pPr>
      <w:r>
        <w:rPr>
          <w:rFonts w:ascii="Calibri" w:hAnsi="Calibri"/>
          <w:sz w:val="21"/>
        </w:rPr>
        <w:t>Take 2 measurements ≥12 months apart to calculate reliable growth velocity.</w:t>
      </w:r>
    </w:p>
    <w:p w14:paraId="1116C352" w14:textId="77777777" w:rsidR="004579D3" w:rsidRDefault="00000000" w:rsidP="00785AB1">
      <w:pPr>
        <w:pStyle w:val="ListBullet"/>
        <w:spacing w:before="20" w:after="40"/>
        <w:ind w:left="283" w:right="-427"/>
      </w:pPr>
      <w:r>
        <w:rPr>
          <w:rFonts w:ascii="Calibri" w:hAnsi="Calibri"/>
          <w:sz w:val="21"/>
        </w:rPr>
        <w:t>Plot and calculate mid-parental height (MPH):</w:t>
      </w:r>
    </w:p>
    <w:p w14:paraId="314FDE9B" w14:textId="77777777" w:rsidR="004579D3" w:rsidRDefault="00000000" w:rsidP="00785AB1">
      <w:pPr>
        <w:pStyle w:val="ListBullet"/>
        <w:spacing w:before="20" w:after="40"/>
        <w:ind w:left="567" w:right="-427"/>
      </w:pPr>
      <w:r>
        <w:rPr>
          <w:rFonts w:ascii="Calibri" w:hAnsi="Calibri"/>
          <w:sz w:val="21"/>
        </w:rPr>
        <w:t>Boys: [(Father's height + Mother's height + 13 cm) ÷ 2] ± 8.5 cm</w:t>
      </w:r>
    </w:p>
    <w:p w14:paraId="601BB487" w14:textId="77777777" w:rsidR="004579D3" w:rsidRDefault="00000000" w:rsidP="00785AB1">
      <w:pPr>
        <w:pStyle w:val="ListBullet"/>
        <w:spacing w:before="20" w:after="40"/>
        <w:ind w:left="567" w:right="-427"/>
      </w:pPr>
      <w:r>
        <w:rPr>
          <w:rFonts w:ascii="Calibri" w:hAnsi="Calibri"/>
          <w:sz w:val="21"/>
        </w:rPr>
        <w:t>Girls: [(Father's height + Mother's height − 13 cm) ÷ 2] ± 8.5 cm</w:t>
      </w:r>
    </w:p>
    <w:p w14:paraId="21E97F2E" w14:textId="77777777" w:rsidR="004579D3" w:rsidRDefault="00000000" w:rsidP="00785AB1">
      <w:pPr>
        <w:pStyle w:val="ListBullet"/>
        <w:spacing w:before="20" w:after="40"/>
        <w:ind w:left="567" w:right="-427"/>
      </w:pPr>
      <w:r>
        <w:rPr>
          <w:rFonts w:ascii="Calibri" w:hAnsi="Calibri"/>
          <w:sz w:val="21"/>
        </w:rPr>
        <w:t>Most children reach final height within 8–10 cm of their MPH centile.</w:t>
      </w:r>
    </w:p>
    <w:p w14:paraId="15C0BCEA" w14:textId="77777777" w:rsidR="004579D3" w:rsidRDefault="00000000" w:rsidP="00785AB1">
      <w:pPr>
        <w:pStyle w:val="ListBullet"/>
        <w:spacing w:before="20" w:after="40"/>
        <w:ind w:left="567" w:right="-427"/>
      </w:pPr>
      <w:r>
        <w:rPr>
          <w:rFonts w:ascii="Calibri" w:hAnsi="Calibri"/>
          <w:sz w:val="21"/>
        </w:rPr>
        <w:t>⚠️ Ensure parents themselves do not have a growth disorder before using their heights as reference.</w:t>
      </w:r>
    </w:p>
    <w:p w14:paraId="1E1C0F23" w14:textId="77777777" w:rsidR="004579D3" w:rsidRDefault="00000000" w:rsidP="00785AB1">
      <w:pPr>
        <w:pStyle w:val="ListBullet"/>
        <w:spacing w:before="20" w:after="40"/>
        <w:ind w:left="283" w:right="-427"/>
      </w:pPr>
      <w:r>
        <w:rPr>
          <w:rFonts w:ascii="Calibri" w:hAnsi="Calibri"/>
          <w:sz w:val="21"/>
        </w:rPr>
        <w:t>Centile crossing (≥2 centile spaces downward over ≥12 months) = investigate and consider referral.</w:t>
      </w:r>
    </w:p>
    <w:p w14:paraId="357D790C" w14:textId="77777777" w:rsidR="004579D3" w:rsidRDefault="00000000" w:rsidP="00785AB1">
      <w:pPr>
        <w:spacing w:before="280" w:after="80"/>
        <w:ind w:right="-427"/>
      </w:pPr>
      <w:r>
        <w:rPr>
          <w:rFonts w:ascii="Calibri" w:hAnsi="Calibri"/>
          <w:b/>
          <w:color w:val="0D7377"/>
          <w:sz w:val="24"/>
        </w:rPr>
        <w:t>Weight vs Height Comparison</w:t>
      </w:r>
    </w:p>
    <w:tbl>
      <w:tblPr>
        <w:tblStyle w:val="TableGrid"/>
        <w:tblW w:w="9200" w:type="dxa"/>
        <w:jc w:val="center"/>
        <w:tblLook w:val="04A0" w:firstRow="1" w:lastRow="0" w:firstColumn="1" w:lastColumn="0" w:noHBand="0" w:noVBand="1"/>
      </w:tblPr>
      <w:tblGrid>
        <w:gridCol w:w="4585"/>
        <w:gridCol w:w="4615"/>
      </w:tblGrid>
      <w:tr w:rsidR="004579D3" w14:paraId="7610834A" w14:textId="77777777">
        <w:trPr>
          <w:jc w:val="center"/>
        </w:trPr>
        <w:tc>
          <w:tcPr>
            <w:tcW w:w="4819" w:type="dxa"/>
            <w:shd w:val="clear" w:color="auto" w:fill="1B3A6B"/>
          </w:tcPr>
          <w:p w14:paraId="29999834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b/>
                <w:color w:val="FFFFFF"/>
                <w:sz w:val="20"/>
              </w:rPr>
              <w:t>Pattern</w:t>
            </w:r>
          </w:p>
        </w:tc>
        <w:tc>
          <w:tcPr>
            <w:tcW w:w="4819" w:type="dxa"/>
            <w:shd w:val="clear" w:color="auto" w:fill="1B3A6B"/>
          </w:tcPr>
          <w:p w14:paraId="0470CA60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b/>
                <w:color w:val="FFFFFF"/>
                <w:sz w:val="20"/>
              </w:rPr>
              <w:t>Interpretation</w:t>
            </w:r>
          </w:p>
        </w:tc>
      </w:tr>
      <w:tr w:rsidR="004579D3" w14:paraId="4E39A309" w14:textId="77777777">
        <w:trPr>
          <w:jc w:val="center"/>
        </w:trPr>
        <w:tc>
          <w:tcPr>
            <w:tcW w:w="4819" w:type="dxa"/>
            <w:shd w:val="clear" w:color="auto" w:fill="EBF5FB"/>
          </w:tcPr>
          <w:p w14:paraId="7289937C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Weight centile &gt; Height centile</w:t>
            </w:r>
          </w:p>
        </w:tc>
        <w:tc>
          <w:tcPr>
            <w:tcW w:w="4819" w:type="dxa"/>
            <w:shd w:val="clear" w:color="auto" w:fill="EBF5FB"/>
          </w:tcPr>
          <w:p w14:paraId="22EBE194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Primary growth problem likely (familial, genetic, bone dysplasia, syndromal, or hormonal)</w:t>
            </w:r>
          </w:p>
        </w:tc>
      </w:tr>
      <w:tr w:rsidR="004579D3" w14:paraId="091BCFCB" w14:textId="77777777">
        <w:trPr>
          <w:jc w:val="center"/>
        </w:trPr>
        <w:tc>
          <w:tcPr>
            <w:tcW w:w="4819" w:type="dxa"/>
            <w:shd w:val="clear" w:color="auto" w:fill="FFFFFF"/>
          </w:tcPr>
          <w:p w14:paraId="143079EC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Weight centile ≈ Height centile</w:t>
            </w:r>
          </w:p>
        </w:tc>
        <w:tc>
          <w:tcPr>
            <w:tcW w:w="4819" w:type="dxa"/>
            <w:shd w:val="clear" w:color="auto" w:fill="FFFFFF"/>
          </w:tcPr>
          <w:p w14:paraId="22C20A8F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Primary growth problem possible — investigate</w:t>
            </w:r>
          </w:p>
        </w:tc>
      </w:tr>
      <w:tr w:rsidR="004579D3" w14:paraId="036BE631" w14:textId="77777777">
        <w:trPr>
          <w:jc w:val="center"/>
        </w:trPr>
        <w:tc>
          <w:tcPr>
            <w:tcW w:w="4819" w:type="dxa"/>
            <w:shd w:val="clear" w:color="auto" w:fill="EBF5FB"/>
          </w:tcPr>
          <w:p w14:paraId="0AFF48EF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Weight centile &lt; Height centile</w:t>
            </w:r>
          </w:p>
        </w:tc>
        <w:tc>
          <w:tcPr>
            <w:tcW w:w="4819" w:type="dxa"/>
            <w:shd w:val="clear" w:color="auto" w:fill="EBF5FB"/>
          </w:tcPr>
          <w:p w14:paraId="7E9DB669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Primary growth problem unlikely — consider systemic illness, malnutrition, or psychosocial deprivation</w:t>
            </w:r>
          </w:p>
        </w:tc>
      </w:tr>
    </w:tbl>
    <w:p w14:paraId="5D6A85A5" w14:textId="77777777" w:rsidR="004579D3" w:rsidRDefault="004579D3" w:rsidP="00785AB1">
      <w:pPr>
        <w:ind w:right="-427"/>
      </w:pPr>
    </w:p>
    <w:p w14:paraId="09C8CCCA" w14:textId="11D5377A" w:rsidR="00785AB1" w:rsidRPr="00785AB1" w:rsidRDefault="00785AB1" w:rsidP="00785AB1">
      <w:pPr>
        <w:rPr>
          <w:rFonts w:ascii="Calibri" w:hAnsi="Calibri"/>
          <w:b/>
          <w:color w:val="1B3A6B"/>
          <w:sz w:val="28"/>
        </w:rPr>
      </w:pPr>
      <w:r>
        <w:rPr>
          <w:rFonts w:ascii="Calibri" w:hAnsi="Calibri"/>
          <w:b/>
          <w:color w:val="1B3A6B"/>
          <w:sz w:val="28"/>
        </w:rPr>
        <w:t>Faltering Growth — NICE NG75 (2017, Current)</w:t>
      </w:r>
    </w:p>
    <w:tbl>
      <w:tblPr>
        <w:tblStyle w:val="TableGrid"/>
        <w:tblW w:w="9200" w:type="dxa"/>
        <w:jc w:val="center"/>
        <w:tblLook w:val="04A0" w:firstRow="1" w:lastRow="0" w:firstColumn="1" w:lastColumn="0" w:noHBand="0" w:noVBand="1"/>
      </w:tblPr>
      <w:tblGrid>
        <w:gridCol w:w="9200"/>
      </w:tblGrid>
      <w:tr w:rsidR="00785AB1" w14:paraId="3F73C44C" w14:textId="77777777" w:rsidTr="002455EC">
        <w:trPr>
          <w:jc w:val="center"/>
        </w:trPr>
        <w:tc>
          <w:tcPr>
            <w:tcW w:w="9638" w:type="dxa"/>
            <w:tcBorders>
              <w:top w:val="single" w:sz="6" w:space="0" w:color="0D7377"/>
              <w:left w:val="single" w:sz="6" w:space="0" w:color="0D7377"/>
              <w:bottom w:val="single" w:sz="6" w:space="0" w:color="0D7377"/>
              <w:right w:val="single" w:sz="6" w:space="0" w:color="0D7377"/>
            </w:tcBorders>
            <w:shd w:val="clear" w:color="auto" w:fill="E8F8F5"/>
          </w:tcPr>
          <w:p w14:paraId="77650A4A" w14:textId="77777777" w:rsidR="00785AB1" w:rsidRDefault="00785AB1" w:rsidP="002455EC">
            <w:pPr>
              <w:spacing w:before="120" w:after="60"/>
              <w:ind w:right="-427"/>
            </w:pPr>
            <w:r>
              <w:rPr>
                <w:rFonts w:ascii="Calibri" w:hAnsi="Calibri"/>
                <w:b/>
                <w:color w:val="0D7377"/>
              </w:rPr>
              <w:t>🔵 NICE NG75 (2017) — Current Guideline for Faltering Growth</w:t>
            </w:r>
          </w:p>
          <w:p w14:paraId="7A48BFD3" w14:textId="77777777" w:rsidR="00785AB1" w:rsidRDefault="00785AB1" w:rsidP="002455EC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>Faltering growth = significant interruption in the expected rate of growth.</w:t>
            </w:r>
          </w:p>
          <w:p w14:paraId="53F40719" w14:textId="77777777" w:rsidR="00785AB1" w:rsidRDefault="00785AB1" w:rsidP="002455EC">
            <w:pPr>
              <w:spacing w:before="20" w:after="40"/>
              <w:ind w:right="-427"/>
            </w:pPr>
          </w:p>
          <w:p w14:paraId="53C13740" w14:textId="77777777" w:rsidR="00785AB1" w:rsidRDefault="00785AB1" w:rsidP="002455EC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>Thresholds for concern (weight):</w:t>
            </w:r>
          </w:p>
          <w:p w14:paraId="3671850B" w14:textId="77777777" w:rsidR="00785AB1" w:rsidRDefault="00785AB1" w:rsidP="002455EC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 xml:space="preserve">  • Falls across ≥2 centile spaces (if birth weight was above the 9th centile)</w:t>
            </w:r>
          </w:p>
          <w:p w14:paraId="3C09B4F6" w14:textId="77777777" w:rsidR="00785AB1" w:rsidRDefault="00785AB1" w:rsidP="002455EC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 xml:space="preserve">  • Falls across ≥1 centile space (if birth weight was between 2nd–9th centile)</w:t>
            </w:r>
          </w:p>
          <w:p w14:paraId="5B702386" w14:textId="77777777" w:rsidR="00785AB1" w:rsidRDefault="00785AB1" w:rsidP="002455EC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 xml:space="preserve">  • Weight persistently below 2nd centile</w:t>
            </w:r>
          </w:p>
          <w:p w14:paraId="780FA391" w14:textId="77777777" w:rsidR="00785AB1" w:rsidRDefault="00785AB1" w:rsidP="002455EC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 xml:space="preserve">  • Any weight loss between measurements (outside neonatal period)</w:t>
            </w:r>
          </w:p>
          <w:p w14:paraId="0B02F45B" w14:textId="77777777" w:rsidR="00785AB1" w:rsidRDefault="00785AB1" w:rsidP="002455EC">
            <w:pPr>
              <w:spacing w:before="20" w:after="40"/>
              <w:ind w:right="-427"/>
            </w:pPr>
          </w:p>
          <w:p w14:paraId="0B64F225" w14:textId="77777777" w:rsidR="00785AB1" w:rsidRDefault="00785AB1" w:rsidP="002455EC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>Early neonatal weight loss:</w:t>
            </w:r>
          </w:p>
          <w:p w14:paraId="3AAA39ED" w14:textId="77777777" w:rsidR="00785AB1" w:rsidRDefault="00785AB1" w:rsidP="002455EC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 xml:space="preserve">  • Normal: up to 7% of birth weight</w:t>
            </w:r>
          </w:p>
          <w:p w14:paraId="2F7D13B0" w14:textId="77777777" w:rsidR="00785AB1" w:rsidRDefault="00785AB1" w:rsidP="002455EC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 xml:space="preserve">  • Concern: &gt;10% or not regained by day 14 → urgent medical review</w:t>
            </w:r>
          </w:p>
          <w:p w14:paraId="6C691190" w14:textId="77777777" w:rsidR="00785AB1" w:rsidRDefault="00785AB1" w:rsidP="002455EC">
            <w:pPr>
              <w:spacing w:before="20" w:after="40"/>
              <w:ind w:right="-427"/>
            </w:pPr>
          </w:p>
          <w:p w14:paraId="15D3BE39" w14:textId="77777777" w:rsidR="00785AB1" w:rsidRDefault="00785AB1" w:rsidP="002455EC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>Management: Community-based first; dietitian; avoid excessive weighing (increases parental anxiety).</w:t>
            </w:r>
          </w:p>
          <w:p w14:paraId="77353C63" w14:textId="77777777" w:rsidR="00785AB1" w:rsidRDefault="00785AB1" w:rsidP="002455EC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>Hospital: only if severe or underlying medical cause requires inpatient investigation.</w:t>
            </w:r>
          </w:p>
          <w:p w14:paraId="505A9E32" w14:textId="77777777" w:rsidR="00785AB1" w:rsidRDefault="00785AB1" w:rsidP="002455EC">
            <w:pPr>
              <w:spacing w:after="120"/>
              <w:ind w:right="-427"/>
            </w:pPr>
          </w:p>
        </w:tc>
      </w:tr>
    </w:tbl>
    <w:p w14:paraId="5A95EC59" w14:textId="13BFB9CA" w:rsidR="004579D3" w:rsidRDefault="00000000" w:rsidP="00785AB1">
      <w:pPr>
        <w:spacing w:before="280" w:after="80"/>
        <w:ind w:right="-427"/>
      </w:pPr>
      <w:r>
        <w:rPr>
          <w:rFonts w:ascii="Calibri" w:hAnsi="Calibri"/>
          <w:b/>
          <w:color w:val="1B3A6B"/>
          <w:sz w:val="28"/>
        </w:rPr>
        <w:lastRenderedPageBreak/>
        <w:t>Causes of Short Stature</w:t>
      </w:r>
    </w:p>
    <w:p w14:paraId="4498F144" w14:textId="77777777" w:rsidR="004579D3" w:rsidRDefault="00000000" w:rsidP="00785AB1">
      <w:pPr>
        <w:spacing w:before="20" w:after="80"/>
        <w:ind w:right="-427"/>
      </w:pPr>
      <w:r>
        <w:rPr>
          <w:rFonts w:ascii="Calibri" w:hAnsi="Calibri"/>
          <w:b/>
          <w:sz w:val="21"/>
        </w:rPr>
        <w:t>Definition: Height below the 0.4th centile on UK-WHO charts. (Note: 'below 3rd centile' = outdated 1959 Tanner chart threshold.)</w:t>
      </w:r>
    </w:p>
    <w:tbl>
      <w:tblPr>
        <w:tblStyle w:val="TableGrid"/>
        <w:tblW w:w="9200" w:type="dxa"/>
        <w:tblLook w:val="04A0" w:firstRow="1" w:lastRow="0" w:firstColumn="1" w:lastColumn="0" w:noHBand="0" w:noVBand="1"/>
      </w:tblPr>
      <w:tblGrid>
        <w:gridCol w:w="4608"/>
        <w:gridCol w:w="4592"/>
      </w:tblGrid>
      <w:tr w:rsidR="004579D3" w14:paraId="3E358640" w14:textId="77777777">
        <w:tc>
          <w:tcPr>
            <w:tcW w:w="4819" w:type="dxa"/>
            <w:shd w:val="clear" w:color="auto" w:fill="1B3A6B"/>
          </w:tcPr>
          <w:p w14:paraId="3A6C9CDD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b/>
                <w:color w:val="FFFFFF"/>
                <w:sz w:val="20"/>
              </w:rPr>
              <w:t>Cause</w:t>
            </w:r>
          </w:p>
        </w:tc>
        <w:tc>
          <w:tcPr>
            <w:tcW w:w="4819" w:type="dxa"/>
            <w:shd w:val="clear" w:color="auto" w:fill="1B3A6B"/>
          </w:tcPr>
          <w:p w14:paraId="73CA97FC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b/>
                <w:color w:val="FFFFFF"/>
                <w:sz w:val="20"/>
              </w:rPr>
              <w:t>Key Features / Clues</w:t>
            </w:r>
          </w:p>
        </w:tc>
      </w:tr>
      <w:tr w:rsidR="004579D3" w14:paraId="1304E30C" w14:textId="77777777">
        <w:tc>
          <w:tcPr>
            <w:tcW w:w="4819" w:type="dxa"/>
            <w:shd w:val="clear" w:color="auto" w:fill="EBF5FB"/>
          </w:tcPr>
          <w:p w14:paraId="266C07B7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Familial / Constitutional</w:t>
            </w:r>
          </w:p>
        </w:tc>
        <w:tc>
          <w:tcPr>
            <w:tcW w:w="4819" w:type="dxa"/>
            <w:shd w:val="clear" w:color="auto" w:fill="EBF5FB"/>
          </w:tcPr>
          <w:p w14:paraId="1970AF61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Most common. Parents short. Bone age = chronological age. Normal velocity. No treatment needed.</w:t>
            </w:r>
          </w:p>
        </w:tc>
      </w:tr>
      <w:tr w:rsidR="004579D3" w14:paraId="124A167E" w14:textId="77777777">
        <w:tc>
          <w:tcPr>
            <w:tcW w:w="4819" w:type="dxa"/>
            <w:shd w:val="clear" w:color="auto" w:fill="FFFFFF"/>
          </w:tcPr>
          <w:p w14:paraId="3D870FC9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Constitutional Delay (CDGP)</w:t>
            </w:r>
          </w:p>
        </w:tc>
        <w:tc>
          <w:tcPr>
            <w:tcW w:w="4819" w:type="dxa"/>
            <w:shd w:val="clear" w:color="auto" w:fill="FFFFFF"/>
          </w:tcPr>
          <w:p w14:paraId="0175765A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Late puberty. Bone age &lt; chronological age. Family history. Catch-up expected.</w:t>
            </w:r>
          </w:p>
        </w:tc>
      </w:tr>
      <w:tr w:rsidR="004579D3" w14:paraId="3AC5E514" w14:textId="77777777">
        <w:tc>
          <w:tcPr>
            <w:tcW w:w="4819" w:type="dxa"/>
            <w:shd w:val="clear" w:color="auto" w:fill="EBF5FB"/>
          </w:tcPr>
          <w:p w14:paraId="3F4D914D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IUGR</w:t>
            </w:r>
          </w:p>
        </w:tc>
        <w:tc>
          <w:tcPr>
            <w:tcW w:w="4819" w:type="dxa"/>
            <w:shd w:val="clear" w:color="auto" w:fill="EBF5FB"/>
          </w:tcPr>
          <w:p w14:paraId="1DCC1ECA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Small for dates. Most catch up by age 2. Refer if no catch-up by age 2.</w:t>
            </w:r>
          </w:p>
        </w:tc>
      </w:tr>
      <w:tr w:rsidR="004579D3" w14:paraId="233876BB" w14:textId="77777777">
        <w:tc>
          <w:tcPr>
            <w:tcW w:w="4819" w:type="dxa"/>
            <w:shd w:val="clear" w:color="auto" w:fill="FFFFFF"/>
          </w:tcPr>
          <w:p w14:paraId="54F204DC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Malnutrition / Psychosocial</w:t>
            </w:r>
          </w:p>
        </w:tc>
        <w:tc>
          <w:tcPr>
            <w:tcW w:w="4819" w:type="dxa"/>
            <w:shd w:val="clear" w:color="auto" w:fill="FFFFFF"/>
          </w:tcPr>
          <w:p w14:paraId="63B14888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Weight falls faster than height. Environmental risk factors. Review in different setting.</w:t>
            </w:r>
          </w:p>
        </w:tc>
      </w:tr>
      <w:tr w:rsidR="004579D3" w14:paraId="2E3ED88D" w14:textId="77777777">
        <w:tc>
          <w:tcPr>
            <w:tcW w:w="4819" w:type="dxa"/>
            <w:shd w:val="clear" w:color="auto" w:fill="FDEDEC"/>
          </w:tcPr>
          <w:p w14:paraId="482F97EF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b/>
                <w:sz w:val="20"/>
              </w:rPr>
              <w:t>Hypothyroidism ⭐</w:t>
            </w:r>
          </w:p>
        </w:tc>
        <w:tc>
          <w:tcPr>
            <w:tcW w:w="4819" w:type="dxa"/>
            <w:shd w:val="clear" w:color="auto" w:fill="FDEDEC"/>
          </w:tcPr>
          <w:p w14:paraId="64E487E9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MOST IMPORTANT treatable cause. Weight ↑, height ↓. Delayed bone age. Goitre. Check TFTs urgently.</w:t>
            </w:r>
          </w:p>
        </w:tc>
      </w:tr>
      <w:tr w:rsidR="004579D3" w14:paraId="31C6118F" w14:textId="77777777">
        <w:tc>
          <w:tcPr>
            <w:tcW w:w="4819" w:type="dxa"/>
            <w:shd w:val="clear" w:color="auto" w:fill="FFFFFF"/>
          </w:tcPr>
          <w:p w14:paraId="3C066A12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Growth Hormone Deficiency</w:t>
            </w:r>
          </w:p>
        </w:tc>
        <w:tc>
          <w:tcPr>
            <w:tcW w:w="4819" w:type="dxa"/>
            <w:shd w:val="clear" w:color="auto" w:fill="FFFFFF"/>
          </w:tcPr>
          <w:p w14:paraId="5D200E01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Rare. Midface hypoplasia. Low IGF-1. Confirmed by GH provocation test. Refer to paed endocrinology.</w:t>
            </w:r>
          </w:p>
        </w:tc>
      </w:tr>
      <w:tr w:rsidR="004579D3" w14:paraId="00C4DE0C" w14:textId="77777777">
        <w:tc>
          <w:tcPr>
            <w:tcW w:w="4819" w:type="dxa"/>
            <w:shd w:val="clear" w:color="auto" w:fill="EBF5FB"/>
          </w:tcPr>
          <w:p w14:paraId="169C6295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Turner Syndrome</w:t>
            </w:r>
          </w:p>
        </w:tc>
        <w:tc>
          <w:tcPr>
            <w:tcW w:w="4819" w:type="dxa"/>
            <w:shd w:val="clear" w:color="auto" w:fill="EBF5FB"/>
          </w:tcPr>
          <w:p w14:paraId="087EBA7C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Girls only (45,X0). Webbed neck, cubitus valgus, spooned nails. Easily missed. Use Turner charts. Karyotype all short girls without clear diagnosis.</w:t>
            </w:r>
          </w:p>
        </w:tc>
      </w:tr>
      <w:tr w:rsidR="004579D3" w14:paraId="2432F540" w14:textId="77777777">
        <w:tc>
          <w:tcPr>
            <w:tcW w:w="4819" w:type="dxa"/>
            <w:shd w:val="clear" w:color="auto" w:fill="FFFFFF"/>
          </w:tcPr>
          <w:p w14:paraId="1B873247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Chronic Kidney Disease</w:t>
            </w:r>
          </w:p>
        </w:tc>
        <w:tc>
          <w:tcPr>
            <w:tcW w:w="4819" w:type="dxa"/>
            <w:shd w:val="clear" w:color="auto" w:fill="FFFFFF"/>
          </w:tcPr>
          <w:p w14:paraId="2CA07EF3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Check U&amp;E, creatinine, phosphate, Alk Phos.</w:t>
            </w:r>
          </w:p>
        </w:tc>
      </w:tr>
      <w:tr w:rsidR="004579D3" w14:paraId="53489DC1" w14:textId="77777777">
        <w:tc>
          <w:tcPr>
            <w:tcW w:w="4819" w:type="dxa"/>
            <w:shd w:val="clear" w:color="auto" w:fill="EBF5FB"/>
          </w:tcPr>
          <w:p w14:paraId="51F76696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IBD</w:t>
            </w:r>
          </w:p>
        </w:tc>
        <w:tc>
          <w:tcPr>
            <w:tcW w:w="4819" w:type="dxa"/>
            <w:shd w:val="clear" w:color="auto" w:fill="EBF5FB"/>
          </w:tcPr>
          <w:p w14:paraId="1B2771E2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Weight loss prominent. Abdominal symptoms. ESR, CRP, albumin.</w:t>
            </w:r>
          </w:p>
        </w:tc>
      </w:tr>
      <w:tr w:rsidR="004579D3" w14:paraId="32308243" w14:textId="77777777">
        <w:tc>
          <w:tcPr>
            <w:tcW w:w="4819" w:type="dxa"/>
            <w:shd w:val="clear" w:color="auto" w:fill="FFFFFF"/>
          </w:tcPr>
          <w:p w14:paraId="23D8C6DD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Chondrodystrophies</w:t>
            </w:r>
          </w:p>
        </w:tc>
        <w:tc>
          <w:tcPr>
            <w:tcW w:w="4819" w:type="dxa"/>
            <w:shd w:val="clear" w:color="auto" w:fill="FFFFFF"/>
          </w:tcPr>
          <w:p w14:paraId="4E51C647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Disproportionate short stature. Achondroplasia (autosomal dominant).</w:t>
            </w:r>
          </w:p>
        </w:tc>
      </w:tr>
      <w:tr w:rsidR="004579D3" w14:paraId="57C28300" w14:textId="77777777">
        <w:tc>
          <w:tcPr>
            <w:tcW w:w="4819" w:type="dxa"/>
            <w:shd w:val="clear" w:color="auto" w:fill="FDEDEC"/>
          </w:tcPr>
          <w:p w14:paraId="0A021078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b/>
                <w:sz w:val="20"/>
              </w:rPr>
              <w:t>Craniopharyngioma ⚠️</w:t>
            </w:r>
          </w:p>
        </w:tc>
        <w:tc>
          <w:tcPr>
            <w:tcW w:w="4819" w:type="dxa"/>
            <w:shd w:val="clear" w:color="auto" w:fill="FDEDEC"/>
          </w:tcPr>
          <w:p w14:paraId="0C3E940E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Growth failure + headaches + visual field defects = URGENT REFERRAL.</w:t>
            </w:r>
          </w:p>
        </w:tc>
      </w:tr>
    </w:tbl>
    <w:p w14:paraId="5C286D64" w14:textId="77777777" w:rsidR="004579D3" w:rsidRDefault="004579D3" w:rsidP="00785AB1">
      <w:pPr>
        <w:ind w:right="-427"/>
      </w:pPr>
    </w:p>
    <w:p w14:paraId="15F97FBB" w14:textId="77777777" w:rsidR="004579D3" w:rsidRDefault="00000000" w:rsidP="00785AB1">
      <w:pPr>
        <w:spacing w:before="280" w:after="80"/>
        <w:ind w:right="-427"/>
      </w:pPr>
      <w:r>
        <w:rPr>
          <w:rFonts w:ascii="Calibri" w:hAnsi="Calibri"/>
          <w:b/>
          <w:color w:val="1B3A6B"/>
          <w:sz w:val="28"/>
        </w:rPr>
        <w:t>Investigations for Short Stature</w:t>
      </w:r>
    </w:p>
    <w:p w14:paraId="1FA5D9B7" w14:textId="77777777" w:rsidR="004579D3" w:rsidRDefault="00000000" w:rsidP="00785AB1">
      <w:pPr>
        <w:spacing w:before="280" w:after="80"/>
        <w:ind w:right="-427"/>
      </w:pPr>
      <w:r>
        <w:rPr>
          <w:rFonts w:ascii="Calibri" w:hAnsi="Calibri"/>
          <w:b/>
          <w:color w:val="0D7377"/>
          <w:sz w:val="24"/>
        </w:rPr>
        <w:t>First-line (Primary Care)</w:t>
      </w:r>
    </w:p>
    <w:p w14:paraId="389DFE79" w14:textId="77777777" w:rsidR="004579D3" w:rsidRDefault="00000000" w:rsidP="00785AB1">
      <w:pPr>
        <w:pStyle w:val="ListBullet"/>
        <w:spacing w:before="20" w:after="40"/>
        <w:ind w:right="-427"/>
      </w:pPr>
      <w:r>
        <w:rPr>
          <w:rFonts w:ascii="Calibri" w:hAnsi="Calibri"/>
          <w:b/>
          <w:sz w:val="21"/>
        </w:rPr>
        <w:t xml:space="preserve">FBC: </w:t>
      </w:r>
      <w:r>
        <w:rPr>
          <w:rFonts w:ascii="Calibri" w:hAnsi="Calibri"/>
          <w:sz w:val="21"/>
        </w:rPr>
        <w:t>Anaemia of chronic disease</w:t>
      </w:r>
    </w:p>
    <w:p w14:paraId="20383C41" w14:textId="77777777" w:rsidR="004579D3" w:rsidRDefault="00000000" w:rsidP="00785AB1">
      <w:pPr>
        <w:pStyle w:val="ListBullet"/>
        <w:spacing w:before="20" w:after="40"/>
        <w:ind w:right="-427"/>
      </w:pPr>
      <w:r>
        <w:rPr>
          <w:rFonts w:ascii="Calibri" w:hAnsi="Calibri"/>
          <w:b/>
          <w:sz w:val="21"/>
        </w:rPr>
        <w:t xml:space="preserve">U&amp;E, Creatinine: </w:t>
      </w:r>
      <w:r>
        <w:rPr>
          <w:rFonts w:ascii="Calibri" w:hAnsi="Calibri"/>
          <w:sz w:val="21"/>
        </w:rPr>
        <w:t>Renal disease</w:t>
      </w:r>
    </w:p>
    <w:p w14:paraId="286C4A5A" w14:textId="77777777" w:rsidR="004579D3" w:rsidRDefault="00000000" w:rsidP="00785AB1">
      <w:pPr>
        <w:pStyle w:val="ListBullet"/>
        <w:spacing w:before="20" w:after="40"/>
        <w:ind w:right="-427"/>
      </w:pPr>
      <w:r>
        <w:rPr>
          <w:rFonts w:ascii="Calibri" w:hAnsi="Calibri"/>
          <w:b/>
          <w:sz w:val="21"/>
        </w:rPr>
        <w:t xml:space="preserve">Calcium, Phosphorus, Alk Phos: </w:t>
      </w:r>
      <w:r>
        <w:rPr>
          <w:rFonts w:ascii="Calibri" w:hAnsi="Calibri"/>
          <w:sz w:val="21"/>
        </w:rPr>
        <w:t>Bone disease / renal osteodystrophy</w:t>
      </w:r>
    </w:p>
    <w:p w14:paraId="5D6D3623" w14:textId="77777777" w:rsidR="004579D3" w:rsidRDefault="00000000" w:rsidP="00785AB1">
      <w:pPr>
        <w:pStyle w:val="ListBullet"/>
        <w:spacing w:before="20" w:after="40"/>
        <w:ind w:right="-427"/>
      </w:pPr>
      <w:r>
        <w:rPr>
          <w:rFonts w:ascii="Calibri" w:hAnsi="Calibri"/>
          <w:b/>
          <w:sz w:val="21"/>
        </w:rPr>
        <w:t xml:space="preserve">TFTs (TSH + free T4): </w:t>
      </w:r>
      <w:r>
        <w:rPr>
          <w:rFonts w:ascii="Calibri" w:hAnsi="Calibri"/>
          <w:sz w:val="21"/>
        </w:rPr>
        <w:t>Hypothyroidism — most important treatable cause</w:t>
      </w:r>
    </w:p>
    <w:p w14:paraId="41C2B594" w14:textId="77777777" w:rsidR="004579D3" w:rsidRDefault="00000000" w:rsidP="00785AB1">
      <w:pPr>
        <w:pStyle w:val="ListBullet"/>
        <w:spacing w:before="20" w:after="40"/>
        <w:ind w:right="-427"/>
      </w:pPr>
      <w:r>
        <w:rPr>
          <w:rFonts w:ascii="Calibri" w:hAnsi="Calibri"/>
          <w:b/>
          <w:sz w:val="21"/>
        </w:rPr>
        <w:t xml:space="preserve">ESR/CRP: </w:t>
      </w:r>
      <w:r>
        <w:rPr>
          <w:rFonts w:ascii="Calibri" w:hAnsi="Calibri"/>
          <w:sz w:val="21"/>
        </w:rPr>
        <w:t>Systemic inflammation (IBD, chronic infection)</w:t>
      </w:r>
    </w:p>
    <w:p w14:paraId="65BCD8F0" w14:textId="77777777" w:rsidR="004579D3" w:rsidRDefault="00000000" w:rsidP="00785AB1">
      <w:pPr>
        <w:pStyle w:val="ListBullet"/>
        <w:spacing w:before="20" w:after="40"/>
        <w:ind w:right="-427"/>
      </w:pPr>
      <w:r>
        <w:rPr>
          <w:rFonts w:ascii="Calibri" w:hAnsi="Calibri"/>
          <w:b/>
          <w:sz w:val="21"/>
        </w:rPr>
        <w:t xml:space="preserve">Coeliac screen: </w:t>
      </w:r>
      <w:r>
        <w:rPr>
          <w:rFonts w:ascii="Calibri" w:hAnsi="Calibri"/>
          <w:sz w:val="21"/>
        </w:rPr>
        <w:t>Anti-TTG IgA + total IgA (malabsorption)</w:t>
      </w:r>
    </w:p>
    <w:p w14:paraId="18DB57CA" w14:textId="77777777" w:rsidR="004579D3" w:rsidRDefault="00000000" w:rsidP="00785AB1">
      <w:pPr>
        <w:pStyle w:val="ListBullet"/>
        <w:spacing w:before="20" w:after="40"/>
        <w:ind w:right="-427"/>
      </w:pPr>
      <w:r>
        <w:rPr>
          <w:rFonts w:ascii="Calibri" w:hAnsi="Calibri"/>
          <w:b/>
          <w:sz w:val="21"/>
        </w:rPr>
        <w:t xml:space="preserve">IGF-1 / IGFBP-3: </w:t>
      </w:r>
      <w:r>
        <w:rPr>
          <w:rFonts w:ascii="Calibri" w:hAnsi="Calibri"/>
          <w:sz w:val="21"/>
        </w:rPr>
        <w:t>Screening for GH deficiency</w:t>
      </w:r>
    </w:p>
    <w:p w14:paraId="31C3A9BD" w14:textId="77777777" w:rsidR="004579D3" w:rsidRDefault="00000000" w:rsidP="00785AB1">
      <w:pPr>
        <w:pStyle w:val="ListBullet"/>
        <w:spacing w:before="20" w:after="40"/>
        <w:ind w:right="-427"/>
      </w:pPr>
      <w:r>
        <w:rPr>
          <w:rFonts w:ascii="Calibri" w:hAnsi="Calibri"/>
          <w:b/>
          <w:sz w:val="21"/>
        </w:rPr>
        <w:t xml:space="preserve">LH, FSH: </w:t>
      </w:r>
      <w:r>
        <w:rPr>
          <w:rFonts w:ascii="Calibri" w:hAnsi="Calibri"/>
          <w:sz w:val="21"/>
        </w:rPr>
        <w:t>If delayed puberty or Turner's suspected</w:t>
      </w:r>
    </w:p>
    <w:p w14:paraId="3A538AD5" w14:textId="77777777" w:rsidR="004579D3" w:rsidRDefault="00000000" w:rsidP="00785AB1">
      <w:pPr>
        <w:spacing w:before="280" w:after="80"/>
        <w:ind w:right="-427"/>
      </w:pPr>
      <w:r>
        <w:rPr>
          <w:rFonts w:ascii="Calibri" w:hAnsi="Calibri"/>
          <w:b/>
          <w:color w:val="0D7377"/>
          <w:sz w:val="24"/>
        </w:rPr>
        <w:t>Specialist Investigations (Secondary/Tertiary Care)</w:t>
      </w:r>
    </w:p>
    <w:p w14:paraId="3201D8AF" w14:textId="77777777" w:rsidR="004579D3" w:rsidRDefault="00000000" w:rsidP="00785AB1">
      <w:pPr>
        <w:pStyle w:val="ListBullet"/>
        <w:spacing w:before="20" w:after="40"/>
        <w:ind w:left="283" w:right="-427"/>
      </w:pPr>
      <w:r>
        <w:rPr>
          <w:rFonts w:ascii="Calibri" w:hAnsi="Calibri"/>
          <w:sz w:val="21"/>
        </w:rPr>
        <w:t>Karyotyping — suspected Turner syndrome (karyotype all short girls without clear cause)</w:t>
      </w:r>
    </w:p>
    <w:p w14:paraId="0BE27A1C" w14:textId="77777777" w:rsidR="004579D3" w:rsidRDefault="00000000" w:rsidP="00785AB1">
      <w:pPr>
        <w:pStyle w:val="ListBullet"/>
        <w:spacing w:before="20" w:after="40"/>
        <w:ind w:left="283" w:right="-427"/>
      </w:pPr>
      <w:r>
        <w:rPr>
          <w:rFonts w:ascii="Calibri" w:hAnsi="Calibri"/>
          <w:sz w:val="21"/>
        </w:rPr>
        <w:t>GH provocation test — for confirmed/suspected GH deficiency</w:t>
      </w:r>
    </w:p>
    <w:p w14:paraId="0A73310F" w14:textId="77777777" w:rsidR="004579D3" w:rsidRDefault="00000000" w:rsidP="00785AB1">
      <w:pPr>
        <w:pStyle w:val="ListBullet"/>
        <w:spacing w:before="20" w:after="40"/>
        <w:ind w:left="283" w:right="-427"/>
      </w:pPr>
      <w:r>
        <w:rPr>
          <w:rFonts w:ascii="Calibri" w:hAnsi="Calibri"/>
          <w:sz w:val="21"/>
        </w:rPr>
        <w:t>Bone age — X-ray of left wrist and hand (compares skeletal vs chronological age)</w:t>
      </w:r>
    </w:p>
    <w:p w14:paraId="002DB85D" w14:textId="77777777" w:rsidR="004579D3" w:rsidRDefault="00000000" w:rsidP="00785AB1">
      <w:pPr>
        <w:pStyle w:val="ListBullet"/>
        <w:spacing w:before="20" w:after="40"/>
        <w:ind w:left="283" w:right="-427"/>
      </w:pPr>
      <w:r>
        <w:rPr>
          <w:rFonts w:ascii="Calibri" w:hAnsi="Calibri"/>
          <w:sz w:val="21"/>
        </w:rPr>
        <w:t>MRI brain — if craniopharyngioma or CNS pathology suspected</w:t>
      </w:r>
    </w:p>
    <w:p w14:paraId="750665D4" w14:textId="77777777" w:rsidR="004579D3" w:rsidRDefault="00000000" w:rsidP="00785AB1">
      <w:pPr>
        <w:pStyle w:val="ListBullet"/>
        <w:spacing w:before="20" w:after="40"/>
        <w:ind w:left="283" w:right="-427"/>
      </w:pPr>
      <w:r>
        <w:rPr>
          <w:rFonts w:ascii="Calibri" w:hAnsi="Calibri"/>
          <w:sz w:val="21"/>
        </w:rPr>
        <w:t>Skeletal survey/anthropometry — chondrodystrophies (at child development centres)</w:t>
      </w:r>
    </w:p>
    <w:p w14:paraId="117D7001" w14:textId="77777777" w:rsidR="004579D3" w:rsidRDefault="004579D3" w:rsidP="00785AB1">
      <w:pPr>
        <w:ind w:right="-427"/>
      </w:pPr>
    </w:p>
    <w:p w14:paraId="276F7D06" w14:textId="42478C12" w:rsidR="004579D3" w:rsidRPr="00785AB1" w:rsidRDefault="00785AB1" w:rsidP="00785AB1">
      <w:pPr>
        <w:rPr>
          <w:rFonts w:ascii="Calibri" w:hAnsi="Calibri"/>
          <w:b/>
          <w:color w:val="1B3A6B"/>
          <w:sz w:val="28"/>
        </w:rPr>
      </w:pPr>
      <w:r>
        <w:rPr>
          <w:rFonts w:ascii="Calibri" w:hAnsi="Calibri"/>
          <w:b/>
          <w:color w:val="1B3A6B"/>
          <w:sz w:val="28"/>
        </w:rPr>
        <w:br w:type="page"/>
      </w:r>
    </w:p>
    <w:p w14:paraId="7B1C03DA" w14:textId="77777777" w:rsidR="004579D3" w:rsidRDefault="00000000" w:rsidP="00785AB1">
      <w:pPr>
        <w:spacing w:before="280" w:after="80"/>
        <w:ind w:right="-427"/>
      </w:pPr>
      <w:r>
        <w:rPr>
          <w:rFonts w:ascii="Calibri" w:hAnsi="Calibri"/>
          <w:b/>
          <w:color w:val="1B3A6B"/>
          <w:sz w:val="28"/>
        </w:rPr>
        <w:lastRenderedPageBreak/>
        <w:t>Tall Stature</w:t>
      </w:r>
    </w:p>
    <w:p w14:paraId="7CCCCDA2" w14:textId="77777777" w:rsidR="004579D3" w:rsidRDefault="00000000" w:rsidP="00785AB1">
      <w:pPr>
        <w:spacing w:before="20" w:after="80"/>
        <w:ind w:right="-427"/>
      </w:pPr>
      <w:r>
        <w:rPr>
          <w:rFonts w:ascii="Calibri" w:hAnsi="Calibri"/>
          <w:sz w:val="21"/>
        </w:rPr>
        <w:t>Tall stature is a rare complaint. Most common concern: parents worried daughters will become excessively tall. Refer early — treatment outcome is time-dependent.</w:t>
      </w:r>
    </w:p>
    <w:tbl>
      <w:tblPr>
        <w:tblStyle w:val="TableGrid"/>
        <w:tblW w:w="9200" w:type="dxa"/>
        <w:tblLook w:val="04A0" w:firstRow="1" w:lastRow="0" w:firstColumn="1" w:lastColumn="0" w:noHBand="0" w:noVBand="1"/>
      </w:tblPr>
      <w:tblGrid>
        <w:gridCol w:w="4601"/>
        <w:gridCol w:w="4599"/>
      </w:tblGrid>
      <w:tr w:rsidR="004579D3" w14:paraId="1D1EFFC5" w14:textId="77777777">
        <w:tc>
          <w:tcPr>
            <w:tcW w:w="4819" w:type="dxa"/>
            <w:shd w:val="clear" w:color="auto" w:fill="1B3A6B"/>
          </w:tcPr>
          <w:p w14:paraId="57F9C167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b/>
                <w:color w:val="FFFFFF"/>
                <w:sz w:val="20"/>
              </w:rPr>
              <w:t>Cause</w:t>
            </w:r>
          </w:p>
        </w:tc>
        <w:tc>
          <w:tcPr>
            <w:tcW w:w="4819" w:type="dxa"/>
            <w:shd w:val="clear" w:color="auto" w:fill="1B3A6B"/>
          </w:tcPr>
          <w:p w14:paraId="237D6882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b/>
                <w:color w:val="FFFFFF"/>
                <w:sz w:val="20"/>
              </w:rPr>
              <w:t>Key Features</w:t>
            </w:r>
          </w:p>
        </w:tc>
      </w:tr>
      <w:tr w:rsidR="004579D3" w14:paraId="6DF295A6" w14:textId="77777777">
        <w:tc>
          <w:tcPr>
            <w:tcW w:w="4819" w:type="dxa"/>
            <w:shd w:val="clear" w:color="auto" w:fill="EBF5FB"/>
          </w:tcPr>
          <w:p w14:paraId="4946F96A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Familial/Genetic</w:t>
            </w:r>
          </w:p>
        </w:tc>
        <w:tc>
          <w:tcPr>
            <w:tcW w:w="4819" w:type="dxa"/>
            <w:shd w:val="clear" w:color="auto" w:fill="EBF5FB"/>
          </w:tcPr>
          <w:p w14:paraId="42DB30F9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Most common; parents tall; no treatment needed</w:t>
            </w:r>
          </w:p>
        </w:tc>
      </w:tr>
      <w:tr w:rsidR="004579D3" w14:paraId="749E3283" w14:textId="77777777">
        <w:tc>
          <w:tcPr>
            <w:tcW w:w="4819" w:type="dxa"/>
            <w:shd w:val="clear" w:color="auto" w:fill="FFFFFF"/>
          </w:tcPr>
          <w:p w14:paraId="0E63EF4E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Marfan Syndrome</w:t>
            </w:r>
          </w:p>
        </w:tc>
        <w:tc>
          <w:tcPr>
            <w:tcW w:w="4819" w:type="dxa"/>
            <w:shd w:val="clear" w:color="auto" w:fill="FFFFFF"/>
          </w:tcPr>
          <w:p w14:paraId="2AE02954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Arm span &gt; height; arachnodactyly; lens dislocation; aortic root dilatation → echo</w:t>
            </w:r>
          </w:p>
        </w:tc>
      </w:tr>
      <w:tr w:rsidR="004579D3" w14:paraId="705A3009" w14:textId="77777777">
        <w:tc>
          <w:tcPr>
            <w:tcW w:w="4819" w:type="dxa"/>
            <w:shd w:val="clear" w:color="auto" w:fill="EBF5FB"/>
          </w:tcPr>
          <w:p w14:paraId="7404B1DD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Klinefelter Syndrome (47,XXY)</w:t>
            </w:r>
          </w:p>
        </w:tc>
        <w:tc>
          <w:tcPr>
            <w:tcW w:w="4819" w:type="dxa"/>
            <w:shd w:val="clear" w:color="auto" w:fill="EBF5FB"/>
          </w:tcPr>
          <w:p w14:paraId="7328693D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Males; tall; small testes; hypogonadism; infertility; learning difficulties</w:t>
            </w:r>
          </w:p>
        </w:tc>
      </w:tr>
      <w:tr w:rsidR="004579D3" w14:paraId="786FB7A4" w14:textId="77777777">
        <w:tc>
          <w:tcPr>
            <w:tcW w:w="4819" w:type="dxa"/>
            <w:shd w:val="clear" w:color="auto" w:fill="FFFFFF"/>
          </w:tcPr>
          <w:p w14:paraId="4EF1B23E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Thyrotoxicosis</w:t>
            </w:r>
          </w:p>
        </w:tc>
        <w:tc>
          <w:tcPr>
            <w:tcW w:w="4819" w:type="dxa"/>
            <w:shd w:val="clear" w:color="auto" w:fill="FFFFFF"/>
          </w:tcPr>
          <w:p w14:paraId="294FE0CC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Accelerated growth velocity; hyperthyroid symptoms</w:t>
            </w:r>
          </w:p>
        </w:tc>
      </w:tr>
      <w:tr w:rsidR="004579D3" w14:paraId="07350859" w14:textId="77777777">
        <w:tc>
          <w:tcPr>
            <w:tcW w:w="4819" w:type="dxa"/>
            <w:shd w:val="clear" w:color="auto" w:fill="EBF5FB"/>
          </w:tcPr>
          <w:p w14:paraId="70E4FDFE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GH Excess</w:t>
            </w:r>
          </w:p>
        </w:tc>
        <w:tc>
          <w:tcPr>
            <w:tcW w:w="4819" w:type="dxa"/>
            <w:shd w:val="clear" w:color="auto" w:fill="EBF5FB"/>
          </w:tcPr>
          <w:p w14:paraId="1BF0FD60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Very rare; pituitary adenoma → gigantism (pre-fusion) or acromegaly (post-fusion)</w:t>
            </w:r>
          </w:p>
        </w:tc>
      </w:tr>
      <w:tr w:rsidR="004579D3" w14:paraId="1CA820B1" w14:textId="77777777">
        <w:tc>
          <w:tcPr>
            <w:tcW w:w="4819" w:type="dxa"/>
            <w:shd w:val="clear" w:color="auto" w:fill="FFFFFF"/>
          </w:tcPr>
          <w:p w14:paraId="188DE1DA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Precocious Puberty</w:t>
            </w:r>
          </w:p>
        </w:tc>
        <w:tc>
          <w:tcPr>
            <w:tcW w:w="4819" w:type="dxa"/>
            <w:shd w:val="clear" w:color="auto" w:fill="FFFFFF"/>
          </w:tcPr>
          <w:p w14:paraId="161E1F6C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Initially tall but early fusion → short final adult height; refer urgently</w:t>
            </w:r>
          </w:p>
        </w:tc>
      </w:tr>
    </w:tbl>
    <w:p w14:paraId="78FAF173" w14:textId="77777777" w:rsidR="004579D3" w:rsidRDefault="004579D3" w:rsidP="00785AB1">
      <w:pPr>
        <w:ind w:right="-427"/>
      </w:pPr>
    </w:p>
    <w:tbl>
      <w:tblPr>
        <w:tblStyle w:val="TableGrid"/>
        <w:tblW w:w="9200" w:type="dxa"/>
        <w:jc w:val="center"/>
        <w:tblLook w:val="04A0" w:firstRow="1" w:lastRow="0" w:firstColumn="1" w:lastColumn="0" w:noHBand="0" w:noVBand="1"/>
      </w:tblPr>
      <w:tblGrid>
        <w:gridCol w:w="9200"/>
      </w:tblGrid>
      <w:tr w:rsidR="004579D3" w14:paraId="680F18EF" w14:textId="77777777">
        <w:trPr>
          <w:jc w:val="center"/>
        </w:trPr>
        <w:tc>
          <w:tcPr>
            <w:tcW w:w="9638" w:type="dxa"/>
            <w:tcBorders>
              <w:top w:val="single" w:sz="6" w:space="0" w:color="C0392B"/>
              <w:left w:val="single" w:sz="6" w:space="0" w:color="C0392B"/>
              <w:bottom w:val="single" w:sz="6" w:space="0" w:color="C0392B"/>
              <w:right w:val="single" w:sz="6" w:space="0" w:color="C0392B"/>
            </w:tcBorders>
            <w:shd w:val="clear" w:color="auto" w:fill="FDEDEC"/>
          </w:tcPr>
          <w:p w14:paraId="4E0DD019" w14:textId="77777777" w:rsidR="004579D3" w:rsidRDefault="00000000" w:rsidP="00785AB1">
            <w:pPr>
              <w:spacing w:before="120" w:after="60"/>
              <w:ind w:right="-427"/>
            </w:pPr>
            <w:r>
              <w:rPr>
                <w:rFonts w:ascii="Calibri" w:hAnsi="Calibri"/>
                <w:b/>
                <w:color w:val="C0392B"/>
              </w:rPr>
              <w:t>🚨 Red Flags — Refer Promptly</w:t>
            </w:r>
          </w:p>
          <w:p w14:paraId="02F52AB9" w14:textId="77777777" w:rsidR="004579D3" w:rsidRDefault="00000000" w:rsidP="00785AB1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>• Height below 0.4th centile → investigate and refer</w:t>
            </w:r>
          </w:p>
          <w:p w14:paraId="1274B44E" w14:textId="77777777" w:rsidR="004579D3" w:rsidRDefault="00000000" w:rsidP="00785AB1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>• Crossing ≥2 centile spaces over ≥12 months → investigate and refer</w:t>
            </w:r>
          </w:p>
          <w:p w14:paraId="2235D78D" w14:textId="77777777" w:rsidR="004579D3" w:rsidRDefault="00000000" w:rsidP="00785AB1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>• Weight/height discrepancy (W &gt;&gt; H on centiles) → primary growth disorder</w:t>
            </w:r>
          </w:p>
          <w:p w14:paraId="069B0415" w14:textId="77777777" w:rsidR="004579D3" w:rsidRDefault="00000000" w:rsidP="00785AB1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>• Growth failure + headaches + visual symptoms → URGENT: craniopharyngioma</w:t>
            </w:r>
          </w:p>
          <w:p w14:paraId="03F85487" w14:textId="77777777" w:rsidR="004579D3" w:rsidRDefault="00000000" w:rsidP="00785AB1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>• Short stature + fatigue + weight gain + constipation → TFTs urgently (hypothyroidism)</w:t>
            </w:r>
          </w:p>
          <w:p w14:paraId="68CF69AD" w14:textId="77777777" w:rsidR="004579D3" w:rsidRDefault="00000000" w:rsidP="00785AB1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>• Short girl without clear diagnosis for short stature → karyotype (Turner syndrome)</w:t>
            </w:r>
          </w:p>
          <w:p w14:paraId="7815F93F" w14:textId="77777777" w:rsidR="004579D3" w:rsidRDefault="00000000" w:rsidP="00785AB1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>• Tall stature + cardiac murmur or symptoms → echo (Marfan syndrome)</w:t>
            </w:r>
          </w:p>
          <w:p w14:paraId="7E07D933" w14:textId="77777777" w:rsidR="004579D3" w:rsidRDefault="00000000" w:rsidP="00785AB1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>• Neonatal weight loss &gt;10% or not regained by day 14 → urgent medical review</w:t>
            </w:r>
          </w:p>
          <w:p w14:paraId="0E24685A" w14:textId="77777777" w:rsidR="004579D3" w:rsidRDefault="00000000" w:rsidP="00785AB1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>• Precocious puberty → urgent referral (early epiphyseal fusion → short adult height)</w:t>
            </w:r>
          </w:p>
          <w:p w14:paraId="25C3EAB0" w14:textId="77777777" w:rsidR="004579D3" w:rsidRDefault="004579D3" w:rsidP="00785AB1">
            <w:pPr>
              <w:spacing w:after="120"/>
              <w:ind w:right="-427"/>
            </w:pPr>
          </w:p>
        </w:tc>
      </w:tr>
    </w:tbl>
    <w:p w14:paraId="263C6F1A" w14:textId="29FA8213" w:rsidR="00785AB1" w:rsidRDefault="00785AB1" w:rsidP="00785AB1">
      <w:pPr>
        <w:ind w:right="-427"/>
      </w:pPr>
    </w:p>
    <w:p w14:paraId="0A5CCB1A" w14:textId="77777777" w:rsidR="00785AB1" w:rsidRDefault="00785AB1">
      <w:r>
        <w:br w:type="page"/>
      </w:r>
    </w:p>
    <w:p w14:paraId="10B5D008" w14:textId="77777777" w:rsidR="004579D3" w:rsidRDefault="004579D3" w:rsidP="00785AB1">
      <w:pPr>
        <w:ind w:right="-427"/>
      </w:pPr>
    </w:p>
    <w:tbl>
      <w:tblPr>
        <w:tblStyle w:val="TableGrid"/>
        <w:tblW w:w="9200" w:type="dxa"/>
        <w:jc w:val="center"/>
        <w:tblLook w:val="04A0" w:firstRow="1" w:lastRow="0" w:firstColumn="1" w:lastColumn="0" w:noHBand="0" w:noVBand="1"/>
      </w:tblPr>
      <w:tblGrid>
        <w:gridCol w:w="9200"/>
      </w:tblGrid>
      <w:tr w:rsidR="004579D3" w14:paraId="54AE4E66" w14:textId="77777777">
        <w:trPr>
          <w:jc w:val="center"/>
        </w:trPr>
        <w:tc>
          <w:tcPr>
            <w:tcW w:w="9638" w:type="dxa"/>
            <w:tcBorders>
              <w:top w:val="single" w:sz="6" w:space="0" w:color="E8A000"/>
              <w:left w:val="single" w:sz="6" w:space="0" w:color="E8A000"/>
              <w:bottom w:val="single" w:sz="6" w:space="0" w:color="E8A000"/>
              <w:right w:val="single" w:sz="6" w:space="0" w:color="E8A000"/>
            </w:tcBorders>
            <w:shd w:val="clear" w:color="auto" w:fill="FFF8E7"/>
          </w:tcPr>
          <w:p w14:paraId="777F0FF5" w14:textId="77777777" w:rsidR="004579D3" w:rsidRDefault="00000000" w:rsidP="00785AB1">
            <w:pPr>
              <w:spacing w:before="120" w:after="60"/>
              <w:ind w:right="-427"/>
            </w:pPr>
            <w:r>
              <w:rPr>
                <w:rFonts w:ascii="Calibri" w:hAnsi="Calibri"/>
                <w:b/>
                <w:color w:val="E8A000"/>
              </w:rPr>
              <w:t>⭐ Top Tips for GP Trainees</w:t>
            </w:r>
          </w:p>
          <w:p w14:paraId="60943033" w14:textId="77777777" w:rsidR="004579D3" w:rsidRDefault="00000000" w:rsidP="00785AB1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>1. Measure accurately — the most common cause of apparent growth faltering is measurement error.</w:t>
            </w:r>
          </w:p>
          <w:p w14:paraId="3009FAA8" w14:textId="77777777" w:rsidR="004579D3" w:rsidRDefault="00000000" w:rsidP="00785AB1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>2. Growth velocity over time beats a single measurement — get past records first.</w:t>
            </w:r>
          </w:p>
          <w:p w14:paraId="09E1C89D" w14:textId="77777777" w:rsidR="004579D3" w:rsidRDefault="00000000" w:rsidP="00785AB1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>3. Always correct for prematurity up to age 2.</w:t>
            </w:r>
          </w:p>
          <w:p w14:paraId="35D9F0C0" w14:textId="77777777" w:rsidR="004579D3" w:rsidRDefault="00000000" w:rsidP="00785AB1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>4. Calculate and plot mid-parental height — it contextualises the child's centile.</w:t>
            </w:r>
          </w:p>
          <w:p w14:paraId="04F5B4B2" w14:textId="77777777" w:rsidR="004579D3" w:rsidRDefault="00000000" w:rsidP="00785AB1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>5. TFTs first in short stature work-up — hypothyroidism is the most important treatable cause.</w:t>
            </w:r>
          </w:p>
          <w:p w14:paraId="6121B3F4" w14:textId="77777777" w:rsidR="004579D3" w:rsidRDefault="00000000" w:rsidP="00785AB1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>6. Karyotype all short girls without a clear explanation — Turner's is commonly missed.</w:t>
            </w:r>
          </w:p>
          <w:p w14:paraId="650186AF" w14:textId="77777777" w:rsidR="004579D3" w:rsidRDefault="00000000" w:rsidP="00785AB1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>7. Craniopharyngioma: growth failure + headaches + visual symptoms = same-day referral.</w:t>
            </w:r>
          </w:p>
          <w:p w14:paraId="0698C8C3" w14:textId="77777777" w:rsidR="004579D3" w:rsidRDefault="00000000" w:rsidP="00785AB1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>8. NICE NG75: don't weigh babies too often — excessive weighing increases parental anxiety.</w:t>
            </w:r>
          </w:p>
          <w:p w14:paraId="2E5A8482" w14:textId="77777777" w:rsidR="004579D3" w:rsidRDefault="00000000" w:rsidP="00785AB1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>9. Faltering growth is almost always multifactorial — assess nutrition, social situation, and medical causes simultaneously.</w:t>
            </w:r>
          </w:p>
          <w:p w14:paraId="619A3462" w14:textId="77777777" w:rsidR="004579D3" w:rsidRDefault="00000000" w:rsidP="00785AB1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>10. Earlier referral = better outcome for hormonal causes.</w:t>
            </w:r>
          </w:p>
          <w:p w14:paraId="73D8868A" w14:textId="77777777" w:rsidR="004579D3" w:rsidRDefault="004579D3" w:rsidP="00785AB1">
            <w:pPr>
              <w:spacing w:after="120"/>
              <w:ind w:right="-427"/>
            </w:pPr>
          </w:p>
        </w:tc>
      </w:tr>
    </w:tbl>
    <w:p w14:paraId="3E02790B" w14:textId="77777777" w:rsidR="004579D3" w:rsidRDefault="004579D3" w:rsidP="00785AB1">
      <w:pPr>
        <w:ind w:right="-427"/>
      </w:pPr>
    </w:p>
    <w:tbl>
      <w:tblPr>
        <w:tblStyle w:val="TableGrid"/>
        <w:tblW w:w="9200" w:type="dxa"/>
        <w:jc w:val="center"/>
        <w:tblLook w:val="04A0" w:firstRow="1" w:lastRow="0" w:firstColumn="1" w:lastColumn="0" w:noHBand="0" w:noVBand="1"/>
      </w:tblPr>
      <w:tblGrid>
        <w:gridCol w:w="9200"/>
      </w:tblGrid>
      <w:tr w:rsidR="004579D3" w14:paraId="1BCD3566" w14:textId="77777777">
        <w:trPr>
          <w:jc w:val="center"/>
        </w:trPr>
        <w:tc>
          <w:tcPr>
            <w:tcW w:w="9638" w:type="dxa"/>
            <w:tcBorders>
              <w:top w:val="single" w:sz="6" w:space="0" w:color="5E3B8C"/>
              <w:left w:val="single" w:sz="6" w:space="0" w:color="5E3B8C"/>
              <w:bottom w:val="single" w:sz="6" w:space="0" w:color="5E3B8C"/>
              <w:right w:val="single" w:sz="6" w:space="0" w:color="5E3B8C"/>
            </w:tcBorders>
            <w:shd w:val="clear" w:color="auto" w:fill="F5EEF8"/>
          </w:tcPr>
          <w:p w14:paraId="7FEA7A9A" w14:textId="77777777" w:rsidR="004579D3" w:rsidRDefault="00000000" w:rsidP="00785AB1">
            <w:pPr>
              <w:spacing w:before="120" w:after="60"/>
              <w:ind w:right="-427"/>
            </w:pPr>
            <w:r>
              <w:rPr>
                <w:rFonts w:ascii="Calibri" w:hAnsi="Calibri"/>
                <w:b/>
                <w:color w:val="5E3B8C"/>
              </w:rPr>
              <w:t>🟣 AKT Exam Pearls</w:t>
            </w:r>
          </w:p>
          <w:p w14:paraId="616E5D74" w14:textId="77777777" w:rsidR="004579D3" w:rsidRDefault="00000000" w:rsidP="00785AB1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>• Short stature threshold: height below the 0.4th centile (NOT 3rd centile — outdated)</w:t>
            </w:r>
          </w:p>
          <w:p w14:paraId="6204208D" w14:textId="77777777" w:rsidR="004579D3" w:rsidRDefault="00000000" w:rsidP="00785AB1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>• UK-WHO 0–4 yr charts introduced for babies born after 11 May 2009</w:t>
            </w:r>
          </w:p>
          <w:p w14:paraId="5361B343" w14:textId="77777777" w:rsidR="004579D3" w:rsidRDefault="00000000" w:rsidP="00785AB1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>• NICE NG75 (2017) — current faltering growth guideline (not superseded as of 2026)</w:t>
            </w:r>
          </w:p>
          <w:p w14:paraId="6626FCB6" w14:textId="77777777" w:rsidR="004579D3" w:rsidRDefault="00000000" w:rsidP="00785AB1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>• Normal neonatal weight loss: up to 7%; concern: &gt;10% or not regained by day 14</w:t>
            </w:r>
          </w:p>
          <w:p w14:paraId="00B9B720" w14:textId="77777777" w:rsidR="004579D3" w:rsidRDefault="00000000" w:rsidP="00785AB1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>• Growth velocity: 2 measurements ≥12 months apart — more informative than a single point</w:t>
            </w:r>
          </w:p>
          <w:p w14:paraId="6FB2F467" w14:textId="77777777" w:rsidR="004579D3" w:rsidRDefault="00000000" w:rsidP="00785AB1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>• Supine length: up to age 2; standing height: from age 2</w:t>
            </w:r>
          </w:p>
          <w:p w14:paraId="3F5712F3" w14:textId="77777777" w:rsidR="004579D3" w:rsidRDefault="00000000" w:rsidP="00785AB1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>• Best first-line test for short stature: TFTs (hypothyroidism most important treatable cause)</w:t>
            </w:r>
          </w:p>
          <w:p w14:paraId="0A7EB924" w14:textId="77777777" w:rsidR="004579D3" w:rsidRDefault="00000000" w:rsidP="00785AB1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>• Turner syndrome: karyotype all short girls without clear explanation</w:t>
            </w:r>
          </w:p>
          <w:p w14:paraId="3A914AC8" w14:textId="77777777" w:rsidR="004579D3" w:rsidRDefault="00000000" w:rsidP="00785AB1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>• GH deficiency confirmed by: GH provocation test (specialist)</w:t>
            </w:r>
          </w:p>
          <w:p w14:paraId="72EEB70A" w14:textId="77777777" w:rsidR="004579D3" w:rsidRDefault="00000000" w:rsidP="00785AB1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>• Bone age: X-ray of left wrist and hand</w:t>
            </w:r>
          </w:p>
          <w:p w14:paraId="4AF0F969" w14:textId="77777777" w:rsidR="004579D3" w:rsidRDefault="00000000" w:rsidP="00785AB1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>• Familial short stature: bone age = chronological age</w:t>
            </w:r>
          </w:p>
          <w:p w14:paraId="199D17E0" w14:textId="77777777" w:rsidR="004579D3" w:rsidRDefault="00000000" w:rsidP="00785AB1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>• CDGP: bone age &lt; chronological age</w:t>
            </w:r>
          </w:p>
          <w:p w14:paraId="3AA9A0FA" w14:textId="77777777" w:rsidR="004579D3" w:rsidRDefault="00000000" w:rsidP="00785AB1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>• Marfan syndrome: arm span &gt; height, lens dislocation, aortic root dilatation</w:t>
            </w:r>
          </w:p>
          <w:p w14:paraId="18915DEE" w14:textId="77777777" w:rsidR="004579D3" w:rsidRDefault="004579D3" w:rsidP="00785AB1">
            <w:pPr>
              <w:spacing w:after="120"/>
              <w:ind w:right="-427"/>
            </w:pPr>
          </w:p>
        </w:tc>
      </w:tr>
    </w:tbl>
    <w:p w14:paraId="2A865DE7" w14:textId="77777777" w:rsidR="004579D3" w:rsidRDefault="004579D3" w:rsidP="00785AB1">
      <w:pPr>
        <w:ind w:right="-427"/>
      </w:pPr>
    </w:p>
    <w:tbl>
      <w:tblPr>
        <w:tblStyle w:val="TableGrid"/>
        <w:tblW w:w="9200" w:type="dxa"/>
        <w:jc w:val="center"/>
        <w:tblLook w:val="04A0" w:firstRow="1" w:lastRow="0" w:firstColumn="1" w:lastColumn="0" w:noHBand="0" w:noVBand="1"/>
      </w:tblPr>
      <w:tblGrid>
        <w:gridCol w:w="9200"/>
      </w:tblGrid>
      <w:tr w:rsidR="004579D3" w14:paraId="045127EB" w14:textId="77777777">
        <w:trPr>
          <w:jc w:val="center"/>
        </w:trPr>
        <w:tc>
          <w:tcPr>
            <w:tcW w:w="9638" w:type="dxa"/>
            <w:tcBorders>
              <w:top w:val="single" w:sz="6" w:space="0" w:color="0D7377"/>
              <w:left w:val="single" w:sz="6" w:space="0" w:color="0D7377"/>
              <w:bottom w:val="single" w:sz="6" w:space="0" w:color="0D7377"/>
              <w:right w:val="single" w:sz="6" w:space="0" w:color="0D7377"/>
            </w:tcBorders>
            <w:shd w:val="clear" w:color="auto" w:fill="E8F8F5"/>
          </w:tcPr>
          <w:p w14:paraId="7FCD2435" w14:textId="77777777" w:rsidR="004579D3" w:rsidRDefault="00000000" w:rsidP="00785AB1">
            <w:pPr>
              <w:spacing w:before="120" w:after="60"/>
              <w:ind w:right="-427"/>
            </w:pPr>
            <w:r>
              <w:rPr>
                <w:rFonts w:ascii="Calibri" w:hAnsi="Calibri"/>
                <w:b/>
                <w:color w:val="0D7377"/>
              </w:rPr>
              <w:t>🩵 SCA Consultation Pearls</w:t>
            </w:r>
          </w:p>
          <w:p w14:paraId="7BF2F56B" w14:textId="77777777" w:rsidR="004579D3" w:rsidRDefault="00000000" w:rsidP="00785AB1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>• Use the ICE framework: Ideas, Concerns, Expectations.</w:t>
            </w:r>
          </w:p>
          <w:p w14:paraId="32BE06ED" w14:textId="77777777" w:rsidR="004579D3" w:rsidRDefault="00000000" w:rsidP="00785AB1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>• Mid-parental height explanation: 'We can estimate how tall we'd expect your child to be as an adult based on your heights — let me plot that on the chart so we can compare.'</w:t>
            </w:r>
          </w:p>
          <w:p w14:paraId="3F1C9215" w14:textId="77777777" w:rsidR="004579D3" w:rsidRDefault="00000000" w:rsidP="00785AB1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>• Safety-netting: 'I'm referring to the growth specialist — they have the full range of tests. If any headaches or vision problems develop, please come back immediately.'</w:t>
            </w:r>
          </w:p>
          <w:p w14:paraId="461CFD41" w14:textId="77777777" w:rsidR="004579D3" w:rsidRDefault="00000000" w:rsidP="00785AB1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>• Breaking difficult news: 'I can see [child]'s height has been dropping on the growth chart. I want to look into this properly — I'd like to do some blood tests and refer to the specialist team. Many causes are very treatable, and the earlier we act, the better the outcome.'</w:t>
            </w:r>
          </w:p>
          <w:p w14:paraId="612C8758" w14:textId="77777777" w:rsidR="004579D3" w:rsidRDefault="004579D3" w:rsidP="00785AB1">
            <w:pPr>
              <w:spacing w:after="120"/>
              <w:ind w:right="-427"/>
            </w:pPr>
          </w:p>
        </w:tc>
      </w:tr>
    </w:tbl>
    <w:p w14:paraId="387519E5" w14:textId="62B3A044" w:rsidR="00785AB1" w:rsidRDefault="00785AB1" w:rsidP="00785AB1">
      <w:pPr>
        <w:ind w:right="-427"/>
      </w:pPr>
    </w:p>
    <w:p w14:paraId="20184B24" w14:textId="77777777" w:rsidR="00785AB1" w:rsidRDefault="00785AB1">
      <w:r>
        <w:br w:type="page"/>
      </w:r>
    </w:p>
    <w:p w14:paraId="01D4FB26" w14:textId="77777777" w:rsidR="004579D3" w:rsidRDefault="004579D3" w:rsidP="00785AB1">
      <w:pPr>
        <w:ind w:right="-427"/>
      </w:pPr>
    </w:p>
    <w:tbl>
      <w:tblPr>
        <w:tblStyle w:val="TableGrid"/>
        <w:tblW w:w="9200" w:type="dxa"/>
        <w:jc w:val="center"/>
        <w:tblLook w:val="04A0" w:firstRow="1" w:lastRow="0" w:firstColumn="1" w:lastColumn="0" w:noHBand="0" w:noVBand="1"/>
      </w:tblPr>
      <w:tblGrid>
        <w:gridCol w:w="9200"/>
      </w:tblGrid>
      <w:tr w:rsidR="004579D3" w14:paraId="601E4098" w14:textId="77777777">
        <w:trPr>
          <w:jc w:val="center"/>
        </w:trPr>
        <w:tc>
          <w:tcPr>
            <w:tcW w:w="9638" w:type="dxa"/>
            <w:tcBorders>
              <w:top w:val="single" w:sz="6" w:space="0" w:color="E8A000"/>
              <w:left w:val="single" w:sz="6" w:space="0" w:color="E8A000"/>
              <w:bottom w:val="single" w:sz="6" w:space="0" w:color="E8A000"/>
              <w:right w:val="single" w:sz="6" w:space="0" w:color="E8A000"/>
            </w:tcBorders>
            <w:shd w:val="clear" w:color="auto" w:fill="FFF8E7"/>
          </w:tcPr>
          <w:p w14:paraId="7F6F3084" w14:textId="77777777" w:rsidR="004579D3" w:rsidRDefault="00000000" w:rsidP="00785AB1">
            <w:pPr>
              <w:spacing w:before="120" w:after="60"/>
              <w:ind w:right="-427"/>
            </w:pPr>
            <w:r>
              <w:rPr>
                <w:rFonts w:ascii="Calibri" w:hAnsi="Calibri"/>
                <w:b/>
                <w:color w:val="E8A000"/>
              </w:rPr>
              <w:t>⚠️ Common Pitfalls — Don't Fall into These Traps</w:t>
            </w:r>
          </w:p>
          <w:p w14:paraId="67A53F59" w14:textId="77777777" w:rsidR="004579D3" w:rsidRDefault="00000000" w:rsidP="00785AB1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>1. Using outdated '3rd centile' short stature threshold — current standard is 0.4th centile.</w:t>
            </w:r>
          </w:p>
          <w:p w14:paraId="497C1BDD" w14:textId="77777777" w:rsidR="004579D3" w:rsidRDefault="00000000" w:rsidP="00785AB1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>2. Not correcting for prematurity — leads to unnecessary referral of normal ex-preterm infants.</w:t>
            </w:r>
          </w:p>
          <w:p w14:paraId="3945C1A8" w14:textId="77777777" w:rsidR="004579D3" w:rsidRDefault="00000000" w:rsidP="00785AB1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>3. Not measuring parents' heights — mid-parental height is often the most informative data point.</w:t>
            </w:r>
          </w:p>
          <w:p w14:paraId="442311BD" w14:textId="77777777" w:rsidR="004579D3" w:rsidRDefault="00000000" w:rsidP="00785AB1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>4. Missing Turner syndrome — always karyotype short girls without an obvious cause.</w:t>
            </w:r>
          </w:p>
          <w:p w14:paraId="106C52FC" w14:textId="77777777" w:rsidR="004579D3" w:rsidRDefault="00000000" w:rsidP="00785AB1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>5. Reassuring too quickly when height is below 0.4th centile without investigation.</w:t>
            </w:r>
          </w:p>
          <w:p w14:paraId="26B8406D" w14:textId="77777777" w:rsidR="004579D3" w:rsidRDefault="00000000" w:rsidP="00785AB1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>6. Missing craniopharyngioma — growth failure + neurological symptoms = urgent referral.</w:t>
            </w:r>
          </w:p>
          <w:p w14:paraId="058C55E4" w14:textId="77777777" w:rsidR="004579D3" w:rsidRDefault="00000000" w:rsidP="00785AB1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>7. Poor measuring technique (shoes not removed, not fully stretched) — underestimates by 1–2 cm.</w:t>
            </w:r>
          </w:p>
          <w:p w14:paraId="73C7B975" w14:textId="77777777" w:rsidR="004579D3" w:rsidRDefault="00000000" w:rsidP="00785AB1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>8. Comparing to historical 1959 Tanner charts — outdated. Use current UK-WHO/UK90 charts.</w:t>
            </w:r>
          </w:p>
          <w:p w14:paraId="5022AF18" w14:textId="77777777" w:rsidR="004579D3" w:rsidRDefault="00000000" w:rsidP="00785AB1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>9. Waiting too long to refer endocrine causes — treatment outcome is age-dependent.</w:t>
            </w:r>
          </w:p>
          <w:p w14:paraId="5DA413A5" w14:textId="77777777" w:rsidR="004579D3" w:rsidRDefault="00000000" w:rsidP="00785AB1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>10. Not plotting serial measurements — a single measurement in isolation is often misleading.</w:t>
            </w:r>
          </w:p>
          <w:p w14:paraId="7A92784E" w14:textId="77777777" w:rsidR="004579D3" w:rsidRDefault="004579D3" w:rsidP="00785AB1">
            <w:pPr>
              <w:spacing w:after="120"/>
              <w:ind w:right="-427"/>
            </w:pPr>
          </w:p>
        </w:tc>
      </w:tr>
    </w:tbl>
    <w:p w14:paraId="03A0F598" w14:textId="77777777" w:rsidR="004579D3" w:rsidRDefault="004579D3" w:rsidP="00785AB1">
      <w:pPr>
        <w:ind w:right="-427"/>
      </w:pPr>
    </w:p>
    <w:p w14:paraId="50FA6AAF" w14:textId="77777777" w:rsidR="004579D3" w:rsidRDefault="00000000" w:rsidP="00785AB1">
      <w:pPr>
        <w:spacing w:before="280" w:after="80"/>
        <w:ind w:right="-427"/>
      </w:pPr>
      <w:r>
        <w:rPr>
          <w:rFonts w:ascii="Calibri" w:hAnsi="Calibri"/>
          <w:b/>
          <w:color w:val="1B3A6B"/>
          <w:sz w:val="28"/>
        </w:rPr>
        <w:t>Referral Guide from Primary Care</w:t>
      </w:r>
    </w:p>
    <w:tbl>
      <w:tblPr>
        <w:tblStyle w:val="TableGrid"/>
        <w:tblW w:w="9200" w:type="dxa"/>
        <w:tblLook w:val="04A0" w:firstRow="1" w:lastRow="0" w:firstColumn="1" w:lastColumn="0" w:noHBand="0" w:noVBand="1"/>
      </w:tblPr>
      <w:tblGrid>
        <w:gridCol w:w="4612"/>
        <w:gridCol w:w="4588"/>
      </w:tblGrid>
      <w:tr w:rsidR="004579D3" w14:paraId="7ABF980C" w14:textId="77777777">
        <w:tc>
          <w:tcPr>
            <w:tcW w:w="4819" w:type="dxa"/>
            <w:shd w:val="clear" w:color="auto" w:fill="1B3A6B"/>
          </w:tcPr>
          <w:p w14:paraId="31DBAAB2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b/>
                <w:color w:val="FFFFFF"/>
                <w:sz w:val="20"/>
              </w:rPr>
              <w:t>Condition</w:t>
            </w:r>
          </w:p>
        </w:tc>
        <w:tc>
          <w:tcPr>
            <w:tcW w:w="4819" w:type="dxa"/>
            <w:shd w:val="clear" w:color="auto" w:fill="1B3A6B"/>
          </w:tcPr>
          <w:p w14:paraId="53303073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b/>
                <w:color w:val="FFFFFF"/>
                <w:sz w:val="20"/>
              </w:rPr>
              <w:t>Referral Pathway</w:t>
            </w:r>
          </w:p>
        </w:tc>
      </w:tr>
      <w:tr w:rsidR="004579D3" w14:paraId="10DD5992" w14:textId="77777777">
        <w:tc>
          <w:tcPr>
            <w:tcW w:w="4819" w:type="dxa"/>
            <w:shd w:val="clear" w:color="auto" w:fill="EBF5FB"/>
          </w:tcPr>
          <w:p w14:paraId="2338F042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Suspected hypothyroidism</w:t>
            </w:r>
          </w:p>
        </w:tc>
        <w:tc>
          <w:tcPr>
            <w:tcW w:w="4819" w:type="dxa"/>
            <w:shd w:val="clear" w:color="auto" w:fill="EBF5FB"/>
          </w:tcPr>
          <w:p w14:paraId="5A65DD08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TFTs first; if confirmed → paediatric endocrinology</w:t>
            </w:r>
          </w:p>
        </w:tc>
      </w:tr>
      <w:tr w:rsidR="004579D3" w14:paraId="5E1E1AAC" w14:textId="77777777">
        <w:tc>
          <w:tcPr>
            <w:tcW w:w="4819" w:type="dxa"/>
            <w:shd w:val="clear" w:color="auto" w:fill="FFFFFF"/>
          </w:tcPr>
          <w:p w14:paraId="16C1EB77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Suspected GH deficiency</w:t>
            </w:r>
          </w:p>
        </w:tc>
        <w:tc>
          <w:tcPr>
            <w:tcW w:w="4819" w:type="dxa"/>
            <w:shd w:val="clear" w:color="auto" w:fill="FFFFFF"/>
          </w:tcPr>
          <w:p w14:paraId="2872FB44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Paediatric endocrinology (IGF-1 screening first)</w:t>
            </w:r>
          </w:p>
        </w:tc>
      </w:tr>
      <w:tr w:rsidR="004579D3" w14:paraId="6C78DFC6" w14:textId="77777777">
        <w:tc>
          <w:tcPr>
            <w:tcW w:w="4819" w:type="dxa"/>
            <w:shd w:val="clear" w:color="auto" w:fill="EBF5FB"/>
          </w:tcPr>
          <w:p w14:paraId="43F21073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Turner syndrome suspected</w:t>
            </w:r>
          </w:p>
        </w:tc>
        <w:tc>
          <w:tcPr>
            <w:tcW w:w="4819" w:type="dxa"/>
            <w:shd w:val="clear" w:color="auto" w:fill="EBF5FB"/>
          </w:tcPr>
          <w:p w14:paraId="386DEF0F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Paediatric endocrinology; karyotyping</w:t>
            </w:r>
          </w:p>
        </w:tc>
      </w:tr>
      <w:tr w:rsidR="004579D3" w14:paraId="7F5C3720" w14:textId="77777777">
        <w:tc>
          <w:tcPr>
            <w:tcW w:w="4819" w:type="dxa"/>
            <w:shd w:val="clear" w:color="auto" w:fill="FFFFFF"/>
          </w:tcPr>
          <w:p w14:paraId="742D9A26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Craniopharyngioma suspected</w:t>
            </w:r>
          </w:p>
        </w:tc>
        <w:tc>
          <w:tcPr>
            <w:tcW w:w="4819" w:type="dxa"/>
            <w:shd w:val="clear" w:color="auto" w:fill="FFFFFF"/>
          </w:tcPr>
          <w:p w14:paraId="147FA150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Same-day/urgent → neurosurgery or paediatric endocrinology</w:t>
            </w:r>
          </w:p>
        </w:tc>
      </w:tr>
      <w:tr w:rsidR="004579D3" w14:paraId="7D79C8FD" w14:textId="77777777">
        <w:tc>
          <w:tcPr>
            <w:tcW w:w="4819" w:type="dxa"/>
            <w:shd w:val="clear" w:color="auto" w:fill="EBF5FB"/>
          </w:tcPr>
          <w:p w14:paraId="0FBBC841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Faltering growth (weight)</w:t>
            </w:r>
          </w:p>
        </w:tc>
        <w:tc>
          <w:tcPr>
            <w:tcW w:w="4819" w:type="dxa"/>
            <w:shd w:val="clear" w:color="auto" w:fill="EBF5FB"/>
          </w:tcPr>
          <w:p w14:paraId="31FE2262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HV-led community management (NICE NG75); dietitian; paeds if persistent</w:t>
            </w:r>
          </w:p>
        </w:tc>
      </w:tr>
      <w:tr w:rsidR="004579D3" w14:paraId="392A3D1A" w14:textId="77777777">
        <w:tc>
          <w:tcPr>
            <w:tcW w:w="4819" w:type="dxa"/>
            <w:shd w:val="clear" w:color="auto" w:fill="FFFFFF"/>
          </w:tcPr>
          <w:p w14:paraId="44208560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Chondrodystrophy</w:t>
            </w:r>
          </w:p>
        </w:tc>
        <w:tc>
          <w:tcPr>
            <w:tcW w:w="4819" w:type="dxa"/>
            <w:shd w:val="clear" w:color="auto" w:fill="FFFFFF"/>
          </w:tcPr>
          <w:p w14:paraId="2EA98A45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Paediatric orthopaedics / genetics</w:t>
            </w:r>
          </w:p>
        </w:tc>
      </w:tr>
      <w:tr w:rsidR="004579D3" w14:paraId="7A3EEF20" w14:textId="77777777">
        <w:tc>
          <w:tcPr>
            <w:tcW w:w="4819" w:type="dxa"/>
            <w:shd w:val="clear" w:color="auto" w:fill="EBF5FB"/>
          </w:tcPr>
          <w:p w14:paraId="2476E597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Marfan syndrome suspected</w:t>
            </w:r>
          </w:p>
        </w:tc>
        <w:tc>
          <w:tcPr>
            <w:tcW w:w="4819" w:type="dxa"/>
            <w:shd w:val="clear" w:color="auto" w:fill="EBF5FB"/>
          </w:tcPr>
          <w:p w14:paraId="00528EDA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Cardiology (echo) + genetics</w:t>
            </w:r>
          </w:p>
        </w:tc>
      </w:tr>
      <w:tr w:rsidR="004579D3" w14:paraId="306B1B20" w14:textId="77777777">
        <w:tc>
          <w:tcPr>
            <w:tcW w:w="4819" w:type="dxa"/>
            <w:shd w:val="clear" w:color="auto" w:fill="FFFFFF"/>
          </w:tcPr>
          <w:p w14:paraId="5B6885BA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Short stature, no clear cause</w:t>
            </w:r>
          </w:p>
        </w:tc>
        <w:tc>
          <w:tcPr>
            <w:tcW w:w="4819" w:type="dxa"/>
            <w:shd w:val="clear" w:color="auto" w:fill="FFFFFF"/>
          </w:tcPr>
          <w:p w14:paraId="53DF1666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Community paediatrician → paediatric endocrinology</w:t>
            </w:r>
          </w:p>
        </w:tc>
      </w:tr>
    </w:tbl>
    <w:p w14:paraId="17FC6CD3" w14:textId="77777777" w:rsidR="004579D3" w:rsidRDefault="004579D3" w:rsidP="00785AB1">
      <w:pPr>
        <w:ind w:right="-427"/>
      </w:pPr>
    </w:p>
    <w:p w14:paraId="49E79818" w14:textId="77777777" w:rsidR="004579D3" w:rsidRDefault="00000000" w:rsidP="00785AB1">
      <w:pPr>
        <w:spacing w:before="280" w:after="80"/>
        <w:ind w:right="-427"/>
      </w:pPr>
      <w:r>
        <w:rPr>
          <w:rFonts w:ascii="Calibri" w:hAnsi="Calibri"/>
          <w:b/>
          <w:color w:val="1B3A6B"/>
          <w:sz w:val="28"/>
        </w:rPr>
        <w:t>Quick Recall — High-Yield Growth Facts</w:t>
      </w:r>
    </w:p>
    <w:tbl>
      <w:tblPr>
        <w:tblStyle w:val="TableGrid"/>
        <w:tblW w:w="9200" w:type="dxa"/>
        <w:tblLook w:val="04A0" w:firstRow="1" w:lastRow="0" w:firstColumn="1" w:lastColumn="0" w:noHBand="0" w:noVBand="1"/>
      </w:tblPr>
      <w:tblGrid>
        <w:gridCol w:w="4599"/>
        <w:gridCol w:w="4601"/>
      </w:tblGrid>
      <w:tr w:rsidR="004579D3" w14:paraId="16957537" w14:textId="77777777">
        <w:tc>
          <w:tcPr>
            <w:tcW w:w="4819" w:type="dxa"/>
            <w:shd w:val="clear" w:color="auto" w:fill="1B3A6B"/>
          </w:tcPr>
          <w:p w14:paraId="54C2A875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b/>
                <w:color w:val="FFFFFF"/>
                <w:sz w:val="20"/>
              </w:rPr>
              <w:t>Fact</w:t>
            </w:r>
          </w:p>
        </w:tc>
        <w:tc>
          <w:tcPr>
            <w:tcW w:w="4819" w:type="dxa"/>
            <w:shd w:val="clear" w:color="auto" w:fill="1B3A6B"/>
          </w:tcPr>
          <w:p w14:paraId="4AC5853E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b/>
                <w:color w:val="FFFFFF"/>
                <w:sz w:val="20"/>
              </w:rPr>
              <w:t>Value</w:t>
            </w:r>
          </w:p>
        </w:tc>
      </w:tr>
      <w:tr w:rsidR="004579D3" w14:paraId="1BD78E17" w14:textId="77777777">
        <w:tc>
          <w:tcPr>
            <w:tcW w:w="4819" w:type="dxa"/>
            <w:shd w:val="clear" w:color="auto" w:fill="EBF5FB"/>
          </w:tcPr>
          <w:p w14:paraId="7EBE82B6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Short stature threshold (current)</w:t>
            </w:r>
          </w:p>
        </w:tc>
        <w:tc>
          <w:tcPr>
            <w:tcW w:w="4819" w:type="dxa"/>
            <w:shd w:val="clear" w:color="auto" w:fill="EBF5FB"/>
          </w:tcPr>
          <w:p w14:paraId="6DA9881C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Below 0.4th centile (UK-WHO)</w:t>
            </w:r>
          </w:p>
        </w:tc>
      </w:tr>
      <w:tr w:rsidR="004579D3" w14:paraId="6081481C" w14:textId="77777777">
        <w:tc>
          <w:tcPr>
            <w:tcW w:w="4819" w:type="dxa"/>
            <w:shd w:val="clear" w:color="auto" w:fill="FFFFFF"/>
          </w:tcPr>
          <w:p w14:paraId="3772BBD5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Normal neonatal weight loss</w:t>
            </w:r>
          </w:p>
        </w:tc>
        <w:tc>
          <w:tcPr>
            <w:tcW w:w="4819" w:type="dxa"/>
            <w:shd w:val="clear" w:color="auto" w:fill="FFFFFF"/>
          </w:tcPr>
          <w:p w14:paraId="479CAC0D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Up to 7%</w:t>
            </w:r>
          </w:p>
        </w:tc>
      </w:tr>
      <w:tr w:rsidR="004579D3" w14:paraId="344A4532" w14:textId="77777777">
        <w:tc>
          <w:tcPr>
            <w:tcW w:w="4819" w:type="dxa"/>
            <w:shd w:val="clear" w:color="auto" w:fill="EBF5FB"/>
          </w:tcPr>
          <w:p w14:paraId="5AB84EC2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Concern threshold — neonatal</w:t>
            </w:r>
          </w:p>
        </w:tc>
        <w:tc>
          <w:tcPr>
            <w:tcW w:w="4819" w:type="dxa"/>
            <w:shd w:val="clear" w:color="auto" w:fill="EBF5FB"/>
          </w:tcPr>
          <w:p w14:paraId="6BB25A97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&gt;10% or not regained by day 14</w:t>
            </w:r>
          </w:p>
        </w:tc>
      </w:tr>
      <w:tr w:rsidR="004579D3" w14:paraId="1048712A" w14:textId="77777777">
        <w:tc>
          <w:tcPr>
            <w:tcW w:w="4819" w:type="dxa"/>
            <w:shd w:val="clear" w:color="auto" w:fill="FFFFFF"/>
          </w:tcPr>
          <w:p w14:paraId="204D7033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Mid-parental height accuracy</w:t>
            </w:r>
          </w:p>
        </w:tc>
        <w:tc>
          <w:tcPr>
            <w:tcW w:w="4819" w:type="dxa"/>
            <w:shd w:val="clear" w:color="auto" w:fill="FFFFFF"/>
          </w:tcPr>
          <w:p w14:paraId="55D6109E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±8–10 cm (0.7 correlation)</w:t>
            </w:r>
          </w:p>
        </w:tc>
      </w:tr>
      <w:tr w:rsidR="004579D3" w14:paraId="6429FDF2" w14:textId="77777777">
        <w:tc>
          <w:tcPr>
            <w:tcW w:w="4819" w:type="dxa"/>
            <w:shd w:val="clear" w:color="auto" w:fill="EBF5FB"/>
          </w:tcPr>
          <w:p w14:paraId="462A2416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Supine length → standing height</w:t>
            </w:r>
          </w:p>
        </w:tc>
        <w:tc>
          <w:tcPr>
            <w:tcW w:w="4819" w:type="dxa"/>
            <w:shd w:val="clear" w:color="auto" w:fill="EBF5FB"/>
          </w:tcPr>
          <w:p w14:paraId="59B732F0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Age 2 years</w:t>
            </w:r>
          </w:p>
        </w:tc>
      </w:tr>
      <w:tr w:rsidR="004579D3" w14:paraId="5281D2A5" w14:textId="77777777">
        <w:tc>
          <w:tcPr>
            <w:tcW w:w="4819" w:type="dxa"/>
            <w:shd w:val="clear" w:color="auto" w:fill="FFFFFF"/>
          </w:tcPr>
          <w:p w14:paraId="3A00282C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Prematurity correction period</w:t>
            </w:r>
          </w:p>
        </w:tc>
        <w:tc>
          <w:tcPr>
            <w:tcW w:w="4819" w:type="dxa"/>
            <w:shd w:val="clear" w:color="auto" w:fill="FFFFFF"/>
          </w:tcPr>
          <w:p w14:paraId="3311F21B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Up to age 2 years</w:t>
            </w:r>
          </w:p>
        </w:tc>
      </w:tr>
      <w:tr w:rsidR="004579D3" w14:paraId="4EAE81F4" w14:textId="77777777">
        <w:tc>
          <w:tcPr>
            <w:tcW w:w="4819" w:type="dxa"/>
            <w:shd w:val="clear" w:color="auto" w:fill="EBF5FB"/>
          </w:tcPr>
          <w:p w14:paraId="597ADFCD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Girls' epiphyseal fusion</w:t>
            </w:r>
          </w:p>
        </w:tc>
        <w:tc>
          <w:tcPr>
            <w:tcW w:w="4819" w:type="dxa"/>
            <w:shd w:val="clear" w:color="auto" w:fill="EBF5FB"/>
          </w:tcPr>
          <w:p w14:paraId="59E8AFD6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16–18 years</w:t>
            </w:r>
          </w:p>
        </w:tc>
      </w:tr>
      <w:tr w:rsidR="004579D3" w14:paraId="17B335A3" w14:textId="77777777">
        <w:tc>
          <w:tcPr>
            <w:tcW w:w="4819" w:type="dxa"/>
            <w:shd w:val="clear" w:color="auto" w:fill="FFFFFF"/>
          </w:tcPr>
          <w:p w14:paraId="17BC45FC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Boys' epiphyseal fusion</w:t>
            </w:r>
          </w:p>
        </w:tc>
        <w:tc>
          <w:tcPr>
            <w:tcW w:w="4819" w:type="dxa"/>
            <w:shd w:val="clear" w:color="auto" w:fill="FFFFFF"/>
          </w:tcPr>
          <w:p w14:paraId="2CD58DF2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18–21 years</w:t>
            </w:r>
          </w:p>
        </w:tc>
      </w:tr>
      <w:tr w:rsidR="004579D3" w14:paraId="43C53BBF" w14:textId="77777777">
        <w:tc>
          <w:tcPr>
            <w:tcW w:w="4819" w:type="dxa"/>
            <w:shd w:val="clear" w:color="auto" w:fill="EBF5FB"/>
          </w:tcPr>
          <w:p w14:paraId="511D74F2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Birth length × 2</w:t>
            </w:r>
          </w:p>
        </w:tc>
        <w:tc>
          <w:tcPr>
            <w:tcW w:w="4819" w:type="dxa"/>
            <w:shd w:val="clear" w:color="auto" w:fill="EBF5FB"/>
          </w:tcPr>
          <w:p w14:paraId="721C53BC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Age 4 years</w:t>
            </w:r>
          </w:p>
        </w:tc>
      </w:tr>
      <w:tr w:rsidR="004579D3" w14:paraId="6BD1609A" w14:textId="77777777">
        <w:tc>
          <w:tcPr>
            <w:tcW w:w="4819" w:type="dxa"/>
            <w:shd w:val="clear" w:color="auto" w:fill="FFFFFF"/>
          </w:tcPr>
          <w:p w14:paraId="0091F052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Birth length × 3</w:t>
            </w:r>
          </w:p>
        </w:tc>
        <w:tc>
          <w:tcPr>
            <w:tcW w:w="4819" w:type="dxa"/>
            <w:shd w:val="clear" w:color="auto" w:fill="FFFFFF"/>
          </w:tcPr>
          <w:p w14:paraId="79BD3CC6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Age 13 years</w:t>
            </w:r>
          </w:p>
        </w:tc>
      </w:tr>
      <w:tr w:rsidR="004579D3" w14:paraId="6C2FC184" w14:textId="77777777">
        <w:tc>
          <w:tcPr>
            <w:tcW w:w="4819" w:type="dxa"/>
            <w:shd w:val="clear" w:color="auto" w:fill="EBF5FB"/>
          </w:tcPr>
          <w:p w14:paraId="5A73F63F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Pubertal growth spurt</w:t>
            </w:r>
          </w:p>
        </w:tc>
        <w:tc>
          <w:tcPr>
            <w:tcW w:w="4819" w:type="dxa"/>
            <w:shd w:val="clear" w:color="auto" w:fill="EBF5FB"/>
          </w:tcPr>
          <w:p w14:paraId="2DBAA3EF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Typically 5 cm/year; up to 10 cm/year</w:t>
            </w:r>
          </w:p>
        </w:tc>
      </w:tr>
      <w:tr w:rsidR="004579D3" w14:paraId="4BA7ECE1" w14:textId="77777777">
        <w:tc>
          <w:tcPr>
            <w:tcW w:w="4819" w:type="dxa"/>
            <w:shd w:val="clear" w:color="auto" w:fill="FFFFFF"/>
          </w:tcPr>
          <w:p w14:paraId="7F1FDFE8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UK-WHO 0–4 charts introduced</w:t>
            </w:r>
          </w:p>
        </w:tc>
        <w:tc>
          <w:tcPr>
            <w:tcW w:w="4819" w:type="dxa"/>
            <w:shd w:val="clear" w:color="auto" w:fill="FFFFFF"/>
          </w:tcPr>
          <w:p w14:paraId="04DDCA56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11 May 2009</w:t>
            </w:r>
          </w:p>
        </w:tc>
      </w:tr>
      <w:tr w:rsidR="004579D3" w14:paraId="21535729" w14:textId="77777777">
        <w:tc>
          <w:tcPr>
            <w:tcW w:w="4819" w:type="dxa"/>
            <w:shd w:val="clear" w:color="auto" w:fill="EBF5FB"/>
          </w:tcPr>
          <w:p w14:paraId="043750F4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NICE NG75 (faltering growth)</w:t>
            </w:r>
          </w:p>
        </w:tc>
        <w:tc>
          <w:tcPr>
            <w:tcW w:w="4819" w:type="dxa"/>
            <w:shd w:val="clear" w:color="auto" w:fill="EBF5FB"/>
          </w:tcPr>
          <w:p w14:paraId="5929529E" w14:textId="77777777" w:rsidR="004579D3" w:rsidRDefault="00000000" w:rsidP="00785AB1">
            <w:pPr>
              <w:ind w:right="-427"/>
            </w:pPr>
            <w:r>
              <w:rPr>
                <w:rFonts w:ascii="Calibri" w:hAnsi="Calibri"/>
                <w:sz w:val="20"/>
              </w:rPr>
              <w:t>2017 — current (not superseded, June 2026)</w:t>
            </w:r>
          </w:p>
        </w:tc>
      </w:tr>
    </w:tbl>
    <w:p w14:paraId="1543789E" w14:textId="77777777" w:rsidR="004579D3" w:rsidRDefault="004579D3" w:rsidP="00785AB1">
      <w:pPr>
        <w:ind w:right="-427"/>
      </w:pPr>
    </w:p>
    <w:tbl>
      <w:tblPr>
        <w:tblStyle w:val="TableGrid"/>
        <w:tblW w:w="9200" w:type="dxa"/>
        <w:jc w:val="center"/>
        <w:tblLook w:val="04A0" w:firstRow="1" w:lastRow="0" w:firstColumn="1" w:lastColumn="0" w:noHBand="0" w:noVBand="1"/>
      </w:tblPr>
      <w:tblGrid>
        <w:gridCol w:w="9200"/>
      </w:tblGrid>
      <w:tr w:rsidR="004579D3" w14:paraId="6B0FD367" w14:textId="77777777">
        <w:trPr>
          <w:jc w:val="center"/>
        </w:trPr>
        <w:tc>
          <w:tcPr>
            <w:tcW w:w="9638" w:type="dxa"/>
            <w:tcBorders>
              <w:top w:val="single" w:sz="6" w:space="0" w:color="C0392B"/>
              <w:left w:val="single" w:sz="6" w:space="0" w:color="C0392B"/>
              <w:bottom w:val="single" w:sz="6" w:space="0" w:color="C0392B"/>
              <w:right w:val="single" w:sz="6" w:space="0" w:color="C0392B"/>
            </w:tcBorders>
            <w:shd w:val="clear" w:color="auto" w:fill="FDEDEC"/>
          </w:tcPr>
          <w:p w14:paraId="58770C21" w14:textId="77777777" w:rsidR="004579D3" w:rsidRDefault="00000000" w:rsidP="00785AB1">
            <w:pPr>
              <w:spacing w:before="120" w:after="60"/>
              <w:ind w:right="-427"/>
            </w:pPr>
            <w:r>
              <w:rPr>
                <w:rFonts w:ascii="Calibri" w:hAnsi="Calibri"/>
                <w:b/>
                <w:color w:val="C0392B"/>
              </w:rPr>
              <w:t>⚠️ Disclaimer</w:t>
            </w:r>
          </w:p>
          <w:p w14:paraId="6A1939CF" w14:textId="77777777" w:rsidR="004579D3" w:rsidRDefault="00000000" w:rsidP="00785AB1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>Always double check this advice and drug doses with the latest NICE/BNF guidance.</w:t>
            </w:r>
          </w:p>
          <w:p w14:paraId="732B9C15" w14:textId="5F0766EA" w:rsidR="004579D3" w:rsidRDefault="00000000" w:rsidP="00785AB1">
            <w:pPr>
              <w:spacing w:before="20" w:after="40"/>
              <w:ind w:right="-427"/>
            </w:pPr>
            <w:r>
              <w:rPr>
                <w:rFonts w:ascii="Calibri" w:hAnsi="Calibri"/>
                <w:sz w:val="21"/>
              </w:rPr>
              <w:t>This document is for educational purposes only.</w:t>
            </w:r>
          </w:p>
        </w:tc>
      </w:tr>
    </w:tbl>
    <w:p w14:paraId="592E0755" w14:textId="77777777" w:rsidR="004579D3" w:rsidRDefault="004579D3" w:rsidP="00785AB1">
      <w:pPr>
        <w:ind w:right="-427"/>
      </w:pPr>
    </w:p>
    <w:sectPr w:rsidR="004579D3" w:rsidSect="00034616">
      <w:footerReference w:type="default" r:id="rId8"/>
      <w:pgSz w:w="11906" w:h="16838"/>
      <w:pgMar w:top="1020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959A2" w14:textId="77777777" w:rsidR="008E760D" w:rsidRDefault="008E760D">
      <w:pPr>
        <w:spacing w:after="0" w:line="240" w:lineRule="auto"/>
      </w:pPr>
      <w:r>
        <w:separator/>
      </w:r>
    </w:p>
  </w:endnote>
  <w:endnote w:type="continuationSeparator" w:id="0">
    <w:p w14:paraId="77B444AF" w14:textId="77777777" w:rsidR="008E760D" w:rsidRDefault="008E7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76168" w14:textId="77777777" w:rsidR="004579D3" w:rsidRDefault="00000000">
    <w:pPr>
      <w:pStyle w:val="Footer"/>
      <w:spacing w:before="80"/>
      <w:jc w:val="center"/>
    </w:pPr>
    <w:r>
      <w:rPr>
        <w:rFonts w:ascii="Calibri" w:hAnsi="Calibri"/>
        <w:i/>
        <w:color w:val="888888"/>
        <w:sz w:val="16"/>
      </w:rPr>
      <w:t>A free resource provided by www.bradfordvts.co.uk, Dr Ramesh Mehay, revised June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C38FC" w14:textId="77777777" w:rsidR="008E760D" w:rsidRDefault="008E760D">
      <w:pPr>
        <w:spacing w:after="0" w:line="240" w:lineRule="auto"/>
      </w:pPr>
      <w:r>
        <w:separator/>
      </w:r>
    </w:p>
  </w:footnote>
  <w:footnote w:type="continuationSeparator" w:id="0">
    <w:p w14:paraId="4951802C" w14:textId="77777777" w:rsidR="008E760D" w:rsidRDefault="008E76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93629017">
    <w:abstractNumId w:val="8"/>
  </w:num>
  <w:num w:numId="2" w16cid:durableId="933788107">
    <w:abstractNumId w:val="6"/>
  </w:num>
  <w:num w:numId="3" w16cid:durableId="1754038014">
    <w:abstractNumId w:val="5"/>
  </w:num>
  <w:num w:numId="4" w16cid:durableId="1764454773">
    <w:abstractNumId w:val="4"/>
  </w:num>
  <w:num w:numId="5" w16cid:durableId="1269311756">
    <w:abstractNumId w:val="7"/>
  </w:num>
  <w:num w:numId="6" w16cid:durableId="1591042884">
    <w:abstractNumId w:val="3"/>
  </w:num>
  <w:num w:numId="7" w16cid:durableId="486093666">
    <w:abstractNumId w:val="2"/>
  </w:num>
  <w:num w:numId="8" w16cid:durableId="1062408324">
    <w:abstractNumId w:val="1"/>
  </w:num>
  <w:num w:numId="9" w16cid:durableId="664284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579D3"/>
    <w:rsid w:val="00785AB1"/>
    <w:rsid w:val="008E760D"/>
    <w:rsid w:val="009C5DC2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E69E82"/>
  <w14:defaultImageDpi w14:val="300"/>
  <w15:docId w15:val="{51FBE13C-07A8-4CE3-90F0-357781417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2246</Words>
  <Characters>12808</Characters>
  <Application>Microsoft Office Word</Application>
  <DocSecurity>0</DocSecurity>
  <Lines>346</Lines>
  <Paragraphs>313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14741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Ramesh Mehay</cp:lastModifiedBy>
  <cp:revision>3</cp:revision>
  <dcterms:created xsi:type="dcterms:W3CDTF">2013-12-23T23:15:00Z</dcterms:created>
  <dcterms:modified xsi:type="dcterms:W3CDTF">2026-07-01T16:58:00Z</dcterms:modified>
  <cp:category/>
</cp:coreProperties>
</file>