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1723A4D" w14:textId="7641E863" w:rsidR="00EC1AF6" w:rsidRPr="00EC1AF6" w:rsidRDefault="00EC1AF6" w:rsidP="00EC1AF6">
      <w:pPr>
        <w:jc w:val="both"/>
        <w:rPr>
          <w:rFonts w:asciiTheme="majorHAnsi" w:hAnsiTheme="majorHAnsi" w:cstheme="majorHAnsi"/>
          <w:color w:val="333333"/>
        </w:rPr>
      </w:pPr>
      <w:r w:rsidRPr="00EC1AF6">
        <w:rPr>
          <w:rFonts w:asciiTheme="majorHAnsi" w:hAnsiTheme="majorHAnsi" w:cstheme="majorHAnsi"/>
          <w:color w:val="333333"/>
        </w:rPr>
        <w:t xml:space="preserve">Acute feverish illness is the most common presentation of children to primary care services. Most acutely ill children seen by a general practitioner (GP) suffer from self-limiting viral illnesses. A small proportion of these children, however, have a serious infection, with considerable mortality and morbidity. GPs face the challenge of distinguishing these few cases, often seen at an early stage, from </w:t>
      </w:r>
      <w:proofErr w:type="gramStart"/>
      <w:r w:rsidRPr="00EC1AF6">
        <w:rPr>
          <w:rFonts w:asciiTheme="majorHAnsi" w:hAnsiTheme="majorHAnsi" w:cstheme="majorHAnsi"/>
          <w:color w:val="333333"/>
        </w:rPr>
        <w:t>the vast majority of</w:t>
      </w:r>
      <w:proofErr w:type="gramEnd"/>
      <w:r w:rsidRPr="00EC1AF6">
        <w:rPr>
          <w:rFonts w:asciiTheme="majorHAnsi" w:hAnsiTheme="majorHAnsi" w:cstheme="majorHAnsi"/>
          <w:color w:val="333333"/>
        </w:rPr>
        <w:t xml:space="preserve"> non-serious infections to prevent serious complications. Developing appropriate strategies to cope with the resulting diagnostic uncertainty is crucial</w:t>
      </w:r>
      <w:r>
        <w:rPr>
          <w:rFonts w:asciiTheme="majorHAnsi" w:hAnsiTheme="majorHAnsi" w:cstheme="majorHAnsi"/>
          <w:color w:val="333333"/>
        </w:rPr>
        <w:t>.</w:t>
      </w:r>
      <w:r w:rsidRPr="00EC1AF6">
        <w:rPr>
          <w:rFonts w:asciiTheme="majorHAnsi" w:hAnsiTheme="majorHAnsi" w:cstheme="majorHAnsi"/>
          <w:color w:val="333333"/>
        </w:rPr>
        <w:t xml:space="preserve"> </w:t>
      </w:r>
    </w:p>
    <w:p w14:paraId="2848D25A" w14:textId="6E09D259" w:rsidR="00EC1AF6" w:rsidRPr="00EC1AF6" w:rsidRDefault="00EC1AF6" w:rsidP="00EC1AF6">
      <w:pPr>
        <w:jc w:val="both"/>
        <w:rPr>
          <w:rFonts w:asciiTheme="majorHAnsi" w:hAnsiTheme="majorHAnsi" w:cstheme="majorHAnsi"/>
          <w:b/>
          <w:bCs/>
          <w:color w:val="333333"/>
        </w:rPr>
      </w:pPr>
      <w:r>
        <w:rPr>
          <w:rFonts w:asciiTheme="majorHAnsi" w:hAnsiTheme="majorHAnsi" w:cstheme="majorHAnsi"/>
          <w:b/>
          <w:bCs/>
          <w:color w:val="333333"/>
        </w:rPr>
        <w:t>What DECISION</w:t>
      </w:r>
      <w:r w:rsidRPr="00EC1AF6">
        <w:rPr>
          <w:rFonts w:asciiTheme="majorHAnsi" w:hAnsiTheme="majorHAnsi" w:cstheme="majorHAnsi"/>
          <w:b/>
          <w:bCs/>
          <w:color w:val="333333"/>
        </w:rPr>
        <w:t xml:space="preserve"> </w:t>
      </w:r>
      <w:r>
        <w:rPr>
          <w:rFonts w:asciiTheme="majorHAnsi" w:hAnsiTheme="majorHAnsi" w:cstheme="majorHAnsi"/>
          <w:b/>
          <w:bCs/>
          <w:color w:val="333333"/>
        </w:rPr>
        <w:t>o</w:t>
      </w:r>
      <w:r w:rsidRPr="00EC1AF6">
        <w:rPr>
          <w:rFonts w:asciiTheme="majorHAnsi" w:hAnsiTheme="majorHAnsi" w:cstheme="majorHAnsi"/>
          <w:b/>
          <w:bCs/>
          <w:color w:val="333333"/>
        </w:rPr>
        <w:t>ptions</w:t>
      </w:r>
      <w:r>
        <w:rPr>
          <w:rFonts w:asciiTheme="majorHAnsi" w:hAnsiTheme="majorHAnsi" w:cstheme="majorHAnsi"/>
          <w:b/>
          <w:bCs/>
          <w:color w:val="333333"/>
        </w:rPr>
        <w:t xml:space="preserve"> does the doctor have?</w:t>
      </w:r>
      <w:bookmarkStart w:id="0" w:name="_GoBack"/>
      <w:bookmarkEnd w:id="0"/>
    </w:p>
    <w:p w14:paraId="2C4C53CA" w14:textId="77777777" w:rsidR="00EC1AF6" w:rsidRPr="00DF107D" w:rsidRDefault="00EC1AF6" w:rsidP="00EC1AF6">
      <w:pPr>
        <w:jc w:val="both"/>
        <w:rPr>
          <w:rFonts w:asciiTheme="majorHAnsi" w:hAnsiTheme="majorHAnsi" w:cstheme="majorHAnsi"/>
          <w:i/>
          <w:iCs/>
          <w:color w:val="333333"/>
          <w:u w:val="single"/>
        </w:rPr>
      </w:pPr>
      <w:r w:rsidRPr="00DF107D">
        <w:rPr>
          <w:rFonts w:asciiTheme="majorHAnsi" w:hAnsiTheme="majorHAnsi" w:cstheme="majorHAnsi"/>
          <w:i/>
          <w:iCs/>
          <w:color w:val="333333"/>
          <w:u w:val="single"/>
        </w:rPr>
        <w:t xml:space="preserve">Heneghan et al. suggested three main strategies: </w:t>
      </w:r>
    </w:p>
    <w:p w14:paraId="2F702284" w14:textId="6ADF5E6F" w:rsidR="00EC1AF6" w:rsidRPr="00DF107D" w:rsidRDefault="00EC1AF6" w:rsidP="00DF107D">
      <w:pPr>
        <w:pStyle w:val="ListParagraph"/>
        <w:numPr>
          <w:ilvl w:val="0"/>
          <w:numId w:val="5"/>
        </w:numPr>
        <w:jc w:val="both"/>
        <w:rPr>
          <w:rFonts w:asciiTheme="majorHAnsi" w:hAnsiTheme="majorHAnsi" w:cstheme="majorHAnsi"/>
          <w:color w:val="333333"/>
        </w:rPr>
      </w:pPr>
      <w:r w:rsidRPr="00DF107D">
        <w:rPr>
          <w:rFonts w:asciiTheme="majorHAnsi" w:hAnsiTheme="majorHAnsi" w:cstheme="majorHAnsi"/>
          <w:color w:val="333333"/>
        </w:rPr>
        <w:t xml:space="preserve">performing further investigations, </w:t>
      </w:r>
    </w:p>
    <w:p w14:paraId="3C8FDCE2" w14:textId="696F1945" w:rsidR="00DF107D" w:rsidRPr="00DF107D" w:rsidRDefault="00EC1AF6" w:rsidP="00DF107D">
      <w:pPr>
        <w:pStyle w:val="ListParagraph"/>
        <w:numPr>
          <w:ilvl w:val="0"/>
          <w:numId w:val="5"/>
        </w:numPr>
        <w:jc w:val="both"/>
        <w:rPr>
          <w:rFonts w:asciiTheme="majorHAnsi" w:hAnsiTheme="majorHAnsi" w:cstheme="majorHAnsi"/>
          <w:color w:val="333333"/>
        </w:rPr>
      </w:pPr>
      <w:r w:rsidRPr="00DF107D">
        <w:rPr>
          <w:rFonts w:asciiTheme="majorHAnsi" w:hAnsiTheme="majorHAnsi" w:cstheme="majorHAnsi"/>
          <w:color w:val="333333"/>
        </w:rPr>
        <w:t xml:space="preserve">initiating a treatment to evoke a response, or </w:t>
      </w:r>
    </w:p>
    <w:p w14:paraId="50FB02FD" w14:textId="24D77D7F" w:rsidR="00DF107D" w:rsidRPr="00DF107D" w:rsidRDefault="00EC1AF6" w:rsidP="00DF107D">
      <w:pPr>
        <w:pStyle w:val="ListParagraph"/>
        <w:numPr>
          <w:ilvl w:val="0"/>
          <w:numId w:val="5"/>
        </w:numPr>
        <w:jc w:val="both"/>
        <w:rPr>
          <w:rFonts w:asciiTheme="majorHAnsi" w:hAnsiTheme="majorHAnsi" w:cstheme="majorHAnsi"/>
          <w:color w:val="333333"/>
        </w:rPr>
      </w:pPr>
      <w:r w:rsidRPr="00DF107D">
        <w:rPr>
          <w:rFonts w:asciiTheme="majorHAnsi" w:hAnsiTheme="majorHAnsi" w:cstheme="majorHAnsi"/>
          <w:color w:val="333333"/>
        </w:rPr>
        <w:t xml:space="preserve">a ‘wait and see’ policy. </w:t>
      </w:r>
    </w:p>
    <w:p w14:paraId="108945BC" w14:textId="52CA5B2C" w:rsidR="00DF107D" w:rsidRDefault="00EC1AF6" w:rsidP="00EC1AF6">
      <w:pPr>
        <w:jc w:val="both"/>
        <w:rPr>
          <w:rFonts w:asciiTheme="majorHAnsi" w:hAnsiTheme="majorHAnsi" w:cstheme="majorHAnsi"/>
          <w:color w:val="333333"/>
        </w:rPr>
      </w:pPr>
      <w:r w:rsidRPr="00EC1AF6">
        <w:rPr>
          <w:rFonts w:asciiTheme="majorHAnsi" w:hAnsiTheme="majorHAnsi" w:cstheme="majorHAnsi"/>
          <w:color w:val="333333"/>
        </w:rPr>
        <w:t xml:space="preserve">If all three fail, GPs can try a combination of the above and share their uncertainty with the patients. </w:t>
      </w:r>
    </w:p>
    <w:p w14:paraId="38189714" w14:textId="77777777" w:rsidR="00DF107D" w:rsidRDefault="00DF107D" w:rsidP="00EC1AF6">
      <w:pPr>
        <w:jc w:val="both"/>
        <w:rPr>
          <w:rFonts w:asciiTheme="majorHAnsi" w:hAnsiTheme="majorHAnsi" w:cstheme="majorHAnsi"/>
          <w:color w:val="333333"/>
        </w:rPr>
      </w:pPr>
    </w:p>
    <w:p w14:paraId="5AA758A6" w14:textId="77777777" w:rsidR="00DF107D" w:rsidRPr="00DF107D" w:rsidRDefault="00EC1AF6" w:rsidP="00EC1AF6">
      <w:pPr>
        <w:jc w:val="both"/>
        <w:rPr>
          <w:rFonts w:asciiTheme="majorHAnsi" w:hAnsiTheme="majorHAnsi" w:cstheme="majorHAnsi"/>
          <w:i/>
          <w:iCs/>
          <w:color w:val="333333"/>
          <w:u w:val="single"/>
        </w:rPr>
      </w:pPr>
      <w:proofErr w:type="spellStart"/>
      <w:r w:rsidRPr="00DF107D">
        <w:rPr>
          <w:rFonts w:asciiTheme="majorHAnsi" w:hAnsiTheme="majorHAnsi" w:cstheme="majorHAnsi"/>
          <w:i/>
          <w:iCs/>
          <w:color w:val="333333"/>
          <w:u w:val="single"/>
        </w:rPr>
        <w:t>Buntinx</w:t>
      </w:r>
      <w:proofErr w:type="spellEnd"/>
      <w:r w:rsidRPr="00DF107D">
        <w:rPr>
          <w:rFonts w:asciiTheme="majorHAnsi" w:hAnsiTheme="majorHAnsi" w:cstheme="majorHAnsi"/>
          <w:i/>
          <w:iCs/>
          <w:color w:val="333333"/>
          <w:u w:val="single"/>
        </w:rPr>
        <w:t xml:space="preserve"> et al. suggest four strategies to deal with diagnostic uncertainty: </w:t>
      </w:r>
    </w:p>
    <w:p w14:paraId="761D6050" w14:textId="77777777" w:rsidR="00DF107D" w:rsidRPr="00DF107D" w:rsidRDefault="00EC1AF6" w:rsidP="00DF107D">
      <w:pPr>
        <w:pStyle w:val="ListParagraph"/>
        <w:numPr>
          <w:ilvl w:val="0"/>
          <w:numId w:val="2"/>
        </w:numPr>
        <w:jc w:val="both"/>
        <w:rPr>
          <w:rFonts w:asciiTheme="majorHAnsi" w:hAnsiTheme="majorHAnsi" w:cstheme="majorHAnsi"/>
          <w:color w:val="333333"/>
        </w:rPr>
      </w:pPr>
      <w:r w:rsidRPr="00DF107D">
        <w:rPr>
          <w:rFonts w:asciiTheme="majorHAnsi" w:hAnsiTheme="majorHAnsi" w:cstheme="majorHAnsi"/>
          <w:color w:val="333333"/>
        </w:rPr>
        <w:t xml:space="preserve">the GP’s gut feeling, </w:t>
      </w:r>
    </w:p>
    <w:p w14:paraId="344A9B3B" w14:textId="77777777" w:rsidR="00DF107D" w:rsidRPr="00DF107D" w:rsidRDefault="00EC1AF6" w:rsidP="00DF107D">
      <w:pPr>
        <w:pStyle w:val="ListParagraph"/>
        <w:numPr>
          <w:ilvl w:val="0"/>
          <w:numId w:val="2"/>
        </w:numPr>
        <w:jc w:val="both"/>
        <w:rPr>
          <w:rFonts w:asciiTheme="majorHAnsi" w:hAnsiTheme="majorHAnsi" w:cstheme="majorHAnsi"/>
          <w:color w:val="333333"/>
        </w:rPr>
      </w:pPr>
      <w:r w:rsidRPr="00DF107D">
        <w:rPr>
          <w:rFonts w:asciiTheme="majorHAnsi" w:hAnsiTheme="majorHAnsi" w:cstheme="majorHAnsi"/>
          <w:color w:val="333333"/>
        </w:rPr>
        <w:t xml:space="preserve">the use of diagnostic algorithms, </w:t>
      </w:r>
    </w:p>
    <w:p w14:paraId="6E16DF14" w14:textId="77777777" w:rsidR="00DF107D" w:rsidRPr="00DF107D" w:rsidRDefault="00EC1AF6" w:rsidP="00DF107D">
      <w:pPr>
        <w:pStyle w:val="ListParagraph"/>
        <w:numPr>
          <w:ilvl w:val="0"/>
          <w:numId w:val="2"/>
        </w:numPr>
        <w:jc w:val="both"/>
        <w:rPr>
          <w:rFonts w:asciiTheme="majorHAnsi" w:hAnsiTheme="majorHAnsi" w:cstheme="majorHAnsi"/>
          <w:color w:val="333333"/>
        </w:rPr>
      </w:pPr>
      <w:r w:rsidRPr="00DF107D">
        <w:rPr>
          <w:rFonts w:asciiTheme="majorHAnsi" w:hAnsiTheme="majorHAnsi" w:cstheme="majorHAnsi"/>
          <w:color w:val="333333"/>
        </w:rPr>
        <w:t xml:space="preserve">planning additional tests, and </w:t>
      </w:r>
    </w:p>
    <w:p w14:paraId="26AC7638" w14:textId="44F053C4" w:rsidR="00EC1AF6" w:rsidRPr="00DF107D" w:rsidRDefault="00EC1AF6" w:rsidP="00DF107D">
      <w:pPr>
        <w:pStyle w:val="ListParagraph"/>
        <w:numPr>
          <w:ilvl w:val="0"/>
          <w:numId w:val="2"/>
        </w:numPr>
        <w:jc w:val="both"/>
        <w:rPr>
          <w:rFonts w:asciiTheme="majorHAnsi" w:hAnsiTheme="majorHAnsi" w:cstheme="majorHAnsi"/>
          <w:color w:val="333333"/>
        </w:rPr>
      </w:pPr>
      <w:r w:rsidRPr="00DF107D">
        <w:rPr>
          <w:rFonts w:asciiTheme="majorHAnsi" w:hAnsiTheme="majorHAnsi" w:cstheme="majorHAnsi"/>
          <w:color w:val="333333"/>
        </w:rPr>
        <w:t>the use of ‘safety netting’</w:t>
      </w:r>
      <w:r w:rsidR="00DF107D" w:rsidRPr="00DF107D">
        <w:rPr>
          <w:rFonts w:asciiTheme="majorHAnsi" w:hAnsiTheme="majorHAnsi" w:cstheme="majorHAnsi"/>
          <w:color w:val="333333"/>
        </w:rPr>
        <w:t>.</w:t>
      </w:r>
    </w:p>
    <w:p w14:paraId="7B4A3CF7" w14:textId="77777777" w:rsidR="00EC1AF6" w:rsidRPr="00DF107D" w:rsidRDefault="00EC1AF6" w:rsidP="00EC1AF6">
      <w:pPr>
        <w:pStyle w:val="NormalWeb"/>
        <w:spacing w:before="240" w:beforeAutospacing="0" w:after="240" w:afterAutospacing="0"/>
        <w:jc w:val="both"/>
        <w:rPr>
          <w:rFonts w:asciiTheme="majorHAnsi" w:hAnsiTheme="majorHAnsi" w:cstheme="majorHAnsi"/>
          <w:b/>
          <w:bCs/>
          <w:color w:val="333333"/>
          <w:sz w:val="22"/>
          <w:szCs w:val="22"/>
        </w:rPr>
      </w:pPr>
      <w:r w:rsidRPr="00DF107D">
        <w:rPr>
          <w:rFonts w:asciiTheme="majorHAnsi" w:hAnsiTheme="majorHAnsi" w:cstheme="majorHAnsi"/>
          <w:b/>
          <w:bCs/>
          <w:color w:val="333333"/>
          <w:sz w:val="22"/>
          <w:szCs w:val="22"/>
        </w:rPr>
        <w:t>Safety Netting</w:t>
      </w:r>
    </w:p>
    <w:p w14:paraId="41DC47D6" w14:textId="724B6EF4" w:rsidR="00EC1AF6" w:rsidRPr="00EC1AF6" w:rsidRDefault="00EC1AF6" w:rsidP="00EC1AF6">
      <w:pPr>
        <w:pStyle w:val="NormalWeb"/>
        <w:spacing w:before="240" w:beforeAutospacing="0" w:after="240" w:afterAutospacing="0"/>
        <w:jc w:val="both"/>
        <w:rPr>
          <w:rFonts w:asciiTheme="majorHAnsi" w:hAnsiTheme="majorHAnsi" w:cstheme="majorHAnsi"/>
          <w:color w:val="333333"/>
          <w:sz w:val="22"/>
          <w:szCs w:val="22"/>
        </w:rPr>
      </w:pPr>
      <w:r w:rsidRPr="00EC1AF6">
        <w:rPr>
          <w:rFonts w:asciiTheme="majorHAnsi" w:hAnsiTheme="majorHAnsi" w:cstheme="majorHAnsi"/>
          <w:color w:val="333333"/>
          <w:sz w:val="22"/>
          <w:szCs w:val="22"/>
        </w:rPr>
        <w:t>Neighbour first introduced the term ‘safety netting</w:t>
      </w:r>
      <w:proofErr w:type="gramStart"/>
      <w:r w:rsidRPr="00EC1AF6">
        <w:rPr>
          <w:rFonts w:asciiTheme="majorHAnsi" w:hAnsiTheme="majorHAnsi" w:cstheme="majorHAnsi"/>
          <w:color w:val="333333"/>
          <w:sz w:val="22"/>
          <w:szCs w:val="22"/>
        </w:rPr>
        <w:t>’, and</w:t>
      </w:r>
      <w:proofErr w:type="gramEnd"/>
      <w:r w:rsidRPr="00EC1AF6">
        <w:rPr>
          <w:rFonts w:asciiTheme="majorHAnsi" w:hAnsiTheme="majorHAnsi" w:cstheme="majorHAnsi"/>
          <w:color w:val="333333"/>
          <w:sz w:val="22"/>
          <w:szCs w:val="22"/>
        </w:rPr>
        <w:t xml:space="preserve"> considered it as one of the compounds of a good consultation. He described ‘safety netting’ as creating a contingency plan and implementing procedures to ensure that the strategy is effective and that the patient is safe in any (un)foreseen eventualities. He defines ‘safety netting’ as encompassing three questions:</w:t>
      </w:r>
    </w:p>
    <w:p w14:paraId="3ABCBD66" w14:textId="77777777" w:rsidR="00EC1AF6" w:rsidRPr="00EC1AF6" w:rsidRDefault="00EC1AF6" w:rsidP="00DF107D">
      <w:pPr>
        <w:pStyle w:val="inline"/>
        <w:numPr>
          <w:ilvl w:val="0"/>
          <w:numId w:val="6"/>
        </w:numPr>
        <w:spacing w:before="0" w:beforeAutospacing="0" w:after="0" w:afterAutospacing="0"/>
        <w:ind w:left="595" w:right="238" w:hanging="357"/>
        <w:jc w:val="both"/>
        <w:rPr>
          <w:rFonts w:asciiTheme="majorHAnsi" w:hAnsiTheme="majorHAnsi" w:cstheme="majorHAnsi"/>
          <w:color w:val="333333"/>
          <w:sz w:val="22"/>
          <w:szCs w:val="22"/>
        </w:rPr>
      </w:pPr>
      <w:r w:rsidRPr="00EC1AF6">
        <w:rPr>
          <w:rFonts w:asciiTheme="majorHAnsi" w:hAnsiTheme="majorHAnsi" w:cstheme="majorHAnsi"/>
          <w:color w:val="333333"/>
          <w:sz w:val="22"/>
          <w:szCs w:val="22"/>
        </w:rPr>
        <w:t>If I am right, what do I expect to happen? For example, the fever will be gone three days later.</w:t>
      </w:r>
    </w:p>
    <w:p w14:paraId="75BAD807" w14:textId="77777777" w:rsidR="00EC1AF6" w:rsidRPr="00EC1AF6" w:rsidRDefault="00EC1AF6" w:rsidP="00DF107D">
      <w:pPr>
        <w:pStyle w:val="inline"/>
        <w:numPr>
          <w:ilvl w:val="0"/>
          <w:numId w:val="6"/>
        </w:numPr>
        <w:spacing w:before="0" w:beforeAutospacing="0" w:after="0" w:afterAutospacing="0"/>
        <w:ind w:left="595" w:right="238" w:hanging="357"/>
        <w:jc w:val="both"/>
        <w:rPr>
          <w:rFonts w:asciiTheme="majorHAnsi" w:hAnsiTheme="majorHAnsi" w:cstheme="majorHAnsi"/>
          <w:color w:val="333333"/>
          <w:sz w:val="22"/>
          <w:szCs w:val="22"/>
        </w:rPr>
      </w:pPr>
      <w:r w:rsidRPr="00EC1AF6">
        <w:rPr>
          <w:rFonts w:asciiTheme="majorHAnsi" w:hAnsiTheme="majorHAnsi" w:cstheme="majorHAnsi"/>
          <w:color w:val="333333"/>
          <w:sz w:val="22"/>
          <w:szCs w:val="22"/>
        </w:rPr>
        <w:t>How will I know if I am wrong? For example, the child still has fever after three days.</w:t>
      </w:r>
    </w:p>
    <w:p w14:paraId="1BFE8CEA" w14:textId="1A678FFD" w:rsidR="00EC1AF6" w:rsidRPr="00EC1AF6" w:rsidRDefault="00EC1AF6" w:rsidP="00DF107D">
      <w:pPr>
        <w:pStyle w:val="inline"/>
        <w:numPr>
          <w:ilvl w:val="0"/>
          <w:numId w:val="6"/>
        </w:numPr>
        <w:spacing w:before="0" w:beforeAutospacing="0" w:after="0" w:afterAutospacing="0"/>
        <w:ind w:left="595" w:right="238" w:hanging="357"/>
        <w:jc w:val="both"/>
        <w:rPr>
          <w:rFonts w:asciiTheme="majorHAnsi" w:hAnsiTheme="majorHAnsi" w:cstheme="majorHAnsi"/>
          <w:color w:val="333333"/>
          <w:sz w:val="22"/>
          <w:szCs w:val="22"/>
        </w:rPr>
      </w:pPr>
      <w:r w:rsidRPr="00EC1AF6">
        <w:rPr>
          <w:rFonts w:asciiTheme="majorHAnsi" w:hAnsiTheme="majorHAnsi" w:cstheme="majorHAnsi"/>
          <w:color w:val="333333"/>
          <w:sz w:val="22"/>
          <w:szCs w:val="22"/>
        </w:rPr>
        <w:t>What would I do then? For example, make an appointment if the child has fever after three days.</w:t>
      </w:r>
    </w:p>
    <w:p w14:paraId="0F70B6F7" w14:textId="7EBB1D11" w:rsidR="00EC1AF6" w:rsidRPr="00EC1AF6" w:rsidRDefault="00EC1AF6" w:rsidP="00EC1AF6">
      <w:pPr>
        <w:pStyle w:val="NormalWeb"/>
        <w:spacing w:before="240" w:beforeAutospacing="0" w:after="240" w:afterAutospacing="0"/>
        <w:jc w:val="both"/>
        <w:rPr>
          <w:rFonts w:asciiTheme="majorHAnsi" w:hAnsiTheme="majorHAnsi" w:cstheme="majorHAnsi"/>
          <w:color w:val="333333"/>
          <w:sz w:val="22"/>
          <w:szCs w:val="22"/>
        </w:rPr>
      </w:pPr>
      <w:r w:rsidRPr="00EC1AF6">
        <w:rPr>
          <w:rFonts w:asciiTheme="majorHAnsi" w:hAnsiTheme="majorHAnsi" w:cstheme="majorHAnsi"/>
          <w:color w:val="333333"/>
          <w:sz w:val="22"/>
          <w:szCs w:val="22"/>
        </w:rPr>
        <w:t>The NICE guideline on feverish children recommends GPs to use ‘safety netting’ by means of a traffic light system, triaging children at low (green features), intermediate (amber) and high (red) risk of serious infection and in need of further investigations.</w:t>
      </w:r>
      <w:r w:rsidR="00DF107D">
        <w:rPr>
          <w:rFonts w:asciiTheme="majorHAnsi" w:hAnsiTheme="majorHAnsi" w:cstheme="majorHAnsi"/>
          <w:color w:val="333333"/>
          <w:sz w:val="22"/>
          <w:szCs w:val="22"/>
        </w:rPr>
        <w:t xml:space="preserve">      </w:t>
      </w:r>
    </w:p>
    <w:p w14:paraId="5BE1700F" w14:textId="77777777" w:rsidR="00DF107D" w:rsidRDefault="00EC1AF6" w:rsidP="00DF107D">
      <w:pPr>
        <w:pStyle w:val="NormalWeb"/>
        <w:spacing w:before="240" w:beforeAutospacing="0" w:after="240" w:afterAutospacing="0"/>
        <w:jc w:val="both"/>
        <w:rPr>
          <w:rFonts w:asciiTheme="majorHAnsi" w:hAnsiTheme="majorHAnsi" w:cstheme="majorHAnsi"/>
          <w:color w:val="333333"/>
          <w:sz w:val="22"/>
          <w:szCs w:val="22"/>
        </w:rPr>
      </w:pPr>
      <w:r w:rsidRPr="00EC1AF6">
        <w:rPr>
          <w:rFonts w:asciiTheme="majorHAnsi" w:hAnsiTheme="majorHAnsi" w:cstheme="majorHAnsi"/>
          <w:color w:val="333333"/>
          <w:sz w:val="22"/>
          <w:szCs w:val="22"/>
        </w:rPr>
        <w:t>GPs consider ‘safety netting’ to be an important instrument to avoid legal issues by informing parents that the disease could potentially deteriorate, empowering parents to manage their child’s illness. ‘</w:t>
      </w:r>
      <w:r w:rsidR="00DF107D">
        <w:rPr>
          <w:rFonts w:asciiTheme="majorHAnsi" w:hAnsiTheme="majorHAnsi" w:cstheme="majorHAnsi"/>
          <w:color w:val="333333"/>
          <w:sz w:val="22"/>
          <w:szCs w:val="22"/>
        </w:rPr>
        <w:t>S</w:t>
      </w:r>
      <w:r w:rsidRPr="00EC1AF6">
        <w:rPr>
          <w:rFonts w:asciiTheme="majorHAnsi" w:hAnsiTheme="majorHAnsi" w:cstheme="majorHAnsi"/>
          <w:color w:val="333333"/>
          <w:sz w:val="22"/>
          <w:szCs w:val="22"/>
        </w:rPr>
        <w:t xml:space="preserve">afety netting’ advice can avoid avoidable investigations and urgent visits to the GP, the out-of-hours service or the hospital emergency department. </w:t>
      </w:r>
      <w:r w:rsidR="00DF107D">
        <w:rPr>
          <w:rFonts w:asciiTheme="majorHAnsi" w:hAnsiTheme="majorHAnsi" w:cstheme="majorHAnsi"/>
          <w:color w:val="333333"/>
          <w:sz w:val="22"/>
          <w:szCs w:val="22"/>
        </w:rPr>
        <w:t>I</w:t>
      </w:r>
      <w:r w:rsidRPr="00EC1AF6">
        <w:rPr>
          <w:rFonts w:asciiTheme="majorHAnsi" w:hAnsiTheme="majorHAnsi" w:cstheme="majorHAnsi"/>
          <w:color w:val="333333"/>
          <w:sz w:val="22"/>
          <w:szCs w:val="22"/>
        </w:rPr>
        <w:t>t could reduce overconsumption of medication such as antibiotics.</w:t>
      </w:r>
    </w:p>
    <w:p w14:paraId="12AAA8FF" w14:textId="51A9622E" w:rsidR="00EC1AF6" w:rsidRPr="00DF107D" w:rsidRDefault="00DF107D" w:rsidP="00DF107D">
      <w:pPr>
        <w:pStyle w:val="NormalWeb"/>
        <w:spacing w:before="240" w:beforeAutospacing="0" w:after="240" w:afterAutospacing="0"/>
        <w:jc w:val="both"/>
        <w:rPr>
          <w:rFonts w:asciiTheme="majorHAnsi" w:hAnsiTheme="majorHAnsi" w:cstheme="majorHAnsi"/>
          <w:color w:val="333333"/>
        </w:rPr>
      </w:pPr>
      <w:r w:rsidRPr="00DF107D">
        <w:rPr>
          <w:rFonts w:asciiTheme="majorHAnsi" w:hAnsiTheme="majorHAnsi" w:cstheme="majorHAnsi"/>
        </w:rPr>
        <w:t xml:space="preserve">For most children, GPs safety net by telling their parents to look at the </w:t>
      </w:r>
      <w:r w:rsidRPr="00DF107D">
        <w:rPr>
          <w:rFonts w:asciiTheme="majorHAnsi" w:hAnsiTheme="majorHAnsi" w:cstheme="majorHAnsi"/>
        </w:rPr>
        <w:t>overall impression of the child’s illness, vomiting, a decrease in appetite and thirst, fever and signs of dehydration. Apart from these signs, parental ‘gut feeling’ was also mentioned as </w:t>
      </w:r>
      <w:proofErr w:type="gramStart"/>
      <w:r w:rsidRPr="00DF107D">
        <w:rPr>
          <w:rFonts w:asciiTheme="majorHAnsi" w:hAnsiTheme="majorHAnsi" w:cstheme="majorHAnsi"/>
        </w:rPr>
        <w:t>an</w:t>
      </w:r>
      <w:r>
        <w:rPr>
          <w:rFonts w:asciiTheme="majorHAnsi" w:hAnsiTheme="majorHAnsi" w:cstheme="majorHAnsi"/>
        </w:rPr>
        <w:t xml:space="preserve"> </w:t>
      </w:r>
      <w:r w:rsidRPr="00DF107D">
        <w:rPr>
          <w:rFonts w:asciiTheme="majorHAnsi" w:hAnsiTheme="majorHAnsi" w:cstheme="majorHAnsi"/>
        </w:rPr>
        <w:t> important</w:t>
      </w:r>
      <w:proofErr w:type="gramEnd"/>
      <w:r w:rsidRPr="00DF107D">
        <w:rPr>
          <w:rFonts w:asciiTheme="majorHAnsi" w:hAnsiTheme="majorHAnsi" w:cstheme="majorHAnsi"/>
        </w:rPr>
        <w:t xml:space="preserve"> element.  </w:t>
      </w:r>
    </w:p>
    <w:sectPr w:rsidR="00EC1AF6" w:rsidRPr="00DF107D">
      <w:headerReference w:type="default" r:id="rId7"/>
      <w:foot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397835D" w14:textId="77777777" w:rsidR="00977241" w:rsidRDefault="00977241" w:rsidP="00EC1AF6">
      <w:pPr>
        <w:spacing w:after="0" w:line="240" w:lineRule="auto"/>
      </w:pPr>
      <w:r>
        <w:separator/>
      </w:r>
    </w:p>
  </w:endnote>
  <w:endnote w:type="continuationSeparator" w:id="0">
    <w:p w14:paraId="6332A78B" w14:textId="77777777" w:rsidR="00977241" w:rsidRDefault="00977241" w:rsidP="00EC1AF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9F3853C" w14:textId="19B54056" w:rsidR="00EC1AF6" w:rsidRPr="00DF107D" w:rsidRDefault="00EC1AF6" w:rsidP="00DF107D">
    <w:pPr>
      <w:pStyle w:val="Footer"/>
      <w:jc w:val="right"/>
      <w:rPr>
        <w:i/>
        <w:iCs/>
        <w:sz w:val="16"/>
        <w:szCs w:val="16"/>
      </w:rPr>
    </w:pPr>
    <w:r w:rsidRPr="00DF107D">
      <w:rPr>
        <w:i/>
        <w:iCs/>
        <w:sz w:val="16"/>
        <w:szCs w:val="16"/>
      </w:rPr>
      <w:t xml:space="preserve">Adapted from </w:t>
    </w:r>
    <w:hyperlink r:id="rId1" w:history="1">
      <w:r w:rsidRPr="00DF107D">
        <w:rPr>
          <w:rStyle w:val="Hyperlink"/>
          <w:i/>
          <w:iCs/>
          <w:sz w:val="16"/>
          <w:szCs w:val="16"/>
        </w:rPr>
        <w:t>https://www.tandfonline.com/doi/full/10.3109/13814788.2015.1092516</w:t>
      </w:r>
    </w:hyperlink>
  </w:p>
  <w:p w14:paraId="2E907745" w14:textId="1F384AD1" w:rsidR="00EC1AF6" w:rsidRPr="00DF107D" w:rsidRDefault="00DF107D" w:rsidP="00DF107D">
    <w:pPr>
      <w:pStyle w:val="Footer"/>
      <w:jc w:val="right"/>
      <w:rPr>
        <w:i/>
        <w:iCs/>
        <w:sz w:val="16"/>
        <w:szCs w:val="16"/>
      </w:rPr>
    </w:pPr>
    <w:r w:rsidRPr="00DF107D">
      <w:rPr>
        <w:i/>
        <w:iCs/>
        <w:sz w:val="16"/>
        <w:szCs w:val="16"/>
      </w:rPr>
      <w:t>How do general practitioners use ‘safety netting’ in acutely ill children?</w:t>
    </w:r>
    <w:r w:rsidRPr="00DF107D">
      <w:rPr>
        <w:i/>
        <w:iCs/>
        <w:sz w:val="16"/>
        <w:szCs w:val="16"/>
      </w:rPr>
      <w:t xml:space="preserve">   </w:t>
    </w:r>
    <w:proofErr w:type="spellStart"/>
    <w:r w:rsidRPr="00DF107D">
      <w:rPr>
        <w:i/>
        <w:iCs/>
        <w:sz w:val="16"/>
        <w:szCs w:val="16"/>
      </w:rPr>
      <w:t>Bertheloot</w:t>
    </w:r>
    <w:proofErr w:type="spellEnd"/>
    <w:r w:rsidRPr="00DF107D">
      <w:rPr>
        <w:i/>
        <w:iCs/>
        <w:sz w:val="16"/>
        <w:szCs w:val="16"/>
      </w:rPr>
      <w:t xml:space="preserve"> et al.   </w:t>
    </w:r>
    <w:proofErr w:type="spellStart"/>
    <w:r w:rsidRPr="00DF107D">
      <w:rPr>
        <w:i/>
        <w:iCs/>
        <w:sz w:val="16"/>
        <w:szCs w:val="16"/>
      </w:rPr>
      <w:t>Europ</w:t>
    </w:r>
    <w:proofErr w:type="spellEnd"/>
    <w:r w:rsidRPr="00DF107D">
      <w:rPr>
        <w:i/>
        <w:iCs/>
        <w:sz w:val="16"/>
        <w:szCs w:val="16"/>
      </w:rPr>
      <w:t xml:space="preserve"> J Gen Practice 2016.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8EB14B7" w14:textId="77777777" w:rsidR="00977241" w:rsidRDefault="00977241" w:rsidP="00EC1AF6">
      <w:pPr>
        <w:spacing w:after="0" w:line="240" w:lineRule="auto"/>
      </w:pPr>
      <w:r>
        <w:separator/>
      </w:r>
    </w:p>
  </w:footnote>
  <w:footnote w:type="continuationSeparator" w:id="0">
    <w:p w14:paraId="60B1184A" w14:textId="77777777" w:rsidR="00977241" w:rsidRDefault="00977241" w:rsidP="00EC1AF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9DC7D48" w14:textId="3A702818" w:rsidR="00EC1AF6" w:rsidRPr="00DF107D" w:rsidRDefault="00EC1AF6" w:rsidP="00EC1AF6">
    <w:pPr>
      <w:pStyle w:val="Title"/>
      <w:jc w:val="center"/>
      <w:rPr>
        <w:b/>
        <w:bCs/>
        <w:color w:val="0070C0"/>
        <w:sz w:val="36"/>
        <w:szCs w:val="36"/>
      </w:rPr>
    </w:pPr>
    <w:r w:rsidRPr="00DF107D">
      <w:rPr>
        <w:b/>
        <w:bCs/>
        <w:color w:val="0070C0"/>
        <w:sz w:val="36"/>
        <w:szCs w:val="36"/>
      </w:rPr>
      <w:t xml:space="preserve">Decision Making &amp; Safety Netting in </w:t>
    </w:r>
    <w:r w:rsidR="00DF107D" w:rsidRPr="00DF107D">
      <w:rPr>
        <w:b/>
        <w:bCs/>
        <w:color w:val="0070C0"/>
        <w:sz w:val="36"/>
        <w:szCs w:val="36"/>
      </w:rPr>
      <w:t>the Acute Presentations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6364E77"/>
    <w:multiLevelType w:val="hybridMultilevel"/>
    <w:tmpl w:val="7E4003B0"/>
    <w:lvl w:ilvl="0" w:tplc="772A13E4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268244B"/>
    <w:multiLevelType w:val="hybridMultilevel"/>
    <w:tmpl w:val="F17A894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06D781A"/>
    <w:multiLevelType w:val="multilevel"/>
    <w:tmpl w:val="C2FA9F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46A15E10"/>
    <w:multiLevelType w:val="hybridMultilevel"/>
    <w:tmpl w:val="9F4A735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2EB5767"/>
    <w:multiLevelType w:val="hybridMultilevel"/>
    <w:tmpl w:val="A8D8F866"/>
    <w:lvl w:ilvl="0" w:tplc="0809000F">
      <w:start w:val="1"/>
      <w:numFmt w:val="decimal"/>
      <w:lvlText w:val="%1."/>
      <w:lvlJc w:val="left"/>
      <w:pPr>
        <w:ind w:left="600" w:hanging="360"/>
      </w:pPr>
    </w:lvl>
    <w:lvl w:ilvl="1" w:tplc="08090019" w:tentative="1">
      <w:start w:val="1"/>
      <w:numFmt w:val="lowerLetter"/>
      <w:lvlText w:val="%2."/>
      <w:lvlJc w:val="left"/>
      <w:pPr>
        <w:ind w:left="1320" w:hanging="360"/>
      </w:pPr>
    </w:lvl>
    <w:lvl w:ilvl="2" w:tplc="0809001B" w:tentative="1">
      <w:start w:val="1"/>
      <w:numFmt w:val="lowerRoman"/>
      <w:lvlText w:val="%3."/>
      <w:lvlJc w:val="right"/>
      <w:pPr>
        <w:ind w:left="2040" w:hanging="180"/>
      </w:pPr>
    </w:lvl>
    <w:lvl w:ilvl="3" w:tplc="0809000F" w:tentative="1">
      <w:start w:val="1"/>
      <w:numFmt w:val="decimal"/>
      <w:lvlText w:val="%4."/>
      <w:lvlJc w:val="left"/>
      <w:pPr>
        <w:ind w:left="2760" w:hanging="360"/>
      </w:pPr>
    </w:lvl>
    <w:lvl w:ilvl="4" w:tplc="08090019" w:tentative="1">
      <w:start w:val="1"/>
      <w:numFmt w:val="lowerLetter"/>
      <w:lvlText w:val="%5."/>
      <w:lvlJc w:val="left"/>
      <w:pPr>
        <w:ind w:left="3480" w:hanging="360"/>
      </w:pPr>
    </w:lvl>
    <w:lvl w:ilvl="5" w:tplc="0809001B" w:tentative="1">
      <w:start w:val="1"/>
      <w:numFmt w:val="lowerRoman"/>
      <w:lvlText w:val="%6."/>
      <w:lvlJc w:val="right"/>
      <w:pPr>
        <w:ind w:left="4200" w:hanging="180"/>
      </w:pPr>
    </w:lvl>
    <w:lvl w:ilvl="6" w:tplc="0809000F" w:tentative="1">
      <w:start w:val="1"/>
      <w:numFmt w:val="decimal"/>
      <w:lvlText w:val="%7."/>
      <w:lvlJc w:val="left"/>
      <w:pPr>
        <w:ind w:left="4920" w:hanging="360"/>
      </w:pPr>
    </w:lvl>
    <w:lvl w:ilvl="7" w:tplc="08090019" w:tentative="1">
      <w:start w:val="1"/>
      <w:numFmt w:val="lowerLetter"/>
      <w:lvlText w:val="%8."/>
      <w:lvlJc w:val="left"/>
      <w:pPr>
        <w:ind w:left="5640" w:hanging="360"/>
      </w:pPr>
    </w:lvl>
    <w:lvl w:ilvl="8" w:tplc="0809001B" w:tentative="1">
      <w:start w:val="1"/>
      <w:numFmt w:val="lowerRoman"/>
      <w:lvlText w:val="%9."/>
      <w:lvlJc w:val="right"/>
      <w:pPr>
        <w:ind w:left="6360" w:hanging="180"/>
      </w:pPr>
    </w:lvl>
  </w:abstractNum>
  <w:abstractNum w:abstractNumId="5" w15:restartNumberingAfterBreak="0">
    <w:nsid w:val="618D2CF5"/>
    <w:multiLevelType w:val="hybridMultilevel"/>
    <w:tmpl w:val="E580F11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  <w:num w:numId="5">
    <w:abstractNumId w:val="5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1AF6"/>
    <w:rsid w:val="00694004"/>
    <w:rsid w:val="00977241"/>
    <w:rsid w:val="00DF107D"/>
    <w:rsid w:val="00EC1A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BE7455"/>
  <w15:chartTrackingRefBased/>
  <w15:docId w15:val="{65D9B496-9142-48CA-B82C-ED8BF17DFE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ref-lnk">
    <w:name w:val="ref-lnk"/>
    <w:basedOn w:val="DefaultParagraphFont"/>
    <w:rsid w:val="00EC1AF6"/>
  </w:style>
  <w:style w:type="character" w:styleId="Hyperlink">
    <w:name w:val="Hyperlink"/>
    <w:basedOn w:val="DefaultParagraphFont"/>
    <w:uiPriority w:val="99"/>
    <w:semiHidden/>
    <w:unhideWhenUsed/>
    <w:rsid w:val="00EC1AF6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EC1AF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inline">
    <w:name w:val="inline"/>
    <w:basedOn w:val="Normal"/>
    <w:rsid w:val="00EC1AF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Header">
    <w:name w:val="header"/>
    <w:basedOn w:val="Normal"/>
    <w:link w:val="HeaderChar"/>
    <w:uiPriority w:val="99"/>
    <w:unhideWhenUsed/>
    <w:rsid w:val="00EC1AF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C1AF6"/>
  </w:style>
  <w:style w:type="paragraph" w:styleId="Footer">
    <w:name w:val="footer"/>
    <w:basedOn w:val="Normal"/>
    <w:link w:val="FooterChar"/>
    <w:uiPriority w:val="99"/>
    <w:unhideWhenUsed/>
    <w:rsid w:val="00EC1AF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C1AF6"/>
  </w:style>
  <w:style w:type="paragraph" w:styleId="Title">
    <w:name w:val="Title"/>
    <w:basedOn w:val="Normal"/>
    <w:next w:val="Normal"/>
    <w:link w:val="TitleChar"/>
    <w:uiPriority w:val="10"/>
    <w:qFormat/>
    <w:rsid w:val="00EC1AF6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C1AF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ListParagraph">
    <w:name w:val="List Paragraph"/>
    <w:basedOn w:val="Normal"/>
    <w:uiPriority w:val="34"/>
    <w:qFormat/>
    <w:rsid w:val="00DF107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62095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tandfonline.com/doi/full/10.3109/13814788.2015.1092516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408</Words>
  <Characters>2326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Ramesh Mehay</dc:creator>
  <cp:keywords/>
  <dc:description/>
  <cp:lastModifiedBy>Ramesh Mehay</cp:lastModifiedBy>
  <cp:revision>1</cp:revision>
  <dcterms:created xsi:type="dcterms:W3CDTF">2020-03-31T20:49:00Z</dcterms:created>
  <dcterms:modified xsi:type="dcterms:W3CDTF">2020-03-31T21:08:00Z</dcterms:modified>
</cp:coreProperties>
</file>