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723D02" w14:textId="77777777" w:rsidR="00C90941" w:rsidRPr="00C90941" w:rsidRDefault="00C90941" w:rsidP="00C90941">
      <w:pPr>
        <w:pStyle w:val="Title"/>
        <w:jc w:val="center"/>
        <w:rPr>
          <w:color w:val="0070C0"/>
        </w:rPr>
      </w:pPr>
      <w:r w:rsidRPr="00C90941">
        <w:rPr>
          <w:color w:val="0070C0"/>
        </w:rPr>
        <w:t>FEVER-PAIN and CENTOR for Sore Throats</w:t>
      </w:r>
    </w:p>
    <w:p w14:paraId="1D08AB2D" w14:textId="77777777" w:rsidR="00C90941" w:rsidRPr="00C90941" w:rsidRDefault="00C90941" w:rsidP="006E1B27">
      <w:pPr>
        <w:pStyle w:val="Title"/>
        <w:rPr>
          <w:sz w:val="24"/>
          <w:szCs w:val="24"/>
        </w:rPr>
      </w:pPr>
    </w:p>
    <w:p w14:paraId="3F0BA8B0" w14:textId="029B5B42" w:rsidR="006E1B27" w:rsidRPr="00C90941" w:rsidRDefault="006E1B27" w:rsidP="006E1B27">
      <w:pPr>
        <w:pStyle w:val="Title"/>
        <w:rPr>
          <w:sz w:val="44"/>
          <w:szCs w:val="44"/>
        </w:rPr>
      </w:pPr>
      <w:r w:rsidRPr="00C90941">
        <w:rPr>
          <w:sz w:val="44"/>
          <w:szCs w:val="44"/>
        </w:rPr>
        <w:t>When to Use</w:t>
      </w:r>
    </w:p>
    <w:p w14:paraId="669ABD14" w14:textId="53533304" w:rsidR="006E1B27" w:rsidRDefault="006E1B27" w:rsidP="006E1B27">
      <w:pPr>
        <w:jc w:val="both"/>
      </w:pPr>
      <w:r w:rsidRPr="006E1B27">
        <w:t xml:space="preserve">People </w:t>
      </w:r>
      <w:r w:rsidR="00C90941">
        <w:t xml:space="preserve">(adults &amp; children) </w:t>
      </w:r>
      <w:r w:rsidRPr="006E1B27">
        <w:t xml:space="preserve">with a sore throat caused by streptococcal bacteria are more likely to benefit from antibiotics. </w:t>
      </w:r>
      <w:proofErr w:type="spellStart"/>
      <w:r w:rsidRPr="006E1B27">
        <w:t>FeverPAIN</w:t>
      </w:r>
      <w:proofErr w:type="spellEnd"/>
      <w:r w:rsidRPr="006E1B27">
        <w:t xml:space="preserve"> or </w:t>
      </w:r>
      <w:proofErr w:type="spellStart"/>
      <w:r w:rsidRPr="006E1B27">
        <w:t>Centor</w:t>
      </w:r>
      <w:proofErr w:type="spellEnd"/>
      <w:r w:rsidRPr="006E1B27">
        <w:t xml:space="preserve"> criteria are clinical scoring tools that can help to identify the people in whom this is more likely.</w:t>
      </w:r>
    </w:p>
    <w:p w14:paraId="3CADB0DF" w14:textId="77777777" w:rsidR="006E1B27" w:rsidRPr="00C90941" w:rsidRDefault="006E1B27" w:rsidP="006E1B27">
      <w:pPr>
        <w:jc w:val="both"/>
        <w:rPr>
          <w:color w:val="0070C0"/>
          <w:sz w:val="16"/>
          <w:szCs w:val="16"/>
        </w:rPr>
      </w:pPr>
    </w:p>
    <w:p w14:paraId="601864AA" w14:textId="3525B5FE" w:rsidR="006E1B27" w:rsidRPr="00C90941" w:rsidRDefault="006E1B27" w:rsidP="006E1B27">
      <w:pPr>
        <w:pStyle w:val="Title"/>
        <w:rPr>
          <w:color w:val="0070C0"/>
          <w:sz w:val="44"/>
          <w:szCs w:val="44"/>
        </w:rPr>
      </w:pPr>
      <w:proofErr w:type="spellStart"/>
      <w:r w:rsidRPr="00C90941">
        <w:rPr>
          <w:color w:val="0070C0"/>
          <w:sz w:val="44"/>
          <w:szCs w:val="44"/>
        </w:rPr>
        <w:t>FeverPAIN</w:t>
      </w:r>
      <w:proofErr w:type="spellEnd"/>
      <w:r w:rsidRPr="00C90941">
        <w:rPr>
          <w:color w:val="0070C0"/>
          <w:sz w:val="44"/>
          <w:szCs w:val="44"/>
        </w:rPr>
        <w:t xml:space="preserve"> criteria</w:t>
      </w:r>
    </w:p>
    <w:p w14:paraId="6567196D" w14:textId="77777777" w:rsidR="006E1B27" w:rsidRDefault="006E1B27" w:rsidP="006E1B27"/>
    <w:p w14:paraId="3C81460B" w14:textId="7987AF90" w:rsidR="006E1B27" w:rsidRDefault="006E1B27" w:rsidP="006E1B27">
      <w:pPr>
        <w:pStyle w:val="ListParagraph"/>
        <w:numPr>
          <w:ilvl w:val="0"/>
          <w:numId w:val="1"/>
        </w:numPr>
      </w:pPr>
      <w:r w:rsidRPr="006E1B27">
        <w:rPr>
          <w:b/>
          <w:bCs/>
        </w:rPr>
        <w:t>Fever</w:t>
      </w:r>
      <w:r>
        <w:t xml:space="preserve"> (during previous 24 hours)</w:t>
      </w:r>
    </w:p>
    <w:p w14:paraId="41F4C25D" w14:textId="3F475D03" w:rsidR="006E1B27" w:rsidRDefault="006E1B27" w:rsidP="006E1B27">
      <w:pPr>
        <w:pStyle w:val="ListParagraph"/>
        <w:numPr>
          <w:ilvl w:val="0"/>
          <w:numId w:val="1"/>
        </w:numPr>
      </w:pPr>
      <w:r w:rsidRPr="006E1B27">
        <w:rPr>
          <w:b/>
          <w:bCs/>
        </w:rPr>
        <w:t>Purulence</w:t>
      </w:r>
      <w:r>
        <w:t xml:space="preserve"> (pus on tonsils)</w:t>
      </w:r>
    </w:p>
    <w:p w14:paraId="27B4A774" w14:textId="2FC823F1" w:rsidR="006E1B27" w:rsidRDefault="006E1B27" w:rsidP="006E1B27">
      <w:pPr>
        <w:pStyle w:val="ListParagraph"/>
        <w:numPr>
          <w:ilvl w:val="0"/>
          <w:numId w:val="1"/>
        </w:numPr>
      </w:pPr>
      <w:r w:rsidRPr="006E1B27">
        <w:rPr>
          <w:b/>
          <w:bCs/>
        </w:rPr>
        <w:t>Attend</w:t>
      </w:r>
      <w:r>
        <w:t xml:space="preserve"> rapidly (within 3 days after onset of symptoms)</w:t>
      </w:r>
    </w:p>
    <w:p w14:paraId="163D466E" w14:textId="2C17A4F3" w:rsidR="006E1B27" w:rsidRDefault="006E1B27" w:rsidP="006E1B27">
      <w:pPr>
        <w:pStyle w:val="ListParagraph"/>
        <w:numPr>
          <w:ilvl w:val="0"/>
          <w:numId w:val="1"/>
        </w:numPr>
      </w:pPr>
      <w:r>
        <w:t xml:space="preserve">Severely </w:t>
      </w:r>
      <w:r w:rsidRPr="006E1B27">
        <w:rPr>
          <w:b/>
          <w:bCs/>
        </w:rPr>
        <w:t>Inflamed</w:t>
      </w:r>
      <w:r>
        <w:t xml:space="preserve"> tonsils</w:t>
      </w:r>
    </w:p>
    <w:p w14:paraId="47C39B0A" w14:textId="77777777" w:rsidR="006E1B27" w:rsidRDefault="006E1B27" w:rsidP="006E1B27">
      <w:pPr>
        <w:pStyle w:val="ListParagraph"/>
        <w:numPr>
          <w:ilvl w:val="0"/>
          <w:numId w:val="1"/>
        </w:numPr>
      </w:pPr>
      <w:r w:rsidRPr="006E1B27">
        <w:rPr>
          <w:b/>
          <w:bCs/>
        </w:rPr>
        <w:t>No cough or coryza</w:t>
      </w:r>
      <w:r>
        <w:t xml:space="preserve"> (inflammation of mucus membranes in the nose)</w:t>
      </w:r>
    </w:p>
    <w:p w14:paraId="361FA780" w14:textId="26CFB7F1" w:rsidR="006E1B27" w:rsidRDefault="006E1B27" w:rsidP="006E1B27">
      <w:r>
        <w:t>Each is worth 1 point.</w:t>
      </w:r>
    </w:p>
    <w:p w14:paraId="29192C3A" w14:textId="77777777" w:rsidR="006E1B27" w:rsidRDefault="006E1B27" w:rsidP="006E1B27">
      <w:r>
        <w:t xml:space="preserve">Each of the </w:t>
      </w:r>
      <w:proofErr w:type="spellStart"/>
      <w:r>
        <w:t>FeverPAIN</w:t>
      </w:r>
      <w:proofErr w:type="spellEnd"/>
      <w:r>
        <w:t xml:space="preserve"> criteria score 1 point (maximum score of 5). </w:t>
      </w:r>
    </w:p>
    <w:p w14:paraId="4E745BB8" w14:textId="77777777" w:rsidR="006E1B27" w:rsidRDefault="006E1B27" w:rsidP="006E1B27">
      <w:r>
        <w:t xml:space="preserve">Higher scores suggest more severe symptoms and likely bacterial (streptococcal) cause. </w:t>
      </w:r>
    </w:p>
    <w:p w14:paraId="5E8B38B1" w14:textId="77777777" w:rsidR="006E1B27" w:rsidRDefault="006E1B27" w:rsidP="006E1B27">
      <w:pPr>
        <w:pStyle w:val="ListParagraph"/>
        <w:numPr>
          <w:ilvl w:val="0"/>
          <w:numId w:val="2"/>
        </w:numPr>
        <w:ind w:right="-755"/>
      </w:pPr>
      <w:r>
        <w:t xml:space="preserve">A score of 0 or 1 is thought to be associated with a 13 to 18% likelihood of isolating streptococcus. </w:t>
      </w:r>
    </w:p>
    <w:p w14:paraId="204C2074" w14:textId="77777777" w:rsidR="006E1B27" w:rsidRDefault="006E1B27" w:rsidP="006E1B27">
      <w:pPr>
        <w:pStyle w:val="ListParagraph"/>
        <w:numPr>
          <w:ilvl w:val="0"/>
          <w:numId w:val="2"/>
        </w:numPr>
        <w:ind w:right="-755"/>
      </w:pPr>
      <w:r>
        <w:t xml:space="preserve">A score of 2 or 3 is thought to be associated with a 34 to 40% likelihood of isolating streptococcus. </w:t>
      </w:r>
    </w:p>
    <w:p w14:paraId="77699D4F" w14:textId="1E0AD2F7" w:rsidR="006E1B27" w:rsidRDefault="006E1B27" w:rsidP="006E1B27">
      <w:pPr>
        <w:pStyle w:val="ListParagraph"/>
        <w:numPr>
          <w:ilvl w:val="0"/>
          <w:numId w:val="2"/>
        </w:numPr>
        <w:ind w:right="-755"/>
      </w:pPr>
      <w:r>
        <w:t>A score of 4 or 5 is thought to be associated with a 62 to 65% likelihood of isolating streptococcus.</w:t>
      </w:r>
    </w:p>
    <w:p w14:paraId="6AB38E04" w14:textId="77777777" w:rsidR="006E1B27" w:rsidRPr="006E1B27" w:rsidRDefault="006E1B27" w:rsidP="006E1B27">
      <w:pPr>
        <w:pStyle w:val="Title"/>
        <w:rPr>
          <w:color w:val="0070C0"/>
        </w:rPr>
      </w:pPr>
    </w:p>
    <w:p w14:paraId="7D44FB53" w14:textId="1D2334F6" w:rsidR="006E1B27" w:rsidRPr="00C90941" w:rsidRDefault="006E1B27" w:rsidP="006E1B27">
      <w:pPr>
        <w:pStyle w:val="Title"/>
        <w:rPr>
          <w:color w:val="0070C0"/>
          <w:sz w:val="44"/>
          <w:szCs w:val="44"/>
        </w:rPr>
      </w:pPr>
      <w:proofErr w:type="spellStart"/>
      <w:r w:rsidRPr="00C90941">
        <w:rPr>
          <w:color w:val="0070C0"/>
          <w:sz w:val="44"/>
          <w:szCs w:val="44"/>
        </w:rPr>
        <w:t>Centor</w:t>
      </w:r>
      <w:proofErr w:type="spellEnd"/>
      <w:r w:rsidRPr="00C90941">
        <w:rPr>
          <w:color w:val="0070C0"/>
          <w:sz w:val="44"/>
          <w:szCs w:val="44"/>
        </w:rPr>
        <w:t xml:space="preserve"> criteria</w:t>
      </w:r>
    </w:p>
    <w:p w14:paraId="795C0F87" w14:textId="77777777" w:rsidR="006E1B27" w:rsidRDefault="006E1B27" w:rsidP="006E1B27"/>
    <w:p w14:paraId="46706364" w14:textId="058C7B1F" w:rsidR="006E1B27" w:rsidRPr="006E1B27" w:rsidRDefault="006E1B27" w:rsidP="006E1B27">
      <w:pPr>
        <w:pStyle w:val="ListParagraph"/>
        <w:numPr>
          <w:ilvl w:val="0"/>
          <w:numId w:val="4"/>
        </w:numPr>
        <w:rPr>
          <w:b/>
          <w:bCs/>
        </w:rPr>
      </w:pPr>
      <w:r w:rsidRPr="006E1B27">
        <w:rPr>
          <w:b/>
          <w:bCs/>
        </w:rPr>
        <w:t>Tonsillar exudate</w:t>
      </w:r>
    </w:p>
    <w:p w14:paraId="39C7621D" w14:textId="5BCCA1E1" w:rsidR="006E1B27" w:rsidRDefault="006E1B27" w:rsidP="006E1B27">
      <w:pPr>
        <w:pStyle w:val="ListParagraph"/>
        <w:numPr>
          <w:ilvl w:val="0"/>
          <w:numId w:val="4"/>
        </w:numPr>
      </w:pPr>
      <w:r w:rsidRPr="006E1B27">
        <w:rPr>
          <w:b/>
          <w:bCs/>
        </w:rPr>
        <w:t>Tender</w:t>
      </w:r>
      <w:r>
        <w:t xml:space="preserve"> anterior cervical lymphadenopathy or lymphadenitis</w:t>
      </w:r>
    </w:p>
    <w:p w14:paraId="2BA6BC51" w14:textId="546B2E0C" w:rsidR="006E1B27" w:rsidRDefault="006E1B27" w:rsidP="006E1B27">
      <w:pPr>
        <w:pStyle w:val="ListParagraph"/>
        <w:numPr>
          <w:ilvl w:val="0"/>
          <w:numId w:val="4"/>
        </w:numPr>
      </w:pPr>
      <w:r>
        <w:t xml:space="preserve">History of </w:t>
      </w:r>
      <w:r w:rsidRPr="006E1B27">
        <w:rPr>
          <w:b/>
          <w:bCs/>
        </w:rPr>
        <w:t>fever</w:t>
      </w:r>
      <w:r>
        <w:t xml:space="preserve"> (over 38°C)</w:t>
      </w:r>
    </w:p>
    <w:p w14:paraId="36934033" w14:textId="77777777" w:rsidR="006E1B27" w:rsidRPr="006E1B27" w:rsidRDefault="006E1B27" w:rsidP="006E1B27">
      <w:pPr>
        <w:pStyle w:val="ListParagraph"/>
        <w:numPr>
          <w:ilvl w:val="0"/>
          <w:numId w:val="4"/>
        </w:numPr>
        <w:rPr>
          <w:b/>
          <w:bCs/>
        </w:rPr>
      </w:pPr>
      <w:r w:rsidRPr="006E1B27">
        <w:rPr>
          <w:b/>
          <w:bCs/>
        </w:rPr>
        <w:t>Absence of cough</w:t>
      </w:r>
      <w:bookmarkStart w:id="0" w:name="_GoBack"/>
      <w:bookmarkEnd w:id="0"/>
    </w:p>
    <w:p w14:paraId="4A12B706" w14:textId="5D452D34" w:rsidR="006E1B27" w:rsidRDefault="006E1B27" w:rsidP="006E1B27">
      <w:r>
        <w:t>Each is worth one point.</w:t>
      </w:r>
    </w:p>
    <w:p w14:paraId="167B9134" w14:textId="77777777" w:rsidR="006E1B27" w:rsidRDefault="006E1B27" w:rsidP="006E1B27">
      <w:r>
        <w:t xml:space="preserve">Each of the </w:t>
      </w:r>
      <w:proofErr w:type="spellStart"/>
      <w:r>
        <w:t>Centor</w:t>
      </w:r>
      <w:proofErr w:type="spellEnd"/>
      <w:r>
        <w:t xml:space="preserve"> criteria score 1 point (maximum score of 4). </w:t>
      </w:r>
    </w:p>
    <w:p w14:paraId="1562E02E" w14:textId="77777777" w:rsidR="006E1B27" w:rsidRDefault="006E1B27" w:rsidP="006E1B27">
      <w:pPr>
        <w:pStyle w:val="ListParagraph"/>
        <w:numPr>
          <w:ilvl w:val="0"/>
          <w:numId w:val="5"/>
        </w:numPr>
      </w:pPr>
      <w:r>
        <w:t>A score of 0, 1 or 2 is thought to be associated with a 3 to 17% likelihood of isolating streptococcus.</w:t>
      </w:r>
    </w:p>
    <w:p w14:paraId="2FB5768E" w14:textId="31989BD5" w:rsidR="00F029EC" w:rsidRDefault="006E1B27" w:rsidP="006E1B27">
      <w:pPr>
        <w:pStyle w:val="ListParagraph"/>
        <w:numPr>
          <w:ilvl w:val="0"/>
          <w:numId w:val="5"/>
        </w:numPr>
      </w:pPr>
      <w:r>
        <w:t>A score of 3 or 4 is thought to be associated with a 32 to 56% likelihood of isolating streptococcus.</w:t>
      </w:r>
    </w:p>
    <w:p w14:paraId="469F08C1" w14:textId="65A29140" w:rsidR="00C90941" w:rsidRDefault="00C90941" w:rsidP="00C90941"/>
    <w:p w14:paraId="28AB2FC6" w14:textId="400D2FC7" w:rsidR="00C90941" w:rsidRDefault="00C90941" w:rsidP="00C90941">
      <w:r>
        <w:t>See flowchart next page</w:t>
      </w:r>
    </w:p>
    <w:p w14:paraId="54EEA91A" w14:textId="4A536944" w:rsidR="00C90941" w:rsidRDefault="00C90941" w:rsidP="00C90941">
      <w:pPr>
        <w:rPr>
          <w:rFonts w:ascii="PT Sans" w:hAnsi="PT Sans"/>
          <w:b/>
          <w:bCs/>
          <w:color w:val="444444"/>
          <w:shd w:val="clear" w:color="auto" w:fill="F0F2F2"/>
        </w:rPr>
      </w:pPr>
      <w:r>
        <w:rPr>
          <w:rFonts w:ascii="PT Sans" w:hAnsi="PT Sans"/>
          <w:b/>
          <w:bCs/>
          <w:color w:val="444444"/>
          <w:shd w:val="clear" w:color="auto" w:fill="F0F2F2"/>
        </w:rPr>
        <w:lastRenderedPageBreak/>
        <w:t>Algorithm for the management of sore throat</w:t>
      </w:r>
    </w:p>
    <w:p w14:paraId="7CFA3921" w14:textId="472FE52A" w:rsidR="00C90941" w:rsidRDefault="00C90941" w:rsidP="00C90941">
      <w:pPr>
        <w:rPr>
          <w:rFonts w:ascii="PT Sans" w:hAnsi="PT Sans"/>
          <w:b/>
          <w:bCs/>
          <w:color w:val="444444"/>
          <w:shd w:val="clear" w:color="auto" w:fill="F0F2F2"/>
        </w:rPr>
      </w:pPr>
      <w:r>
        <w:rPr>
          <w:noProof/>
        </w:rPr>
        <w:drawing>
          <wp:inline distT="0" distB="0" distL="0" distR="0" wp14:anchorId="4D2FE77D" wp14:editId="695D9BD3">
            <wp:extent cx="5731510" cy="6818130"/>
            <wp:effectExtent l="0" t="0" r="2540" b="1905"/>
            <wp:docPr id="1" name="Picture 1" descr="Algorithm for the management of sore throat 1280x1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gorithm for the management of sore throat 1280x15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6818130"/>
                    </a:xfrm>
                    <a:prstGeom prst="rect">
                      <a:avLst/>
                    </a:prstGeom>
                    <a:noFill/>
                    <a:ln>
                      <a:noFill/>
                    </a:ln>
                  </pic:spPr>
                </pic:pic>
              </a:graphicData>
            </a:graphic>
          </wp:inline>
        </w:drawing>
      </w:r>
    </w:p>
    <w:p w14:paraId="13774B3C" w14:textId="6EEBABAD" w:rsidR="00C90941" w:rsidRDefault="00C90941" w:rsidP="00C90941">
      <w:pPr>
        <w:rPr>
          <w:rFonts w:ascii="PT Sans" w:hAnsi="PT Sans"/>
          <w:b/>
          <w:bCs/>
          <w:color w:val="444444"/>
          <w:shd w:val="clear" w:color="auto" w:fill="F0F2F2"/>
        </w:rPr>
      </w:pPr>
    </w:p>
    <w:p w14:paraId="62260096" w14:textId="66F15454" w:rsidR="00C90941" w:rsidRDefault="00C90941" w:rsidP="00C90941">
      <w:pPr>
        <w:rPr>
          <w:rFonts w:ascii="PT Sans" w:hAnsi="PT Sans"/>
          <w:b/>
          <w:bCs/>
          <w:color w:val="444444"/>
          <w:shd w:val="clear" w:color="auto" w:fill="F0F2F2"/>
        </w:rPr>
      </w:pPr>
    </w:p>
    <w:p w14:paraId="533D128D" w14:textId="68FD849C" w:rsidR="00C90941" w:rsidRDefault="00C90941" w:rsidP="00C90941">
      <w:pPr>
        <w:rPr>
          <w:rFonts w:ascii="PT Sans" w:hAnsi="PT Sans"/>
          <w:b/>
          <w:bCs/>
          <w:color w:val="444444"/>
          <w:shd w:val="clear" w:color="auto" w:fill="F0F2F2"/>
        </w:rPr>
      </w:pPr>
    </w:p>
    <w:p w14:paraId="60D54942" w14:textId="2D0957D6" w:rsidR="00C90941" w:rsidRDefault="00C90941" w:rsidP="00C90941">
      <w:pPr>
        <w:rPr>
          <w:rFonts w:ascii="PT Sans" w:hAnsi="PT Sans"/>
          <w:b/>
          <w:bCs/>
          <w:color w:val="444444"/>
          <w:shd w:val="clear" w:color="auto" w:fill="F0F2F2"/>
        </w:rPr>
      </w:pPr>
    </w:p>
    <w:p w14:paraId="2E63AF94" w14:textId="18A9C984" w:rsidR="00C90941" w:rsidRDefault="00C90941" w:rsidP="00C90941">
      <w:pPr>
        <w:rPr>
          <w:rFonts w:ascii="PT Sans" w:hAnsi="PT Sans"/>
          <w:b/>
          <w:bCs/>
          <w:color w:val="444444"/>
          <w:shd w:val="clear" w:color="auto" w:fill="F0F2F2"/>
        </w:rPr>
      </w:pPr>
    </w:p>
    <w:tbl>
      <w:tblPr>
        <w:tblW w:w="0" w:type="auto"/>
        <w:tblBorders>
          <w:top w:val="single" w:sz="12" w:space="0" w:color="auto"/>
          <w:left w:val="single" w:sz="12" w:space="0" w:color="auto"/>
          <w:bottom w:val="single" w:sz="12" w:space="0" w:color="auto"/>
          <w:right w:val="single"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577"/>
        <w:gridCol w:w="5449"/>
      </w:tblGrid>
      <w:tr w:rsidR="00534E01" w:rsidRPr="00534E01" w14:paraId="6EEC0FF4" w14:textId="77777777" w:rsidTr="00E148BB">
        <w:tc>
          <w:tcPr>
            <w:tcW w:w="0" w:type="auto"/>
            <w:gridSpan w:val="2"/>
            <w:tcBorders>
              <w:top w:val="nil"/>
              <w:left w:val="nil"/>
              <w:bottom w:val="nil"/>
              <w:right w:val="nil"/>
            </w:tcBorders>
            <w:shd w:val="clear" w:color="auto" w:fill="auto"/>
            <w:tcMar>
              <w:top w:w="150" w:type="dxa"/>
              <w:left w:w="210" w:type="dxa"/>
              <w:bottom w:w="150" w:type="dxa"/>
              <w:right w:w="210" w:type="dxa"/>
            </w:tcMar>
            <w:vAlign w:val="center"/>
            <w:hideMark/>
          </w:tcPr>
          <w:p w14:paraId="74C61A4E" w14:textId="77777777" w:rsidR="00534E01" w:rsidRPr="00534E01" w:rsidRDefault="00534E01" w:rsidP="00E148BB">
            <w:pPr>
              <w:spacing w:after="0" w:line="240" w:lineRule="auto"/>
              <w:rPr>
                <w:rFonts w:ascii="Times New Roman" w:eastAsia="Times New Roman" w:hAnsi="Times New Roman" w:cs="Times New Roman"/>
                <w:b/>
                <w:bCs/>
                <w:sz w:val="24"/>
                <w:szCs w:val="24"/>
                <w:lang w:eastAsia="en-GB"/>
              </w:rPr>
            </w:pPr>
            <w:r w:rsidRPr="00534E01">
              <w:rPr>
                <w:rFonts w:ascii="Times New Roman" w:eastAsia="Times New Roman" w:hAnsi="Times New Roman" w:cs="Times New Roman"/>
                <w:b/>
                <w:bCs/>
                <w:sz w:val="24"/>
                <w:szCs w:val="24"/>
                <w:lang w:eastAsia="en-GB"/>
              </w:rPr>
              <w:lastRenderedPageBreak/>
              <w:t>Antibiotics for children and young people under 18 years</w:t>
            </w:r>
          </w:p>
        </w:tc>
      </w:tr>
      <w:tr w:rsidR="00534E01" w:rsidRPr="00534E01" w14:paraId="657DD849" w14:textId="77777777" w:rsidTr="00E148BB">
        <w:tc>
          <w:tcPr>
            <w:tcW w:w="0" w:type="auto"/>
            <w:gridSpan w:val="2"/>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712CF9F3"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b/>
                <w:bCs/>
                <w:sz w:val="24"/>
                <w:szCs w:val="24"/>
                <w:lang w:eastAsia="en-GB"/>
              </w:rPr>
              <w:t>First choice</w:t>
            </w:r>
          </w:p>
        </w:tc>
      </w:tr>
      <w:tr w:rsidR="00534E01" w:rsidRPr="00534E01" w14:paraId="1A36FF57" w14:textId="77777777" w:rsidTr="00E148BB">
        <w:tc>
          <w:tcPr>
            <w:tcW w:w="0" w:type="auto"/>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27DF4FD9"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Phenoxymethylpenicillin</w:t>
            </w:r>
          </w:p>
        </w:tc>
        <w:tc>
          <w:tcPr>
            <w:tcW w:w="0" w:type="auto"/>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3D06FDD1"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1 to 11 months, 62.5 mg four times a day or 125 mg twice a day for 5 to 10 days</w:t>
            </w:r>
          </w:p>
          <w:p w14:paraId="5044076D"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1 to 5 years, 125 mg four times a day or 250 mg twice a day for 5 to 10 days</w:t>
            </w:r>
          </w:p>
          <w:p w14:paraId="5CDDCBE5"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6 to 11 years, 250 mg four times a day or 500 mg twice a day for 5 to 10 days</w:t>
            </w:r>
          </w:p>
          <w:p w14:paraId="43E3EE3A"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12 to 17 years, 500 mg four times a day or 1,000 mg twice a day for 5 to 10 days</w:t>
            </w:r>
          </w:p>
        </w:tc>
      </w:tr>
      <w:tr w:rsidR="00534E01" w:rsidRPr="00534E01" w14:paraId="35C0991D" w14:textId="77777777" w:rsidTr="00E148BB">
        <w:tc>
          <w:tcPr>
            <w:tcW w:w="0" w:type="auto"/>
            <w:gridSpan w:val="2"/>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4AEE5F08"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b/>
                <w:bCs/>
                <w:sz w:val="24"/>
                <w:szCs w:val="24"/>
                <w:lang w:eastAsia="en-GB"/>
              </w:rPr>
              <w:t>Alternative first choices for penicillin allergy or intolerance</w:t>
            </w:r>
            <w:r w:rsidRPr="00534E01">
              <w:rPr>
                <w:rFonts w:ascii="Times New Roman" w:eastAsia="Times New Roman" w:hAnsi="Times New Roman" w:cs="Times New Roman"/>
                <w:b/>
                <w:bCs/>
                <w:sz w:val="24"/>
                <w:szCs w:val="24"/>
                <w:vertAlign w:val="superscript"/>
                <w:lang w:eastAsia="en-GB"/>
              </w:rPr>
              <w:t>[F]</w:t>
            </w:r>
          </w:p>
        </w:tc>
      </w:tr>
      <w:tr w:rsidR="00534E01" w:rsidRPr="00534E01" w14:paraId="3E2BDA50" w14:textId="77777777" w:rsidTr="00E148BB">
        <w:tc>
          <w:tcPr>
            <w:tcW w:w="0" w:type="auto"/>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38BEB3E5"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Clarithromycin</w:t>
            </w:r>
          </w:p>
        </w:tc>
        <w:tc>
          <w:tcPr>
            <w:tcW w:w="0" w:type="auto"/>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0708212D"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1 month to 11 years:</w:t>
            </w:r>
          </w:p>
          <w:p w14:paraId="5DED6BAD"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Under 8 kg, 7.5 mg/kg twice a day for 5 days</w:t>
            </w:r>
          </w:p>
          <w:p w14:paraId="7848ABC1"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8 to 11 kg, 62.5 mg twice a day for 5 days</w:t>
            </w:r>
          </w:p>
          <w:p w14:paraId="16F1F823"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12 to 19 kg, 125 mg twice a day for 5 days</w:t>
            </w:r>
          </w:p>
          <w:p w14:paraId="5BC91547"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20 to 29 kg, 187.5 mg twice a day for 5 days</w:t>
            </w:r>
          </w:p>
          <w:p w14:paraId="4C423855"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30 to 40 kg, 250 mg twice a day for 5 days</w:t>
            </w:r>
          </w:p>
          <w:p w14:paraId="2377F22B"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or</w:t>
            </w:r>
          </w:p>
          <w:p w14:paraId="4B921491"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12 to 17 years, 250 mg to 500 mg twice a day for 5 days</w:t>
            </w:r>
          </w:p>
        </w:tc>
      </w:tr>
      <w:tr w:rsidR="00534E01" w:rsidRPr="00534E01" w14:paraId="16429CF7" w14:textId="77777777" w:rsidTr="00E148BB">
        <w:tc>
          <w:tcPr>
            <w:tcW w:w="0" w:type="auto"/>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33630E86"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Erythromycin</w:t>
            </w:r>
          </w:p>
        </w:tc>
        <w:tc>
          <w:tcPr>
            <w:tcW w:w="0" w:type="auto"/>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7A30EDE3"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1 month to 1 year, 125 mg four times a day or 250 mg twice a day for 5 days</w:t>
            </w:r>
          </w:p>
          <w:p w14:paraId="42231B0B"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2 to 7 years, 250 mg four times a day or 500 mg twice a day for 5 days</w:t>
            </w:r>
          </w:p>
          <w:p w14:paraId="57D15F51"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4"/>
                <w:szCs w:val="24"/>
                <w:lang w:eastAsia="en-GB"/>
              </w:rPr>
              <w:t>8 to 17 years, 250 mg to 500 mg four times a day or 500 mg to 1000 mg twice a day for 5 days</w:t>
            </w:r>
          </w:p>
        </w:tc>
      </w:tr>
      <w:tr w:rsidR="00534E01" w:rsidRPr="00534E01" w14:paraId="035C989E" w14:textId="77777777" w:rsidTr="00E148BB">
        <w:tc>
          <w:tcPr>
            <w:tcW w:w="0" w:type="auto"/>
            <w:gridSpan w:val="2"/>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148C70D9"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0"/>
                <w:szCs w:val="20"/>
                <w:vertAlign w:val="superscript"/>
                <w:lang w:eastAsia="en-GB"/>
              </w:rPr>
              <w:t>[D]</w:t>
            </w:r>
            <w:r w:rsidRPr="00534E01">
              <w:rPr>
                <w:rFonts w:ascii="Times New Roman" w:eastAsia="Times New Roman" w:hAnsi="Times New Roman" w:cs="Times New Roman"/>
                <w:sz w:val="20"/>
                <w:szCs w:val="20"/>
                <w:lang w:eastAsia="en-GB"/>
              </w:rPr>
              <w:t> See </w:t>
            </w:r>
            <w:hyperlink r:id="rId8" w:history="1">
              <w:r w:rsidRPr="00534E01">
                <w:rPr>
                  <w:rFonts w:ascii="Times New Roman" w:eastAsia="Times New Roman" w:hAnsi="Times New Roman" w:cs="Times New Roman"/>
                  <w:color w:val="004990"/>
                  <w:sz w:val="20"/>
                  <w:szCs w:val="20"/>
                  <w:u w:val="single"/>
                  <w:lang w:eastAsia="en-GB"/>
                </w:rPr>
                <w:t>BNF for childre</w:t>
              </w:r>
            </w:hyperlink>
            <w:hyperlink r:id="rId9" w:history="1">
              <w:r w:rsidRPr="00534E01">
                <w:rPr>
                  <w:rFonts w:ascii="Times New Roman" w:eastAsia="Times New Roman" w:hAnsi="Times New Roman" w:cs="Times New Roman"/>
                  <w:color w:val="004990"/>
                  <w:sz w:val="20"/>
                  <w:szCs w:val="20"/>
                  <w:u w:val="single"/>
                  <w:lang w:eastAsia="en-GB"/>
                </w:rPr>
                <w:t>n</w:t>
              </w:r>
            </w:hyperlink>
            <w:r w:rsidRPr="00534E01">
              <w:rPr>
                <w:rFonts w:ascii="Times New Roman" w:eastAsia="Times New Roman" w:hAnsi="Times New Roman" w:cs="Times New Roman"/>
                <w:sz w:val="20"/>
                <w:szCs w:val="20"/>
                <w:lang w:eastAsia="en-GB"/>
              </w:rPr>
              <w:t> for appropriate use and dosing in specific populations, for example hepatic impairment and renal impairment</w:t>
            </w:r>
          </w:p>
          <w:p w14:paraId="6AD1E263"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0"/>
                <w:szCs w:val="20"/>
                <w:lang w:eastAsia="en-GB"/>
              </w:rPr>
              <w:t>[E] The age bands apply to children of average size and, in practice, the prescriber will use the age bands in conjunction with other factors such as the severity of the condition and the child’s size in relation to the average size of children of the same age. Doses given are by mouth using immediate</w:t>
            </w:r>
            <w:r w:rsidRPr="00534E01">
              <w:rPr>
                <w:rFonts w:ascii="Times New Roman" w:eastAsia="Times New Roman" w:hAnsi="Times New Roman" w:cs="Times New Roman"/>
                <w:sz w:val="20"/>
                <w:szCs w:val="20"/>
                <w:lang w:eastAsia="en-GB"/>
              </w:rPr>
              <w:noBreakHyphen/>
              <w:t>release medicines, unless otherwise stated</w:t>
            </w:r>
          </w:p>
          <w:p w14:paraId="10E6DA97" w14:textId="77777777" w:rsidR="00534E01" w:rsidRPr="00534E01" w:rsidRDefault="00534E01" w:rsidP="00E148BB">
            <w:pPr>
              <w:spacing w:after="0" w:line="240" w:lineRule="auto"/>
              <w:rPr>
                <w:rFonts w:ascii="Times New Roman" w:eastAsia="Times New Roman" w:hAnsi="Times New Roman" w:cs="Times New Roman"/>
                <w:sz w:val="24"/>
                <w:szCs w:val="24"/>
                <w:lang w:eastAsia="en-GB"/>
              </w:rPr>
            </w:pPr>
            <w:r w:rsidRPr="00534E01">
              <w:rPr>
                <w:rFonts w:ascii="Times New Roman" w:eastAsia="Times New Roman" w:hAnsi="Times New Roman" w:cs="Times New Roman"/>
                <w:sz w:val="20"/>
                <w:szCs w:val="20"/>
                <w:vertAlign w:val="superscript"/>
                <w:lang w:eastAsia="en-GB"/>
              </w:rPr>
              <w:t>[</w:t>
            </w:r>
            <w:proofErr w:type="gramStart"/>
            <w:r w:rsidRPr="00534E01">
              <w:rPr>
                <w:rFonts w:ascii="Times New Roman" w:eastAsia="Times New Roman" w:hAnsi="Times New Roman" w:cs="Times New Roman"/>
                <w:sz w:val="20"/>
                <w:szCs w:val="20"/>
                <w:vertAlign w:val="superscript"/>
                <w:lang w:eastAsia="en-GB"/>
              </w:rPr>
              <w:t>F] </w:t>
            </w:r>
            <w:r w:rsidRPr="00534E01">
              <w:rPr>
                <w:rFonts w:ascii="Times New Roman" w:eastAsia="Times New Roman" w:hAnsi="Times New Roman" w:cs="Times New Roman"/>
                <w:sz w:val="20"/>
                <w:szCs w:val="20"/>
                <w:lang w:eastAsia="en-GB"/>
              </w:rPr>
              <w:t> Erythromycin</w:t>
            </w:r>
            <w:proofErr w:type="gramEnd"/>
            <w:r w:rsidRPr="00534E01">
              <w:rPr>
                <w:rFonts w:ascii="Times New Roman" w:eastAsia="Times New Roman" w:hAnsi="Times New Roman" w:cs="Times New Roman"/>
                <w:sz w:val="20"/>
                <w:szCs w:val="20"/>
                <w:lang w:eastAsia="en-GB"/>
              </w:rPr>
              <w:t xml:space="preserve"> is preferred in young women who are pregnant</w:t>
            </w:r>
          </w:p>
        </w:tc>
      </w:tr>
    </w:tbl>
    <w:p w14:paraId="44A47916" w14:textId="77777777" w:rsidR="00534E01" w:rsidRDefault="00534E01" w:rsidP="00C90941">
      <w:pPr>
        <w:rPr>
          <w:rFonts w:ascii="PT Sans" w:hAnsi="PT Sans"/>
          <w:b/>
          <w:bCs/>
          <w:color w:val="444444"/>
          <w:shd w:val="clear" w:color="auto" w:fill="F0F2F2"/>
        </w:rPr>
      </w:pPr>
    </w:p>
    <w:p w14:paraId="08B9B4BD" w14:textId="77777777" w:rsidR="00534E01" w:rsidRDefault="00534E01">
      <w:r>
        <w:br w:type="page"/>
      </w:r>
    </w:p>
    <w:tbl>
      <w:tblPr>
        <w:tblW w:w="0" w:type="auto"/>
        <w:tblBorders>
          <w:top w:val="single" w:sz="12" w:space="0" w:color="auto"/>
          <w:left w:val="single" w:sz="12" w:space="0" w:color="auto"/>
          <w:bottom w:val="single" w:sz="12" w:space="0" w:color="auto"/>
          <w:right w:val="single"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36"/>
        <w:gridCol w:w="5990"/>
      </w:tblGrid>
      <w:tr w:rsidR="00C90941" w:rsidRPr="00C90941" w14:paraId="666B5650" w14:textId="77777777" w:rsidTr="00C90941">
        <w:tc>
          <w:tcPr>
            <w:tcW w:w="0" w:type="auto"/>
            <w:gridSpan w:val="2"/>
            <w:tcBorders>
              <w:top w:val="nil"/>
              <w:left w:val="nil"/>
              <w:bottom w:val="nil"/>
              <w:right w:val="nil"/>
            </w:tcBorders>
            <w:shd w:val="clear" w:color="auto" w:fill="auto"/>
            <w:tcMar>
              <w:top w:w="150" w:type="dxa"/>
              <w:left w:w="210" w:type="dxa"/>
              <w:bottom w:w="150" w:type="dxa"/>
              <w:right w:w="210" w:type="dxa"/>
            </w:tcMar>
            <w:vAlign w:val="center"/>
            <w:hideMark/>
          </w:tcPr>
          <w:p w14:paraId="2126BE9D" w14:textId="462EB3EF" w:rsidR="00C90941" w:rsidRPr="00C90941" w:rsidRDefault="00C90941" w:rsidP="00C90941">
            <w:pPr>
              <w:spacing w:after="0" w:line="240" w:lineRule="auto"/>
              <w:rPr>
                <w:rFonts w:ascii="Times New Roman" w:eastAsia="Times New Roman" w:hAnsi="Times New Roman" w:cs="Times New Roman"/>
                <w:b/>
                <w:bCs/>
                <w:sz w:val="24"/>
                <w:szCs w:val="24"/>
                <w:lang w:eastAsia="en-GB"/>
              </w:rPr>
            </w:pPr>
            <w:r w:rsidRPr="00C90941">
              <w:rPr>
                <w:rFonts w:ascii="Times New Roman" w:eastAsia="Times New Roman" w:hAnsi="Times New Roman" w:cs="Times New Roman"/>
                <w:b/>
                <w:bCs/>
                <w:sz w:val="24"/>
                <w:szCs w:val="24"/>
                <w:lang w:eastAsia="en-GB"/>
              </w:rPr>
              <w:lastRenderedPageBreak/>
              <w:t>Antibiotics for adults aged 18 years and over</w:t>
            </w:r>
          </w:p>
        </w:tc>
      </w:tr>
      <w:tr w:rsidR="00C90941" w:rsidRPr="00C90941" w14:paraId="797248E9" w14:textId="77777777" w:rsidTr="00C90941">
        <w:tc>
          <w:tcPr>
            <w:tcW w:w="0" w:type="auto"/>
            <w:gridSpan w:val="2"/>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3EDB2DA1" w14:textId="77777777" w:rsidR="00C90941" w:rsidRPr="00C90941" w:rsidRDefault="00C90941" w:rsidP="00C90941">
            <w:pPr>
              <w:spacing w:after="0" w:line="240" w:lineRule="auto"/>
              <w:rPr>
                <w:rFonts w:ascii="Times New Roman" w:eastAsia="Times New Roman" w:hAnsi="Times New Roman" w:cs="Times New Roman"/>
                <w:sz w:val="24"/>
                <w:szCs w:val="24"/>
                <w:lang w:eastAsia="en-GB"/>
              </w:rPr>
            </w:pPr>
            <w:r w:rsidRPr="00C90941">
              <w:rPr>
                <w:rFonts w:ascii="Times New Roman" w:eastAsia="Times New Roman" w:hAnsi="Times New Roman" w:cs="Times New Roman"/>
                <w:b/>
                <w:bCs/>
                <w:sz w:val="24"/>
                <w:szCs w:val="24"/>
                <w:lang w:eastAsia="en-GB"/>
              </w:rPr>
              <w:t>First choice</w:t>
            </w:r>
          </w:p>
        </w:tc>
      </w:tr>
      <w:tr w:rsidR="00C90941" w:rsidRPr="00C90941" w14:paraId="5A51CFED" w14:textId="77777777" w:rsidTr="00C90941">
        <w:tc>
          <w:tcPr>
            <w:tcW w:w="0" w:type="auto"/>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3064012A" w14:textId="77777777" w:rsidR="00C90941" w:rsidRPr="00C90941" w:rsidRDefault="00C90941" w:rsidP="00C90941">
            <w:pPr>
              <w:spacing w:after="0" w:line="240" w:lineRule="auto"/>
              <w:rPr>
                <w:rFonts w:ascii="Times New Roman" w:eastAsia="Times New Roman" w:hAnsi="Times New Roman" w:cs="Times New Roman"/>
                <w:sz w:val="24"/>
                <w:szCs w:val="24"/>
                <w:lang w:eastAsia="en-GB"/>
              </w:rPr>
            </w:pPr>
            <w:r w:rsidRPr="00C90941">
              <w:rPr>
                <w:rFonts w:ascii="Times New Roman" w:eastAsia="Times New Roman" w:hAnsi="Times New Roman" w:cs="Times New Roman"/>
                <w:sz w:val="24"/>
                <w:szCs w:val="24"/>
                <w:lang w:eastAsia="en-GB"/>
              </w:rPr>
              <w:t>Phenoxymethylpenicillin</w:t>
            </w:r>
          </w:p>
        </w:tc>
        <w:tc>
          <w:tcPr>
            <w:tcW w:w="0" w:type="auto"/>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078D7F1A" w14:textId="77777777" w:rsidR="00C90941" w:rsidRPr="00C90941" w:rsidRDefault="00C90941" w:rsidP="00C90941">
            <w:pPr>
              <w:spacing w:after="0" w:line="240" w:lineRule="auto"/>
              <w:rPr>
                <w:rFonts w:ascii="Times New Roman" w:eastAsia="Times New Roman" w:hAnsi="Times New Roman" w:cs="Times New Roman"/>
                <w:sz w:val="24"/>
                <w:szCs w:val="24"/>
                <w:lang w:eastAsia="en-GB"/>
              </w:rPr>
            </w:pPr>
            <w:r w:rsidRPr="00C90941">
              <w:rPr>
                <w:rFonts w:ascii="Times New Roman" w:eastAsia="Times New Roman" w:hAnsi="Times New Roman" w:cs="Times New Roman"/>
                <w:sz w:val="24"/>
                <w:szCs w:val="24"/>
                <w:lang w:eastAsia="en-GB"/>
              </w:rPr>
              <w:t>500 mg four times a day or 1000 mg twice a day for 5 to 10 days</w:t>
            </w:r>
          </w:p>
        </w:tc>
      </w:tr>
      <w:tr w:rsidR="00C90941" w:rsidRPr="00C90941" w14:paraId="6C42C5FA" w14:textId="77777777" w:rsidTr="00C90941">
        <w:tc>
          <w:tcPr>
            <w:tcW w:w="0" w:type="auto"/>
            <w:gridSpan w:val="2"/>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0FA29BE1" w14:textId="77777777" w:rsidR="00C90941" w:rsidRPr="00C90941" w:rsidRDefault="00C90941" w:rsidP="00C90941">
            <w:pPr>
              <w:spacing w:after="0" w:line="240" w:lineRule="auto"/>
              <w:rPr>
                <w:rFonts w:ascii="Times New Roman" w:eastAsia="Times New Roman" w:hAnsi="Times New Roman" w:cs="Times New Roman"/>
                <w:sz w:val="24"/>
                <w:szCs w:val="24"/>
                <w:lang w:eastAsia="en-GB"/>
              </w:rPr>
            </w:pPr>
            <w:r w:rsidRPr="00C90941">
              <w:rPr>
                <w:rFonts w:ascii="Times New Roman" w:eastAsia="Times New Roman" w:hAnsi="Times New Roman" w:cs="Times New Roman"/>
                <w:b/>
                <w:bCs/>
                <w:sz w:val="24"/>
                <w:szCs w:val="24"/>
                <w:lang w:eastAsia="en-GB"/>
              </w:rPr>
              <w:t>Alternative first choices for penicillin allergy or intolerance</w:t>
            </w:r>
            <w:r w:rsidRPr="00C90941">
              <w:rPr>
                <w:rFonts w:ascii="Times New Roman" w:eastAsia="Times New Roman" w:hAnsi="Times New Roman" w:cs="Times New Roman"/>
                <w:b/>
                <w:bCs/>
                <w:sz w:val="24"/>
                <w:szCs w:val="24"/>
                <w:vertAlign w:val="superscript"/>
                <w:lang w:eastAsia="en-GB"/>
              </w:rPr>
              <w:t>[C]</w:t>
            </w:r>
          </w:p>
        </w:tc>
      </w:tr>
      <w:tr w:rsidR="00C90941" w:rsidRPr="00C90941" w14:paraId="2A1AE662" w14:textId="77777777" w:rsidTr="00C90941">
        <w:tc>
          <w:tcPr>
            <w:tcW w:w="0" w:type="auto"/>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58B1ED59" w14:textId="77777777" w:rsidR="00C90941" w:rsidRPr="00C90941" w:rsidRDefault="00C90941" w:rsidP="00C90941">
            <w:pPr>
              <w:spacing w:after="0" w:line="240" w:lineRule="auto"/>
              <w:rPr>
                <w:rFonts w:ascii="Times New Roman" w:eastAsia="Times New Roman" w:hAnsi="Times New Roman" w:cs="Times New Roman"/>
                <w:sz w:val="24"/>
                <w:szCs w:val="24"/>
                <w:lang w:eastAsia="en-GB"/>
              </w:rPr>
            </w:pPr>
            <w:r w:rsidRPr="00C90941">
              <w:rPr>
                <w:rFonts w:ascii="Times New Roman" w:eastAsia="Times New Roman" w:hAnsi="Times New Roman" w:cs="Times New Roman"/>
                <w:sz w:val="24"/>
                <w:szCs w:val="24"/>
                <w:lang w:eastAsia="en-GB"/>
              </w:rPr>
              <w:t>Clarithromycin</w:t>
            </w:r>
          </w:p>
        </w:tc>
        <w:tc>
          <w:tcPr>
            <w:tcW w:w="0" w:type="auto"/>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3CEB4DF8" w14:textId="77777777" w:rsidR="00C90941" w:rsidRPr="00C90941" w:rsidRDefault="00C90941" w:rsidP="00C90941">
            <w:pPr>
              <w:spacing w:after="0" w:line="240" w:lineRule="auto"/>
              <w:rPr>
                <w:rFonts w:ascii="Times New Roman" w:eastAsia="Times New Roman" w:hAnsi="Times New Roman" w:cs="Times New Roman"/>
                <w:sz w:val="24"/>
                <w:szCs w:val="24"/>
                <w:lang w:eastAsia="en-GB"/>
              </w:rPr>
            </w:pPr>
            <w:r w:rsidRPr="00C90941">
              <w:rPr>
                <w:rFonts w:ascii="Times New Roman" w:eastAsia="Times New Roman" w:hAnsi="Times New Roman" w:cs="Times New Roman"/>
                <w:sz w:val="24"/>
                <w:szCs w:val="24"/>
                <w:lang w:eastAsia="en-GB"/>
              </w:rPr>
              <w:t>250 mg to 500 mg twice a day for 5 days</w:t>
            </w:r>
          </w:p>
        </w:tc>
      </w:tr>
      <w:tr w:rsidR="00C90941" w:rsidRPr="00C90941" w14:paraId="0A91973D" w14:textId="77777777" w:rsidTr="00C90941">
        <w:tc>
          <w:tcPr>
            <w:tcW w:w="0" w:type="auto"/>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6504F56C" w14:textId="77777777" w:rsidR="00C90941" w:rsidRPr="00C90941" w:rsidRDefault="00C90941" w:rsidP="00C90941">
            <w:pPr>
              <w:spacing w:after="0" w:line="240" w:lineRule="auto"/>
              <w:rPr>
                <w:rFonts w:ascii="Times New Roman" w:eastAsia="Times New Roman" w:hAnsi="Times New Roman" w:cs="Times New Roman"/>
                <w:sz w:val="24"/>
                <w:szCs w:val="24"/>
                <w:lang w:eastAsia="en-GB"/>
              </w:rPr>
            </w:pPr>
            <w:r w:rsidRPr="00C90941">
              <w:rPr>
                <w:rFonts w:ascii="Times New Roman" w:eastAsia="Times New Roman" w:hAnsi="Times New Roman" w:cs="Times New Roman"/>
                <w:sz w:val="24"/>
                <w:szCs w:val="24"/>
                <w:lang w:eastAsia="en-GB"/>
              </w:rPr>
              <w:t>Erythromycin</w:t>
            </w:r>
          </w:p>
        </w:tc>
        <w:tc>
          <w:tcPr>
            <w:tcW w:w="0" w:type="auto"/>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0A481671" w14:textId="77777777" w:rsidR="00C90941" w:rsidRPr="00C90941" w:rsidRDefault="00C90941" w:rsidP="00C90941">
            <w:pPr>
              <w:spacing w:after="0" w:line="240" w:lineRule="auto"/>
              <w:rPr>
                <w:rFonts w:ascii="Times New Roman" w:eastAsia="Times New Roman" w:hAnsi="Times New Roman" w:cs="Times New Roman"/>
                <w:sz w:val="24"/>
                <w:szCs w:val="24"/>
                <w:lang w:eastAsia="en-GB"/>
              </w:rPr>
            </w:pPr>
            <w:r w:rsidRPr="00C90941">
              <w:rPr>
                <w:rFonts w:ascii="Times New Roman" w:eastAsia="Times New Roman" w:hAnsi="Times New Roman" w:cs="Times New Roman"/>
                <w:sz w:val="24"/>
                <w:szCs w:val="24"/>
                <w:lang w:eastAsia="en-GB"/>
              </w:rPr>
              <w:t>250 mg to 500 mg four times a day or 500 mg to 1,000 mg twice a day for 5 days</w:t>
            </w:r>
          </w:p>
        </w:tc>
      </w:tr>
      <w:tr w:rsidR="00C90941" w:rsidRPr="00C90941" w14:paraId="1F465C29" w14:textId="77777777" w:rsidTr="00C90941">
        <w:tc>
          <w:tcPr>
            <w:tcW w:w="0" w:type="auto"/>
            <w:gridSpan w:val="2"/>
            <w:tcBorders>
              <w:top w:val="single" w:sz="12" w:space="0" w:color="auto"/>
              <w:left w:val="single" w:sz="12" w:space="0" w:color="auto"/>
              <w:bottom w:val="single" w:sz="12" w:space="0" w:color="auto"/>
              <w:right w:val="single" w:sz="12" w:space="0" w:color="auto"/>
            </w:tcBorders>
            <w:shd w:val="clear" w:color="auto" w:fill="auto"/>
            <w:tcMar>
              <w:top w:w="150" w:type="dxa"/>
              <w:left w:w="210" w:type="dxa"/>
              <w:bottom w:w="150" w:type="dxa"/>
              <w:right w:w="210" w:type="dxa"/>
            </w:tcMar>
            <w:hideMark/>
          </w:tcPr>
          <w:p w14:paraId="0E63BCC1" w14:textId="77777777" w:rsidR="00C90941" w:rsidRPr="00C90941" w:rsidRDefault="00C90941" w:rsidP="00C90941">
            <w:pPr>
              <w:spacing w:after="0" w:line="240" w:lineRule="auto"/>
              <w:rPr>
                <w:rFonts w:ascii="Times New Roman" w:eastAsia="Times New Roman" w:hAnsi="Times New Roman" w:cs="Times New Roman"/>
                <w:sz w:val="24"/>
                <w:szCs w:val="24"/>
                <w:lang w:eastAsia="en-GB"/>
              </w:rPr>
            </w:pPr>
            <w:r w:rsidRPr="00C90941">
              <w:rPr>
                <w:rFonts w:ascii="Times New Roman" w:eastAsia="Times New Roman" w:hAnsi="Times New Roman" w:cs="Times New Roman"/>
                <w:sz w:val="20"/>
                <w:szCs w:val="20"/>
                <w:vertAlign w:val="superscript"/>
                <w:lang w:eastAsia="en-GB"/>
              </w:rPr>
              <w:t>[A]</w:t>
            </w:r>
            <w:r w:rsidRPr="00C90941">
              <w:rPr>
                <w:rFonts w:ascii="Times New Roman" w:eastAsia="Times New Roman" w:hAnsi="Times New Roman" w:cs="Times New Roman"/>
                <w:sz w:val="20"/>
                <w:szCs w:val="20"/>
                <w:lang w:eastAsia="en-GB"/>
              </w:rPr>
              <w:t> See </w:t>
            </w:r>
            <w:hyperlink r:id="rId10" w:history="1">
              <w:r w:rsidRPr="00C90941">
                <w:rPr>
                  <w:rFonts w:ascii="Times New Roman" w:eastAsia="Times New Roman" w:hAnsi="Times New Roman" w:cs="Times New Roman"/>
                  <w:color w:val="004990"/>
                  <w:sz w:val="20"/>
                  <w:szCs w:val="20"/>
                  <w:u w:val="single"/>
                  <w:lang w:eastAsia="en-GB"/>
                </w:rPr>
                <w:t>BNF</w:t>
              </w:r>
            </w:hyperlink>
            <w:r w:rsidRPr="00C90941">
              <w:rPr>
                <w:rFonts w:ascii="Times New Roman" w:eastAsia="Times New Roman" w:hAnsi="Times New Roman" w:cs="Times New Roman"/>
                <w:sz w:val="20"/>
                <w:szCs w:val="20"/>
                <w:lang w:eastAsia="en-GB"/>
              </w:rPr>
              <w:t> for appropriate use and dosing in specific populations, for example, hepatic impairment, renal impairment, pregnancy and breastfeeding.</w:t>
            </w:r>
          </w:p>
          <w:p w14:paraId="234CF76E" w14:textId="77777777" w:rsidR="00C90941" w:rsidRPr="00C90941" w:rsidRDefault="00C90941" w:rsidP="00C90941">
            <w:pPr>
              <w:spacing w:after="0" w:line="240" w:lineRule="auto"/>
              <w:rPr>
                <w:rFonts w:ascii="Times New Roman" w:eastAsia="Times New Roman" w:hAnsi="Times New Roman" w:cs="Times New Roman"/>
                <w:sz w:val="24"/>
                <w:szCs w:val="24"/>
                <w:lang w:eastAsia="en-GB"/>
              </w:rPr>
            </w:pPr>
            <w:r w:rsidRPr="00C90941">
              <w:rPr>
                <w:rFonts w:ascii="Times New Roman" w:eastAsia="Times New Roman" w:hAnsi="Times New Roman" w:cs="Times New Roman"/>
                <w:sz w:val="20"/>
                <w:szCs w:val="20"/>
                <w:vertAlign w:val="superscript"/>
                <w:lang w:eastAsia="en-GB"/>
              </w:rPr>
              <w:t>[B]</w:t>
            </w:r>
            <w:r w:rsidRPr="00C90941">
              <w:rPr>
                <w:rFonts w:ascii="Times New Roman" w:eastAsia="Times New Roman" w:hAnsi="Times New Roman" w:cs="Times New Roman"/>
                <w:sz w:val="20"/>
                <w:szCs w:val="20"/>
                <w:lang w:eastAsia="en-GB"/>
              </w:rPr>
              <w:t> Doses given are by mouth using immediate-release medicines, unless otherwise stated.</w:t>
            </w:r>
          </w:p>
          <w:p w14:paraId="5ABCFD18" w14:textId="77777777" w:rsidR="00C90941" w:rsidRPr="00C90941" w:rsidRDefault="00C90941" w:rsidP="00C90941">
            <w:pPr>
              <w:spacing w:after="0" w:line="240" w:lineRule="auto"/>
              <w:rPr>
                <w:rFonts w:ascii="Times New Roman" w:eastAsia="Times New Roman" w:hAnsi="Times New Roman" w:cs="Times New Roman"/>
                <w:sz w:val="24"/>
                <w:szCs w:val="24"/>
                <w:lang w:eastAsia="en-GB"/>
              </w:rPr>
            </w:pPr>
            <w:r w:rsidRPr="00C90941">
              <w:rPr>
                <w:rFonts w:ascii="Times New Roman" w:eastAsia="Times New Roman" w:hAnsi="Times New Roman" w:cs="Times New Roman"/>
                <w:sz w:val="20"/>
                <w:szCs w:val="20"/>
                <w:vertAlign w:val="superscript"/>
                <w:lang w:eastAsia="en-GB"/>
              </w:rPr>
              <w:t>[C</w:t>
            </w:r>
            <w:proofErr w:type="gramStart"/>
            <w:r w:rsidRPr="00C90941">
              <w:rPr>
                <w:rFonts w:ascii="Times New Roman" w:eastAsia="Times New Roman" w:hAnsi="Times New Roman" w:cs="Times New Roman"/>
                <w:sz w:val="20"/>
                <w:szCs w:val="20"/>
                <w:vertAlign w:val="superscript"/>
                <w:lang w:eastAsia="en-GB"/>
              </w:rPr>
              <w:t>] </w:t>
            </w:r>
            <w:r w:rsidRPr="00C90941">
              <w:rPr>
                <w:rFonts w:ascii="Times New Roman" w:eastAsia="Times New Roman" w:hAnsi="Times New Roman" w:cs="Times New Roman"/>
                <w:sz w:val="20"/>
                <w:szCs w:val="20"/>
                <w:lang w:eastAsia="en-GB"/>
              </w:rPr>
              <w:t> Erythromycin</w:t>
            </w:r>
            <w:proofErr w:type="gramEnd"/>
            <w:r w:rsidRPr="00C90941">
              <w:rPr>
                <w:rFonts w:ascii="Times New Roman" w:eastAsia="Times New Roman" w:hAnsi="Times New Roman" w:cs="Times New Roman"/>
                <w:sz w:val="20"/>
                <w:szCs w:val="20"/>
                <w:lang w:eastAsia="en-GB"/>
              </w:rPr>
              <w:t xml:space="preserve"> is preferred in women who are pregnant.</w:t>
            </w:r>
          </w:p>
        </w:tc>
      </w:tr>
    </w:tbl>
    <w:p w14:paraId="3DE0AF2E" w14:textId="4A1FD3A5" w:rsidR="00C90941" w:rsidRDefault="00C90941" w:rsidP="00C90941">
      <w:pPr>
        <w:rPr>
          <w:rFonts w:ascii="PT Sans" w:hAnsi="PT Sans"/>
          <w:b/>
          <w:bCs/>
          <w:color w:val="444444"/>
          <w:shd w:val="clear" w:color="auto" w:fill="F0F2F2"/>
        </w:rPr>
      </w:pPr>
    </w:p>
    <w:p w14:paraId="42072A72" w14:textId="77777777" w:rsidR="00534E01" w:rsidRDefault="00534E01" w:rsidP="00C90941">
      <w:pPr>
        <w:rPr>
          <w:rFonts w:ascii="PT Sans" w:hAnsi="PT Sans"/>
          <w:b/>
          <w:bCs/>
          <w:color w:val="444444"/>
          <w:shd w:val="clear" w:color="auto" w:fill="F0F2F2"/>
        </w:rPr>
      </w:pPr>
    </w:p>
    <w:p w14:paraId="68B3ADA8" w14:textId="501A003D" w:rsidR="00C90941" w:rsidRDefault="00C90941" w:rsidP="00534E01">
      <w:pPr>
        <w:jc w:val="center"/>
        <w:rPr>
          <w:rFonts w:ascii="PT Sans" w:hAnsi="PT Sans"/>
          <w:b/>
          <w:bCs/>
          <w:color w:val="444444"/>
          <w:shd w:val="clear" w:color="auto" w:fill="F0F2F2"/>
        </w:rPr>
      </w:pPr>
    </w:p>
    <w:p w14:paraId="0F89FDAE" w14:textId="77777777" w:rsidR="00534E01" w:rsidRDefault="00534E01" w:rsidP="00534E01">
      <w:pPr>
        <w:jc w:val="center"/>
        <w:rPr>
          <w:rFonts w:ascii="PT Sans" w:hAnsi="PT Sans"/>
          <w:color w:val="444444"/>
          <w:sz w:val="27"/>
          <w:szCs w:val="27"/>
          <w:shd w:val="clear" w:color="auto" w:fill="FFFFFF"/>
        </w:rPr>
      </w:pPr>
      <w:r>
        <w:rPr>
          <w:rFonts w:ascii="PT Sans" w:hAnsi="PT Sans"/>
          <w:color w:val="444444"/>
          <w:sz w:val="27"/>
          <w:szCs w:val="27"/>
          <w:shd w:val="clear" w:color="auto" w:fill="FFFFFF"/>
        </w:rPr>
        <w:t>See the evidence and committee discussion on </w:t>
      </w:r>
    </w:p>
    <w:p w14:paraId="0FD8C394" w14:textId="77777777" w:rsidR="00534E01" w:rsidRDefault="00534E01" w:rsidP="00534E01">
      <w:pPr>
        <w:jc w:val="center"/>
        <w:rPr>
          <w:rFonts w:ascii="PT Sans" w:hAnsi="PT Sans"/>
          <w:color w:val="444444"/>
          <w:sz w:val="27"/>
          <w:szCs w:val="27"/>
          <w:shd w:val="clear" w:color="auto" w:fill="FFFFFF"/>
        </w:rPr>
      </w:pPr>
      <w:hyperlink r:id="rId11" w:anchor="antibiotic-choice" w:tgtFrame="_top" w:history="1">
        <w:r>
          <w:rPr>
            <w:rStyle w:val="Hyperlink"/>
            <w:rFonts w:ascii="PT Sans" w:hAnsi="PT Sans"/>
            <w:color w:val="004990"/>
            <w:sz w:val="27"/>
            <w:szCs w:val="27"/>
            <w:shd w:val="clear" w:color="auto" w:fill="FFFFFF"/>
          </w:rPr>
          <w:t>choice of antibiotic</w:t>
        </w:r>
      </w:hyperlink>
      <w:r>
        <w:rPr>
          <w:rFonts w:ascii="PT Sans" w:hAnsi="PT Sans"/>
          <w:color w:val="444444"/>
          <w:sz w:val="27"/>
          <w:szCs w:val="27"/>
          <w:shd w:val="clear" w:color="auto" w:fill="FFFFFF"/>
        </w:rPr>
        <w:t> and</w:t>
      </w:r>
    </w:p>
    <w:p w14:paraId="108807D1" w14:textId="09D3BD31" w:rsidR="00C90941" w:rsidRDefault="00534E01" w:rsidP="00534E01">
      <w:pPr>
        <w:jc w:val="center"/>
      </w:pPr>
      <w:r>
        <w:rPr>
          <w:rFonts w:ascii="PT Sans" w:hAnsi="PT Sans"/>
          <w:color w:val="444444"/>
          <w:sz w:val="27"/>
          <w:szCs w:val="27"/>
          <w:shd w:val="clear" w:color="auto" w:fill="FFFFFF"/>
        </w:rPr>
        <w:t> </w:t>
      </w:r>
      <w:hyperlink r:id="rId12" w:anchor="antibiotic-course-length" w:tgtFrame="_top" w:history="1">
        <w:r>
          <w:rPr>
            <w:rStyle w:val="Hyperlink"/>
            <w:rFonts w:ascii="PT Sans" w:hAnsi="PT Sans"/>
            <w:color w:val="004990"/>
            <w:sz w:val="27"/>
            <w:szCs w:val="27"/>
            <w:shd w:val="clear" w:color="auto" w:fill="FFFFFF"/>
          </w:rPr>
          <w:t>antibiotic course length</w:t>
        </w:r>
      </w:hyperlink>
    </w:p>
    <w:p w14:paraId="6BCCAD52" w14:textId="26221CED" w:rsidR="00534E01" w:rsidRDefault="00534E01" w:rsidP="00534E01"/>
    <w:p w14:paraId="05BC6693" w14:textId="27B7CAE7" w:rsidR="00534E01" w:rsidRDefault="00534E01" w:rsidP="00534E01"/>
    <w:sectPr w:rsidR="00534E01">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B898CE" w14:textId="77777777" w:rsidR="0088162B" w:rsidRDefault="0088162B" w:rsidP="00534E01">
      <w:pPr>
        <w:spacing w:after="0" w:line="240" w:lineRule="auto"/>
      </w:pPr>
      <w:r>
        <w:separator/>
      </w:r>
    </w:p>
  </w:endnote>
  <w:endnote w:type="continuationSeparator" w:id="0">
    <w:p w14:paraId="2D6DAA50" w14:textId="77777777" w:rsidR="0088162B" w:rsidRDefault="0088162B" w:rsidP="00534E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T Sans">
    <w:panose1 w:val="020B0503020203020204"/>
    <w:charset w:val="00"/>
    <w:family w:val="swiss"/>
    <w:pitch w:val="variable"/>
    <w:sig w:usb0="A00002E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258475" w14:textId="3BA7ADA3" w:rsidR="00534E01" w:rsidRPr="00534E01" w:rsidRDefault="00534E01" w:rsidP="00534E01">
    <w:pPr>
      <w:jc w:val="right"/>
      <w:rPr>
        <w:rFonts w:ascii="PT Sans" w:hAnsi="PT Sans"/>
        <w:b/>
        <w:bCs/>
        <w:color w:val="444444"/>
        <w:sz w:val="32"/>
        <w:szCs w:val="32"/>
        <w:shd w:val="clear" w:color="auto" w:fill="F0F2F2"/>
      </w:rPr>
    </w:pPr>
    <w:r w:rsidRPr="00534E01">
      <w:rPr>
        <w:b/>
        <w:bCs/>
        <w:sz w:val="32"/>
        <w:szCs w:val="32"/>
      </w:rPr>
      <w:t>Feb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DED8BC" w14:textId="77777777" w:rsidR="0088162B" w:rsidRDefault="0088162B" w:rsidP="00534E01">
      <w:pPr>
        <w:spacing w:after="0" w:line="240" w:lineRule="auto"/>
      </w:pPr>
      <w:r>
        <w:separator/>
      </w:r>
    </w:p>
  </w:footnote>
  <w:footnote w:type="continuationSeparator" w:id="0">
    <w:p w14:paraId="098F75F2" w14:textId="77777777" w:rsidR="0088162B" w:rsidRDefault="0088162B" w:rsidP="00534E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44C9E"/>
    <w:multiLevelType w:val="multilevel"/>
    <w:tmpl w:val="3E9C4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01A29"/>
    <w:multiLevelType w:val="hybridMultilevel"/>
    <w:tmpl w:val="7408B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3E4408"/>
    <w:multiLevelType w:val="hybridMultilevel"/>
    <w:tmpl w:val="57D4D20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1F3A1F"/>
    <w:multiLevelType w:val="hybridMultilevel"/>
    <w:tmpl w:val="FF7A8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855EA2"/>
    <w:multiLevelType w:val="hybridMultilevel"/>
    <w:tmpl w:val="652E2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D25797"/>
    <w:multiLevelType w:val="hybridMultilevel"/>
    <w:tmpl w:val="F9ACF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E86429"/>
    <w:multiLevelType w:val="multilevel"/>
    <w:tmpl w:val="829AC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5"/>
  </w:num>
  <w:num w:numId="4">
    <w:abstractNumId w:val="2"/>
  </w:num>
  <w:num w:numId="5">
    <w:abstractNumId w:val="1"/>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B27"/>
    <w:rsid w:val="00534E01"/>
    <w:rsid w:val="006E1B27"/>
    <w:rsid w:val="0088162B"/>
    <w:rsid w:val="00C90941"/>
    <w:rsid w:val="00F029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6EB6E"/>
  <w15:chartTrackingRefBased/>
  <w15:docId w15:val="{F2B0E43E-DC69-4E48-BA61-A876801E1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E1B2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1B27"/>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6E1B27"/>
    <w:pPr>
      <w:ind w:left="720"/>
      <w:contextualSpacing/>
    </w:pPr>
  </w:style>
  <w:style w:type="character" w:styleId="Hyperlink">
    <w:name w:val="Hyperlink"/>
    <w:basedOn w:val="DefaultParagraphFont"/>
    <w:uiPriority w:val="99"/>
    <w:semiHidden/>
    <w:unhideWhenUsed/>
    <w:rsid w:val="006E1B27"/>
    <w:rPr>
      <w:color w:val="0000FF"/>
      <w:u w:val="single"/>
    </w:rPr>
  </w:style>
  <w:style w:type="character" w:styleId="Strong">
    <w:name w:val="Strong"/>
    <w:basedOn w:val="DefaultParagraphFont"/>
    <w:uiPriority w:val="22"/>
    <w:qFormat/>
    <w:rsid w:val="00C90941"/>
    <w:rPr>
      <w:b/>
      <w:bCs/>
    </w:rPr>
  </w:style>
  <w:style w:type="paragraph" w:styleId="NormalWeb">
    <w:name w:val="Normal (Web)"/>
    <w:basedOn w:val="Normal"/>
    <w:uiPriority w:val="99"/>
    <w:semiHidden/>
    <w:unhideWhenUsed/>
    <w:rsid w:val="00C9094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34E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4E01"/>
  </w:style>
  <w:style w:type="paragraph" w:styleId="Footer">
    <w:name w:val="footer"/>
    <w:basedOn w:val="Normal"/>
    <w:link w:val="FooterChar"/>
    <w:uiPriority w:val="99"/>
    <w:unhideWhenUsed/>
    <w:rsid w:val="00534E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4E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302025">
      <w:bodyDiv w:val="1"/>
      <w:marLeft w:val="0"/>
      <w:marRight w:val="0"/>
      <w:marTop w:val="0"/>
      <w:marBottom w:val="0"/>
      <w:divBdr>
        <w:top w:val="none" w:sz="0" w:space="0" w:color="auto"/>
        <w:left w:val="none" w:sz="0" w:space="0" w:color="auto"/>
        <w:bottom w:val="none" w:sz="0" w:space="0" w:color="auto"/>
        <w:right w:val="none" w:sz="0" w:space="0" w:color="auto"/>
      </w:divBdr>
      <w:divsChild>
        <w:div w:id="1013414653">
          <w:marLeft w:val="0"/>
          <w:marRight w:val="0"/>
          <w:marTop w:val="360"/>
          <w:marBottom w:val="360"/>
          <w:divBdr>
            <w:top w:val="single" w:sz="6" w:space="9" w:color="DCDCDC"/>
            <w:left w:val="none" w:sz="0" w:space="0" w:color="auto"/>
            <w:bottom w:val="none" w:sz="0" w:space="0" w:color="auto"/>
            <w:right w:val="none" w:sz="0" w:space="0" w:color="auto"/>
          </w:divBdr>
          <w:divsChild>
            <w:div w:id="1391924387">
              <w:marLeft w:val="0"/>
              <w:marRight w:val="0"/>
              <w:marTop w:val="0"/>
              <w:marBottom w:val="0"/>
              <w:divBdr>
                <w:top w:val="none" w:sz="0" w:space="0" w:color="auto"/>
                <w:left w:val="none" w:sz="0" w:space="0" w:color="auto"/>
                <w:bottom w:val="none" w:sz="0" w:space="0" w:color="auto"/>
                <w:right w:val="none" w:sz="0" w:space="0" w:color="auto"/>
              </w:divBdr>
            </w:div>
          </w:divsChild>
        </w:div>
        <w:div w:id="1347362134">
          <w:marLeft w:val="0"/>
          <w:marRight w:val="0"/>
          <w:marTop w:val="360"/>
          <w:marBottom w:val="360"/>
          <w:divBdr>
            <w:top w:val="single" w:sz="6" w:space="9" w:color="DCDCDC"/>
            <w:left w:val="none" w:sz="0" w:space="0" w:color="auto"/>
            <w:bottom w:val="none" w:sz="0" w:space="0" w:color="auto"/>
            <w:right w:val="none" w:sz="0" w:space="0" w:color="auto"/>
          </w:divBdr>
          <w:divsChild>
            <w:div w:id="85985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810710">
      <w:bodyDiv w:val="1"/>
      <w:marLeft w:val="0"/>
      <w:marRight w:val="0"/>
      <w:marTop w:val="0"/>
      <w:marBottom w:val="0"/>
      <w:divBdr>
        <w:top w:val="none" w:sz="0" w:space="0" w:color="auto"/>
        <w:left w:val="none" w:sz="0" w:space="0" w:color="auto"/>
        <w:bottom w:val="none" w:sz="0" w:space="0" w:color="auto"/>
        <w:right w:val="none" w:sz="0" w:space="0" w:color="auto"/>
      </w:divBdr>
      <w:divsChild>
        <w:div w:id="2019305110">
          <w:marLeft w:val="0"/>
          <w:marRight w:val="0"/>
          <w:marTop w:val="0"/>
          <w:marBottom w:val="630"/>
          <w:divBdr>
            <w:top w:val="none" w:sz="0" w:space="0" w:color="auto"/>
            <w:left w:val="none" w:sz="0" w:space="0" w:color="auto"/>
            <w:bottom w:val="none" w:sz="0" w:space="0" w:color="auto"/>
            <w:right w:val="none" w:sz="0" w:space="0" w:color="auto"/>
          </w:divBdr>
        </w:div>
      </w:divsChild>
    </w:div>
    <w:div w:id="836532267">
      <w:bodyDiv w:val="1"/>
      <w:marLeft w:val="0"/>
      <w:marRight w:val="0"/>
      <w:marTop w:val="0"/>
      <w:marBottom w:val="0"/>
      <w:divBdr>
        <w:top w:val="none" w:sz="0" w:space="0" w:color="auto"/>
        <w:left w:val="none" w:sz="0" w:space="0" w:color="auto"/>
        <w:bottom w:val="none" w:sz="0" w:space="0" w:color="auto"/>
        <w:right w:val="none" w:sz="0" w:space="0" w:color="auto"/>
      </w:divBdr>
      <w:divsChild>
        <w:div w:id="1960718429">
          <w:marLeft w:val="0"/>
          <w:marRight w:val="0"/>
          <w:marTop w:val="0"/>
          <w:marBottom w:val="630"/>
          <w:divBdr>
            <w:top w:val="none" w:sz="0" w:space="0" w:color="auto"/>
            <w:left w:val="none" w:sz="0" w:space="0" w:color="auto"/>
            <w:bottom w:val="none" w:sz="0" w:space="0" w:color="auto"/>
            <w:right w:val="none" w:sz="0" w:space="0" w:color="auto"/>
          </w:divBdr>
        </w:div>
      </w:divsChild>
    </w:div>
    <w:div w:id="945233875">
      <w:bodyDiv w:val="1"/>
      <w:marLeft w:val="0"/>
      <w:marRight w:val="0"/>
      <w:marTop w:val="0"/>
      <w:marBottom w:val="0"/>
      <w:divBdr>
        <w:top w:val="none" w:sz="0" w:space="0" w:color="auto"/>
        <w:left w:val="none" w:sz="0" w:space="0" w:color="auto"/>
        <w:bottom w:val="none" w:sz="0" w:space="0" w:color="auto"/>
        <w:right w:val="none" w:sz="0" w:space="0" w:color="auto"/>
      </w:divBdr>
      <w:divsChild>
        <w:div w:id="41945757">
          <w:marLeft w:val="0"/>
          <w:marRight w:val="0"/>
          <w:marTop w:val="0"/>
          <w:marBottom w:val="630"/>
          <w:divBdr>
            <w:top w:val="none" w:sz="0" w:space="0" w:color="auto"/>
            <w:left w:val="none" w:sz="0" w:space="0" w:color="auto"/>
            <w:bottom w:val="none" w:sz="0" w:space="0" w:color="auto"/>
            <w:right w:val="none" w:sz="0" w:space="0" w:color="auto"/>
          </w:divBdr>
        </w:div>
      </w:divsChild>
    </w:div>
    <w:div w:id="2098549820">
      <w:bodyDiv w:val="1"/>
      <w:marLeft w:val="0"/>
      <w:marRight w:val="0"/>
      <w:marTop w:val="0"/>
      <w:marBottom w:val="0"/>
      <w:divBdr>
        <w:top w:val="none" w:sz="0" w:space="0" w:color="auto"/>
        <w:left w:val="none" w:sz="0" w:space="0" w:color="auto"/>
        <w:bottom w:val="none" w:sz="0" w:space="0" w:color="auto"/>
        <w:right w:val="none" w:sz="0" w:space="0" w:color="auto"/>
      </w:divBdr>
      <w:divsChild>
        <w:div w:id="1675642418">
          <w:marLeft w:val="0"/>
          <w:marRight w:val="0"/>
          <w:marTop w:val="0"/>
          <w:marBottom w:val="63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nfc.nice.org.uk/"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guidelines.co.uk/eye-ear-nose-and-throat/nice-sore-throat-acute-antimicrobial-prescribing/454009.artic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uidelines.co.uk/eye-ear-nose-and-throat/nice-sore-throat-acute-antimicrobial-prescribing/454009.articl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bnf.nice.org.uk/" TargetMode="External"/><Relationship Id="rId4" Type="http://schemas.openxmlformats.org/officeDocument/2006/relationships/webSettings" Target="webSettings.xml"/><Relationship Id="rId9" Type="http://schemas.openxmlformats.org/officeDocument/2006/relationships/hyperlink" Target="https://bnfc.nice.org.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649</Words>
  <Characters>3700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dcterms:created xsi:type="dcterms:W3CDTF">2020-03-30T15:46:00Z</dcterms:created>
  <dcterms:modified xsi:type="dcterms:W3CDTF">2020-03-30T15:59:00Z</dcterms:modified>
</cp:coreProperties>
</file>