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211F3E" w14:paraId="683C632C" w14:textId="77777777">
        <w:trPr>
          <w:jc w:val="center"/>
        </w:trPr>
        <w:tc>
          <w:tcPr>
            <w:tcW w:w="9972" w:type="dxa"/>
            <w:shd w:val="clear" w:color="auto" w:fill="E0651F"/>
          </w:tcPr>
          <w:p w14:paraId="6FB25922" w14:textId="77777777" w:rsidR="00211F3E" w:rsidRDefault="00000000">
            <w:pPr>
              <w:spacing w:before="120" w:after="40"/>
              <w:jc w:val="center"/>
            </w:pPr>
            <w:r>
              <w:rPr>
                <w:b/>
                <w:caps/>
                <w:color w:val="FFFFFF"/>
                <w:sz w:val="18"/>
              </w:rPr>
              <w:t>BRADFORD VTS TEACHING AIDS</w:t>
            </w:r>
          </w:p>
          <w:p w14:paraId="28126ADC" w14:textId="77777777" w:rsidR="00211F3E" w:rsidRDefault="00000000">
            <w:pPr>
              <w:spacing w:before="40" w:after="40"/>
              <w:jc w:val="center"/>
            </w:pPr>
            <w:r>
              <w:rPr>
                <w:b/>
                <w:color w:val="FFFFFF"/>
                <w:sz w:val="52"/>
              </w:rPr>
              <w:t>Neuropathic Pain</w:t>
            </w:r>
          </w:p>
          <w:p w14:paraId="659A36FD" w14:textId="77777777" w:rsidR="00211F3E" w:rsidRDefault="00000000">
            <w:pPr>
              <w:spacing w:before="40" w:after="120"/>
              <w:jc w:val="center"/>
            </w:pPr>
            <w:r>
              <w:rPr>
                <w:i/>
                <w:color w:val="FFFFFF"/>
              </w:rPr>
              <w:t>Diagnosing &amp; Managing in Primary Care · Bradford VTS · May 2026</w:t>
            </w:r>
          </w:p>
        </w:tc>
      </w:tr>
    </w:tbl>
    <w:p w14:paraId="6FB571F6" w14:textId="77777777" w:rsidR="00211F3E" w:rsidRDefault="00000000">
      <w:pPr>
        <w:jc w:val="center"/>
      </w:pPr>
      <w:r>
        <w:rPr>
          <w:noProof/>
        </w:rPr>
        <w:drawing>
          <wp:inline distT="0" distB="0" distL="0" distR="0" wp14:anchorId="529204AB" wp14:editId="46C9E605">
            <wp:extent cx="5303520" cy="34590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45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1E88C" w14:textId="77777777" w:rsidR="00211F3E" w:rsidRDefault="00000000">
      <w:pPr>
        <w:spacing w:after="120"/>
        <w:jc w:val="center"/>
      </w:pPr>
      <w:r>
        <w:rPr>
          <w:i/>
          <w:sz w:val="16"/>
        </w:rPr>
        <w:t>Image: Unsplash / CC0</w:t>
      </w:r>
    </w:p>
    <w:p w14:paraId="5BA31834" w14:textId="77777777" w:rsidR="00211F3E" w:rsidRDefault="00000000">
      <w:pPr>
        <w:spacing w:before="200" w:after="80"/>
      </w:pPr>
      <w:r>
        <w:rPr>
          <w:b/>
          <w:color w:val="1A3C6E"/>
          <w:sz w:val="36"/>
        </w:rPr>
        <w:t>What is Neuropathic Pain?</w:t>
      </w:r>
    </w:p>
    <w:p w14:paraId="1AE45876" w14:textId="77777777" w:rsidR="00211F3E" w:rsidRDefault="00000000">
      <w:pPr>
        <w:spacing w:after="60"/>
      </w:pPr>
      <w:r>
        <w:t>Neuropathic pain is "pain initiated or caused by a primary lesion or disease of the somatosensory nervous system" (IASP 2011 revised definition).</w:t>
      </w:r>
    </w:p>
    <w:p w14:paraId="45226AFA" w14:textId="77777777" w:rsidR="00211F3E" w:rsidRDefault="00000000">
      <w:pPr>
        <w:spacing w:after="60"/>
      </w:pPr>
      <w:r>
        <w:t>It is distinct from nociceptive (inflammatory) pain. Nociceptive pain results from tissue damage; neuropathic pain arises from abnormally functioning nerves.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211F3E" w14:paraId="214EDD00" w14:textId="77777777">
        <w:tc>
          <w:tcPr>
            <w:tcW w:w="9972" w:type="dxa"/>
            <w:shd w:val="clear" w:color="auto" w:fill="F0F4FB"/>
          </w:tcPr>
          <w:p w14:paraId="546ED6EE" w14:textId="77777777" w:rsidR="00211F3E" w:rsidRDefault="00000000">
            <w:pPr>
              <w:spacing w:before="80" w:after="40"/>
            </w:pPr>
            <w:r>
              <w:rPr>
                <w:b/>
                <w:color w:val="1A3C6E"/>
              </w:rPr>
              <w:t>🔑 Key Points</w:t>
            </w:r>
            <w:r>
              <w:rPr>
                <w:b/>
                <w:color w:val="1A3C6E"/>
              </w:rPr>
              <w:br/>
            </w:r>
          </w:p>
          <w:p w14:paraId="3B3847B2" w14:textId="77777777" w:rsidR="00211F3E" w:rsidRDefault="00000000">
            <w:pPr>
              <w:spacing w:after="40"/>
            </w:pPr>
            <w:r>
              <w:t>• Affects 2–4% of the general population (1–2 million in the UK)</w:t>
            </w:r>
          </w:p>
          <w:p w14:paraId="79234C54" w14:textId="77777777" w:rsidR="00211F3E" w:rsidRDefault="00000000">
            <w:pPr>
              <w:spacing w:after="40"/>
            </w:pPr>
            <w:r>
              <w:t>• Affects up to 20–25% of diabetic patients</w:t>
            </w:r>
          </w:p>
          <w:p w14:paraId="5A343C75" w14:textId="77777777" w:rsidR="00211F3E" w:rsidRDefault="00000000">
            <w:pPr>
              <w:spacing w:after="40"/>
            </w:pPr>
            <w:r>
              <w:t>• Affects 30–40% of cancer patients</w:t>
            </w:r>
          </w:p>
          <w:p w14:paraId="21003DC8" w14:textId="77777777" w:rsidR="00211F3E" w:rsidRDefault="00000000">
            <w:pPr>
              <w:spacing w:after="40"/>
            </w:pPr>
            <w:r>
              <w:t>• An average GP may have 35–70 patients with neuropathic pain</w:t>
            </w:r>
          </w:p>
        </w:tc>
      </w:tr>
    </w:tbl>
    <w:p w14:paraId="69811D71" w14:textId="77777777" w:rsidR="00211F3E" w:rsidRDefault="00211F3E"/>
    <w:p w14:paraId="67B41F48" w14:textId="77777777" w:rsidR="008B7970" w:rsidRDefault="008B7970">
      <w:pPr>
        <w:rPr>
          <w:b/>
          <w:color w:val="1A3C6E"/>
          <w:sz w:val="36"/>
        </w:rPr>
      </w:pPr>
      <w:r>
        <w:rPr>
          <w:b/>
          <w:color w:val="1A3C6E"/>
          <w:sz w:val="36"/>
        </w:rPr>
        <w:br w:type="page"/>
      </w:r>
    </w:p>
    <w:p w14:paraId="19536D17" w14:textId="57A81ED8" w:rsidR="00211F3E" w:rsidRDefault="00000000">
      <w:pPr>
        <w:spacing w:before="200" w:after="80"/>
      </w:pPr>
      <w:proofErr w:type="spellStart"/>
      <w:r>
        <w:rPr>
          <w:b/>
          <w:color w:val="1A3C6E"/>
          <w:sz w:val="36"/>
        </w:rPr>
        <w:lastRenderedPageBreak/>
        <w:t>Recognising</w:t>
      </w:r>
      <w:proofErr w:type="spellEnd"/>
      <w:r>
        <w:rPr>
          <w:b/>
          <w:color w:val="1A3C6E"/>
          <w:sz w:val="36"/>
        </w:rPr>
        <w:t xml:space="preserve"> Neuropathic Pain</w:t>
      </w:r>
    </w:p>
    <w:p w14:paraId="308CDA8E" w14:textId="77777777" w:rsidR="00211F3E" w:rsidRDefault="00000000">
      <w:pPr>
        <w:spacing w:before="160" w:after="60"/>
      </w:pPr>
      <w:r>
        <w:rPr>
          <w:b/>
          <w:color w:val="226BBB"/>
          <w:sz w:val="28"/>
        </w:rPr>
        <w:t>Pain Descriptors (trigger words for diagnosis)</w:t>
      </w:r>
    </w:p>
    <w:p w14:paraId="26A95334" w14:textId="77777777" w:rsidR="00211F3E" w:rsidRDefault="00000000">
      <w:pPr>
        <w:spacing w:after="60"/>
      </w:pPr>
      <w:r>
        <w:t>• "Burning"</w:t>
      </w:r>
    </w:p>
    <w:p w14:paraId="48E9AEA8" w14:textId="77777777" w:rsidR="00211F3E" w:rsidRDefault="00000000">
      <w:pPr>
        <w:spacing w:after="60"/>
      </w:pPr>
      <w:r>
        <w:t>• "Shooting"</w:t>
      </w:r>
    </w:p>
    <w:p w14:paraId="47DE48C9" w14:textId="77777777" w:rsidR="00211F3E" w:rsidRDefault="00000000">
      <w:pPr>
        <w:spacing w:after="60"/>
      </w:pPr>
      <w:r>
        <w:t>• "Stabbing"</w:t>
      </w:r>
    </w:p>
    <w:p w14:paraId="359B141F" w14:textId="77777777" w:rsidR="00211F3E" w:rsidRDefault="00000000">
      <w:pPr>
        <w:spacing w:after="60"/>
      </w:pPr>
      <w:r>
        <w:t>• "Electric shock-like"</w:t>
      </w:r>
    </w:p>
    <w:p w14:paraId="195FBF95" w14:textId="77777777" w:rsidR="00211F3E" w:rsidRDefault="00000000">
      <w:pPr>
        <w:spacing w:after="60"/>
      </w:pPr>
      <w:r>
        <w:t>• "Pins and needles"</w:t>
      </w:r>
    </w:p>
    <w:p w14:paraId="09457433" w14:textId="77777777" w:rsidR="00211F3E" w:rsidRDefault="00000000">
      <w:pPr>
        <w:spacing w:before="160" w:after="60"/>
      </w:pPr>
      <w:r>
        <w:rPr>
          <w:b/>
          <w:color w:val="226BBB"/>
          <w:sz w:val="28"/>
        </w:rPr>
        <w:t>Sensory Abnormalities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211F3E" w14:paraId="07BA8296" w14:textId="77777777">
        <w:tc>
          <w:tcPr>
            <w:tcW w:w="4986" w:type="dxa"/>
            <w:shd w:val="clear" w:color="auto" w:fill="1A3C6E"/>
          </w:tcPr>
          <w:p w14:paraId="48877D6D" w14:textId="77777777" w:rsidR="00211F3E" w:rsidRDefault="00000000">
            <w:r>
              <w:rPr>
                <w:color w:val="FFFFFF"/>
              </w:rPr>
              <w:t>Term</w:t>
            </w:r>
          </w:p>
        </w:tc>
        <w:tc>
          <w:tcPr>
            <w:tcW w:w="4986" w:type="dxa"/>
            <w:shd w:val="clear" w:color="auto" w:fill="1A3C6E"/>
          </w:tcPr>
          <w:p w14:paraId="10E3A195" w14:textId="77777777" w:rsidR="00211F3E" w:rsidRDefault="00000000">
            <w:r>
              <w:rPr>
                <w:color w:val="FFFFFF"/>
              </w:rPr>
              <w:t>Definition</w:t>
            </w:r>
          </w:p>
        </w:tc>
      </w:tr>
      <w:tr w:rsidR="00211F3E" w14:paraId="6B1F7527" w14:textId="77777777">
        <w:tc>
          <w:tcPr>
            <w:tcW w:w="4986" w:type="dxa"/>
            <w:shd w:val="clear" w:color="auto" w:fill="F0F4FB"/>
          </w:tcPr>
          <w:p w14:paraId="1930637A" w14:textId="77777777" w:rsidR="00211F3E" w:rsidRDefault="00000000">
            <w:r>
              <w:t>Allodynia</w:t>
            </w:r>
          </w:p>
        </w:tc>
        <w:tc>
          <w:tcPr>
            <w:tcW w:w="4986" w:type="dxa"/>
            <w:shd w:val="clear" w:color="auto" w:fill="F0F4FB"/>
          </w:tcPr>
          <w:p w14:paraId="7064EE86" w14:textId="77777777" w:rsidR="00211F3E" w:rsidRDefault="00000000">
            <w:r>
              <w:t>Pain from a normally non-painful stimulus (e.g. light touch)</w:t>
            </w:r>
          </w:p>
        </w:tc>
      </w:tr>
      <w:tr w:rsidR="00211F3E" w14:paraId="5467F0F9" w14:textId="77777777">
        <w:tc>
          <w:tcPr>
            <w:tcW w:w="4986" w:type="dxa"/>
          </w:tcPr>
          <w:p w14:paraId="30DE375B" w14:textId="77777777" w:rsidR="00211F3E" w:rsidRDefault="00000000">
            <w:r>
              <w:t>Hyperalgesia</w:t>
            </w:r>
          </w:p>
        </w:tc>
        <w:tc>
          <w:tcPr>
            <w:tcW w:w="4986" w:type="dxa"/>
          </w:tcPr>
          <w:p w14:paraId="57FE5DF9" w14:textId="77777777" w:rsidR="00211F3E" w:rsidRDefault="00000000">
            <w:r>
              <w:t>Exaggerated pain from a normally painful stimulus</w:t>
            </w:r>
          </w:p>
        </w:tc>
      </w:tr>
      <w:tr w:rsidR="00211F3E" w14:paraId="63AEA5CC" w14:textId="77777777">
        <w:tc>
          <w:tcPr>
            <w:tcW w:w="4986" w:type="dxa"/>
            <w:shd w:val="clear" w:color="auto" w:fill="F0F4FB"/>
          </w:tcPr>
          <w:p w14:paraId="3294604B" w14:textId="77777777" w:rsidR="00211F3E" w:rsidRDefault="00000000">
            <w:r>
              <w:t>Hyperaesthesia</w:t>
            </w:r>
          </w:p>
        </w:tc>
        <w:tc>
          <w:tcPr>
            <w:tcW w:w="4986" w:type="dxa"/>
            <w:shd w:val="clear" w:color="auto" w:fill="F0F4FB"/>
          </w:tcPr>
          <w:p w14:paraId="013EDCF0" w14:textId="77777777" w:rsidR="00211F3E" w:rsidRDefault="00000000">
            <w:r>
              <w:t>Increased sensitivity to touch</w:t>
            </w:r>
          </w:p>
        </w:tc>
      </w:tr>
      <w:tr w:rsidR="00211F3E" w14:paraId="70581217" w14:textId="77777777">
        <w:tc>
          <w:tcPr>
            <w:tcW w:w="4986" w:type="dxa"/>
          </w:tcPr>
          <w:p w14:paraId="3E1B6F4F" w14:textId="77777777" w:rsidR="00211F3E" w:rsidRDefault="00000000">
            <w:r>
              <w:t>Dysaesthesia</w:t>
            </w:r>
          </w:p>
        </w:tc>
        <w:tc>
          <w:tcPr>
            <w:tcW w:w="4986" w:type="dxa"/>
          </w:tcPr>
          <w:p w14:paraId="3D89F3BB" w14:textId="77777777" w:rsidR="00211F3E" w:rsidRDefault="00000000">
            <w:r>
              <w:t>Unpleasant abnormal sensation (spontaneous or evoked)</w:t>
            </w:r>
          </w:p>
        </w:tc>
      </w:tr>
    </w:tbl>
    <w:p w14:paraId="657039F6" w14:textId="77777777" w:rsidR="00211F3E" w:rsidRDefault="00211F3E"/>
    <w:p w14:paraId="1D6C7A25" w14:textId="77777777" w:rsidR="00211F3E" w:rsidRDefault="00000000">
      <w:pPr>
        <w:spacing w:before="200" w:after="80"/>
      </w:pPr>
      <w:r>
        <w:rPr>
          <w:b/>
          <w:color w:val="1A3C6E"/>
          <w:sz w:val="36"/>
        </w:rPr>
        <w:t>First-Line Drug Treatment (NICE CG173, updated September 2020)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211F3E" w14:paraId="2EF6065A" w14:textId="77777777">
        <w:tc>
          <w:tcPr>
            <w:tcW w:w="4986" w:type="dxa"/>
            <w:shd w:val="clear" w:color="auto" w:fill="1A3C6E"/>
          </w:tcPr>
          <w:p w14:paraId="6596A6DF" w14:textId="77777777" w:rsidR="00211F3E" w:rsidRDefault="00000000">
            <w:r>
              <w:rPr>
                <w:color w:val="FFFFFF"/>
              </w:rPr>
              <w:t>Drug</w:t>
            </w:r>
          </w:p>
        </w:tc>
        <w:tc>
          <w:tcPr>
            <w:tcW w:w="4986" w:type="dxa"/>
            <w:shd w:val="clear" w:color="auto" w:fill="1A3C6E"/>
          </w:tcPr>
          <w:p w14:paraId="5F8C9326" w14:textId="77777777" w:rsidR="00211F3E" w:rsidRDefault="00000000">
            <w:r>
              <w:rPr>
                <w:color w:val="FFFFFF"/>
              </w:rPr>
              <w:t>Dose and Notes</w:t>
            </w:r>
          </w:p>
        </w:tc>
      </w:tr>
      <w:tr w:rsidR="00211F3E" w14:paraId="03F14628" w14:textId="77777777">
        <w:tc>
          <w:tcPr>
            <w:tcW w:w="4986" w:type="dxa"/>
            <w:shd w:val="clear" w:color="auto" w:fill="F0F4FB"/>
          </w:tcPr>
          <w:p w14:paraId="2F5E739A" w14:textId="77777777" w:rsidR="00211F3E" w:rsidRDefault="00000000">
            <w:r>
              <w:t>Amitriptyline (off-label)</w:t>
            </w:r>
          </w:p>
        </w:tc>
        <w:tc>
          <w:tcPr>
            <w:tcW w:w="4986" w:type="dxa"/>
            <w:shd w:val="clear" w:color="auto" w:fill="F0F4FB"/>
          </w:tcPr>
          <w:p w14:paraId="5585AAAB" w14:textId="77777777" w:rsidR="00211F3E" w:rsidRDefault="00000000">
            <w:r>
              <w:t>Start 10–25mg nocte; increase by 10–25mg every 3–7 days; usual range 25–75mg nocte</w:t>
            </w:r>
          </w:p>
        </w:tc>
      </w:tr>
      <w:tr w:rsidR="00211F3E" w14:paraId="150832FC" w14:textId="77777777">
        <w:tc>
          <w:tcPr>
            <w:tcW w:w="4986" w:type="dxa"/>
          </w:tcPr>
          <w:p w14:paraId="5A1D0C73" w14:textId="77777777" w:rsidR="00211F3E" w:rsidRDefault="00000000">
            <w:r>
              <w:t>Duloxetine</w:t>
            </w:r>
          </w:p>
        </w:tc>
        <w:tc>
          <w:tcPr>
            <w:tcW w:w="4986" w:type="dxa"/>
          </w:tcPr>
          <w:p w14:paraId="27738027" w14:textId="77777777" w:rsidR="00211F3E" w:rsidRDefault="00000000">
            <w:r>
              <w:t>30mg od × 1 week, then 60mg od; max 120mg/day</w:t>
            </w:r>
          </w:p>
        </w:tc>
      </w:tr>
      <w:tr w:rsidR="00211F3E" w14:paraId="20EDD86D" w14:textId="77777777">
        <w:tc>
          <w:tcPr>
            <w:tcW w:w="4986" w:type="dxa"/>
            <w:shd w:val="clear" w:color="auto" w:fill="F0F4FB"/>
          </w:tcPr>
          <w:p w14:paraId="7698A6B7" w14:textId="77777777" w:rsidR="00211F3E" w:rsidRDefault="00000000">
            <w:r>
              <w:t>Gabapentin ⚠ Class C CD</w:t>
            </w:r>
          </w:p>
        </w:tc>
        <w:tc>
          <w:tcPr>
            <w:tcW w:w="4986" w:type="dxa"/>
            <w:shd w:val="clear" w:color="auto" w:fill="F0F4FB"/>
          </w:tcPr>
          <w:p w14:paraId="5940AB06" w14:textId="77777777" w:rsidR="00211F3E" w:rsidRDefault="00000000">
            <w:r>
              <w:t>Start 300mg nocte → 300mg bd → 300mg tds; max 3600mg/day; dose-reduce in renal impairment</w:t>
            </w:r>
          </w:p>
        </w:tc>
      </w:tr>
      <w:tr w:rsidR="00211F3E" w14:paraId="3BF1ECDB" w14:textId="77777777">
        <w:tc>
          <w:tcPr>
            <w:tcW w:w="4986" w:type="dxa"/>
          </w:tcPr>
          <w:p w14:paraId="5F949FDE" w14:textId="77777777" w:rsidR="00211F3E" w:rsidRDefault="00000000">
            <w:r>
              <w:t>Pregabalin ⚠ Class C CD</w:t>
            </w:r>
          </w:p>
        </w:tc>
        <w:tc>
          <w:tcPr>
            <w:tcW w:w="4986" w:type="dxa"/>
          </w:tcPr>
          <w:p w14:paraId="63C5F26B" w14:textId="77777777" w:rsidR="00211F3E" w:rsidRDefault="00000000">
            <w:r>
              <w:t>Start 75mg bd; increase after 3–7 days to 150mg bd; max 600mg/day; dose-reduce in renal impairment</w:t>
            </w:r>
          </w:p>
        </w:tc>
      </w:tr>
    </w:tbl>
    <w:p w14:paraId="4B185C4F" w14:textId="77777777" w:rsidR="00211F3E" w:rsidRDefault="00211F3E"/>
    <w:p w14:paraId="009A18DF" w14:textId="77777777" w:rsidR="00211F3E" w:rsidRDefault="00000000">
      <w:pPr>
        <w:spacing w:before="160" w:after="60"/>
      </w:pPr>
      <w:r>
        <w:rPr>
          <w:b/>
          <w:color w:val="226BBB"/>
          <w:sz w:val="28"/>
        </w:rPr>
        <w:t>If first-line fails</w:t>
      </w:r>
    </w:p>
    <w:p w14:paraId="32B8D225" w14:textId="77777777" w:rsidR="00211F3E" w:rsidRDefault="00000000">
      <w:pPr>
        <w:spacing w:after="60"/>
      </w:pPr>
      <w:r>
        <w:t>• Switch to another first-line option — do not persist beyond adequate trial.</w:t>
      </w:r>
    </w:p>
    <w:p w14:paraId="77629295" w14:textId="77777777" w:rsidR="00211F3E" w:rsidRDefault="00000000">
      <w:pPr>
        <w:spacing w:after="60"/>
      </w:pPr>
      <w:r>
        <w:t>• Amitriptyline partially effective but side effects intolerable → switch to nortriptyline (same dose).</w:t>
      </w:r>
    </w:p>
    <w:p w14:paraId="1B9E4BDD" w14:textId="77777777" w:rsidR="00211F3E" w:rsidRDefault="00000000">
      <w:pPr>
        <w:spacing w:after="60"/>
      </w:pPr>
      <w:r>
        <w:t>• Two or more first-line agents failed → consider referral or combination therapy.</w:t>
      </w:r>
    </w:p>
    <w:p w14:paraId="22D1248B" w14:textId="77777777" w:rsidR="00211F3E" w:rsidRDefault="00000000">
      <w:pPr>
        <w:spacing w:after="60"/>
      </w:pPr>
      <w:r>
        <w:t>• Define a treatment trial: adequate dose + at least 4–6 weeks.</w:t>
      </w:r>
    </w:p>
    <w:p w14:paraId="4C73B85F" w14:textId="77777777" w:rsidR="00211F3E" w:rsidRDefault="00000000">
      <w:pPr>
        <w:spacing w:before="200" w:after="80"/>
      </w:pPr>
      <w:r>
        <w:rPr>
          <w:b/>
          <w:color w:val="1A3C6E"/>
          <w:sz w:val="36"/>
        </w:rPr>
        <w:t>Topical Treatments (for PHN or when oral drugs not tolerated)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211F3E" w14:paraId="427F8C50" w14:textId="77777777">
        <w:tc>
          <w:tcPr>
            <w:tcW w:w="4986" w:type="dxa"/>
            <w:shd w:val="clear" w:color="auto" w:fill="1A3C6E"/>
          </w:tcPr>
          <w:p w14:paraId="0E74E01E" w14:textId="77777777" w:rsidR="00211F3E" w:rsidRDefault="00000000">
            <w:r>
              <w:rPr>
                <w:color w:val="FFFFFF"/>
              </w:rPr>
              <w:t>Drug</w:t>
            </w:r>
          </w:p>
        </w:tc>
        <w:tc>
          <w:tcPr>
            <w:tcW w:w="4986" w:type="dxa"/>
            <w:shd w:val="clear" w:color="auto" w:fill="1A3C6E"/>
          </w:tcPr>
          <w:p w14:paraId="34C69CF1" w14:textId="77777777" w:rsidR="00211F3E" w:rsidRDefault="00000000">
            <w:r>
              <w:rPr>
                <w:color w:val="FFFFFF"/>
              </w:rPr>
              <w:t>Dose and Notes</w:t>
            </w:r>
          </w:p>
        </w:tc>
      </w:tr>
      <w:tr w:rsidR="00211F3E" w14:paraId="3DED0E1A" w14:textId="77777777">
        <w:tc>
          <w:tcPr>
            <w:tcW w:w="4986" w:type="dxa"/>
            <w:shd w:val="clear" w:color="auto" w:fill="F0F4FB"/>
          </w:tcPr>
          <w:p w14:paraId="3236ACD5" w14:textId="77777777" w:rsidR="00211F3E" w:rsidRDefault="00000000">
            <w:r>
              <w:t>Capsaicin cream 0.075%</w:t>
            </w:r>
          </w:p>
        </w:tc>
        <w:tc>
          <w:tcPr>
            <w:tcW w:w="4986" w:type="dxa"/>
            <w:shd w:val="clear" w:color="auto" w:fill="F0F4FB"/>
          </w:tcPr>
          <w:p w14:paraId="76914410" w14:textId="77777777" w:rsidR="00211F3E" w:rsidRDefault="00000000">
            <w:r>
              <w:t>Apply sparingly 3–4×/day; 4-week trial; warn of initial burning</w:t>
            </w:r>
          </w:p>
        </w:tc>
      </w:tr>
      <w:tr w:rsidR="00211F3E" w14:paraId="5D080D70" w14:textId="77777777">
        <w:tc>
          <w:tcPr>
            <w:tcW w:w="4986" w:type="dxa"/>
          </w:tcPr>
          <w:p w14:paraId="4A42D1B0" w14:textId="77777777" w:rsidR="00211F3E" w:rsidRDefault="00000000">
            <w:r>
              <w:t>Lidocaine 5% plasters (Versatis)</w:t>
            </w:r>
          </w:p>
        </w:tc>
        <w:tc>
          <w:tcPr>
            <w:tcW w:w="4986" w:type="dxa"/>
          </w:tcPr>
          <w:p w14:paraId="00732967" w14:textId="77777777" w:rsidR="00211F3E" w:rsidRDefault="00000000">
            <w:r>
              <w:t>1 plaster for 12h/day (max 3 for large areas); 4-week trial</w:t>
            </w:r>
          </w:p>
        </w:tc>
      </w:tr>
    </w:tbl>
    <w:p w14:paraId="18F8644C" w14:textId="77777777" w:rsidR="00211F3E" w:rsidRDefault="00211F3E"/>
    <w:p w14:paraId="0C2C780D" w14:textId="77777777" w:rsidR="00211F3E" w:rsidRDefault="00000000">
      <w:pPr>
        <w:spacing w:before="200" w:after="80"/>
      </w:pPr>
      <w:r>
        <w:rPr>
          <w:b/>
          <w:color w:val="1A3C6E"/>
          <w:sz w:val="36"/>
        </w:rPr>
        <w:lastRenderedPageBreak/>
        <w:t>When to Refer</w:t>
      </w:r>
    </w:p>
    <w:p w14:paraId="2106464B" w14:textId="77777777" w:rsidR="00211F3E" w:rsidRDefault="00000000">
      <w:pPr>
        <w:spacing w:after="60"/>
      </w:pPr>
      <w:r>
        <w:t>• Diagnostic uncertainty after full primary care assessment</w:t>
      </w:r>
    </w:p>
    <w:p w14:paraId="08C36E3C" w14:textId="77777777" w:rsidR="00211F3E" w:rsidRDefault="00000000">
      <w:pPr>
        <w:spacing w:after="60"/>
      </w:pPr>
      <w:r>
        <w:t>• Failure of ≥2 first-line treatments at adequate doses</w:t>
      </w:r>
    </w:p>
    <w:p w14:paraId="4C68B61C" w14:textId="77777777" w:rsidR="00211F3E" w:rsidRDefault="00000000">
      <w:pPr>
        <w:spacing w:after="60"/>
      </w:pPr>
      <w:r>
        <w:t>• Suspected CRPS — refer EARLY to pain specialist</w:t>
      </w:r>
    </w:p>
    <w:p w14:paraId="681F207E" w14:textId="77777777" w:rsidR="00211F3E" w:rsidRDefault="00000000">
      <w:pPr>
        <w:spacing w:after="60"/>
      </w:pPr>
      <w:r>
        <w:t>• Trigeminal neuralgia — specialist pathway (carbamazepine/oxcarbazepine)</w:t>
      </w:r>
    </w:p>
    <w:p w14:paraId="0D2E7731" w14:textId="77777777" w:rsidR="00211F3E" w:rsidRDefault="00000000">
      <w:pPr>
        <w:spacing w:after="60"/>
      </w:pPr>
      <w:r>
        <w:t>• Complex comorbidities (substance misuse, severe mental illness)</w:t>
      </w:r>
    </w:p>
    <w:p w14:paraId="4A9F381D" w14:textId="77777777" w:rsidR="00211F3E" w:rsidRDefault="00000000">
      <w:pPr>
        <w:spacing w:after="60"/>
      </w:pPr>
      <w:r>
        <w:t>• Severe functional impairment despite treatment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211F3E" w14:paraId="055221E2" w14:textId="77777777">
        <w:tc>
          <w:tcPr>
            <w:tcW w:w="9972" w:type="dxa"/>
            <w:shd w:val="clear" w:color="auto" w:fill="FFEEEE"/>
          </w:tcPr>
          <w:p w14:paraId="59389BE8" w14:textId="77777777" w:rsidR="00211F3E" w:rsidRDefault="00000000">
            <w:pPr>
              <w:spacing w:before="80" w:after="40"/>
            </w:pPr>
            <w:r>
              <w:rPr>
                <w:b/>
                <w:color w:val="CC0000"/>
              </w:rPr>
              <w:t>🚩 Red Flags</w:t>
            </w:r>
            <w:r>
              <w:rPr>
                <w:b/>
                <w:color w:val="CC0000"/>
              </w:rPr>
              <w:br/>
            </w:r>
          </w:p>
          <w:p w14:paraId="6BC1F848" w14:textId="77777777" w:rsidR="00211F3E" w:rsidRDefault="00000000">
            <w:pPr>
              <w:spacing w:after="40"/>
            </w:pPr>
            <w:r>
              <w:t>• New/progressive neurological deficit → urgent assessment</w:t>
            </w:r>
          </w:p>
          <w:p w14:paraId="0B5EDCAB" w14:textId="77777777" w:rsidR="00211F3E" w:rsidRDefault="00000000">
            <w:pPr>
              <w:spacing w:after="40"/>
            </w:pPr>
            <w:r>
              <w:t>• Suspected cauda equina → 999</w:t>
            </w:r>
          </w:p>
          <w:p w14:paraId="51443EFF" w14:textId="77777777" w:rsidR="00211F3E" w:rsidRDefault="00000000">
            <w:pPr>
              <w:spacing w:after="40"/>
            </w:pPr>
            <w:r>
              <w:t>• Suspected spinal cord compression → urgent referral</w:t>
            </w:r>
          </w:p>
          <w:p w14:paraId="4231A34A" w14:textId="77777777" w:rsidR="00211F3E" w:rsidRDefault="00000000">
            <w:pPr>
              <w:spacing w:after="40"/>
            </w:pPr>
            <w:r>
              <w:t>• Pain + fever + immunosuppression/malignancy → urgent review</w:t>
            </w:r>
          </w:p>
        </w:tc>
      </w:tr>
    </w:tbl>
    <w:p w14:paraId="3AEA7FF8" w14:textId="77777777" w:rsidR="00211F3E" w:rsidRDefault="00211F3E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211F3E" w14:paraId="7FE9AD43" w14:textId="77777777">
        <w:tc>
          <w:tcPr>
            <w:tcW w:w="9972" w:type="dxa"/>
            <w:shd w:val="clear" w:color="auto" w:fill="E5F9F6"/>
          </w:tcPr>
          <w:p w14:paraId="513C0EA8" w14:textId="77777777" w:rsidR="00211F3E" w:rsidRDefault="00000000">
            <w:pPr>
              <w:spacing w:before="80" w:after="40"/>
            </w:pPr>
            <w:r>
              <w:rPr>
                <w:b/>
                <w:color w:val="226BBB"/>
              </w:rPr>
              <w:t>💬 Patient Communication</w:t>
            </w:r>
            <w:r>
              <w:rPr>
                <w:b/>
                <w:color w:val="226BBB"/>
              </w:rPr>
              <w:br/>
            </w:r>
          </w:p>
          <w:p w14:paraId="080B1A67" w14:textId="77777777" w:rsidR="00211F3E" w:rsidRDefault="00000000">
            <w:pPr>
              <w:spacing w:after="40"/>
            </w:pPr>
            <w:r>
              <w:t>"The pain you describe sounds like nerve pain — it needs a specific treatment."</w:t>
            </w:r>
          </w:p>
          <w:p w14:paraId="2D008CF4" w14:textId="77777777" w:rsidR="00211F3E" w:rsidRDefault="00000000">
            <w:pPr>
              <w:spacing w:after="40"/>
            </w:pPr>
            <w:r>
              <w:t>"We'll start at a low dose and build up slowly."</w:t>
            </w:r>
          </w:p>
          <w:p w14:paraId="092C3493" w14:textId="77777777" w:rsidR="00211F3E" w:rsidRDefault="00000000">
            <w:pPr>
              <w:spacing w:after="40"/>
            </w:pPr>
            <w:r>
              <w:t>"It may take 4–6 weeks to see the full benefit."</w:t>
            </w:r>
          </w:p>
        </w:tc>
      </w:tr>
    </w:tbl>
    <w:p w14:paraId="42A8D694" w14:textId="77777777" w:rsidR="00211F3E" w:rsidRDefault="00211F3E"/>
    <w:p w14:paraId="623CD3B0" w14:textId="77777777" w:rsidR="00211F3E" w:rsidRDefault="00000000">
      <w:pPr>
        <w:spacing w:before="240" w:after="80"/>
      </w:pPr>
      <w:r>
        <w:rPr>
          <w:b/>
          <w:color w:val="E0651F"/>
          <w:sz w:val="20"/>
        </w:rPr>
        <w:t xml:space="preserve">⚠ Disclaimer: </w:t>
      </w:r>
      <w:r>
        <w:rPr>
          <w:i/>
          <w:sz w:val="20"/>
        </w:rPr>
        <w:t>Always double check this advice and drug doses with the latest NICE/BNF guidance. This document is for educational purposes only.</w:t>
      </w:r>
    </w:p>
    <w:sectPr w:rsidR="00211F3E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A6352" w14:textId="77777777" w:rsidR="00755156" w:rsidRDefault="00755156">
      <w:pPr>
        <w:spacing w:after="0" w:line="240" w:lineRule="auto"/>
      </w:pPr>
      <w:r>
        <w:separator/>
      </w:r>
    </w:p>
  </w:endnote>
  <w:endnote w:type="continuationSeparator" w:id="0">
    <w:p w14:paraId="51AE79D4" w14:textId="77777777" w:rsidR="00755156" w:rsidRDefault="0075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8C15" w14:textId="77777777" w:rsidR="00211F3E" w:rsidRDefault="00000000">
    <w:pPr>
      <w:pStyle w:val="Footer"/>
      <w:jc w:val="center"/>
    </w:pPr>
    <w:r>
      <w:rPr>
        <w:sz w:val="16"/>
      </w:rPr>
      <w:t>A free resource provided by www.bradfordvts.co.uk, Dr Ramesh Mehay, November 2010,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8C3F6" w14:textId="77777777" w:rsidR="00755156" w:rsidRDefault="00755156">
      <w:pPr>
        <w:spacing w:after="0" w:line="240" w:lineRule="auto"/>
      </w:pPr>
      <w:r>
        <w:separator/>
      </w:r>
    </w:p>
  </w:footnote>
  <w:footnote w:type="continuationSeparator" w:id="0">
    <w:p w14:paraId="5B3BC7CC" w14:textId="77777777" w:rsidR="00755156" w:rsidRDefault="00755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2023017">
    <w:abstractNumId w:val="8"/>
  </w:num>
  <w:num w:numId="2" w16cid:durableId="1691225749">
    <w:abstractNumId w:val="6"/>
  </w:num>
  <w:num w:numId="3" w16cid:durableId="1249538042">
    <w:abstractNumId w:val="5"/>
  </w:num>
  <w:num w:numId="4" w16cid:durableId="822358960">
    <w:abstractNumId w:val="4"/>
  </w:num>
  <w:num w:numId="5" w16cid:durableId="595678211">
    <w:abstractNumId w:val="7"/>
  </w:num>
  <w:num w:numId="6" w16cid:durableId="1222714820">
    <w:abstractNumId w:val="3"/>
  </w:num>
  <w:num w:numId="7" w16cid:durableId="1255631329">
    <w:abstractNumId w:val="2"/>
  </w:num>
  <w:num w:numId="8" w16cid:durableId="1484850344">
    <w:abstractNumId w:val="1"/>
  </w:num>
  <w:num w:numId="9" w16cid:durableId="6365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1F3E"/>
    <w:rsid w:val="0029639D"/>
    <w:rsid w:val="00326F90"/>
    <w:rsid w:val="00755156"/>
    <w:rsid w:val="007A0481"/>
    <w:rsid w:val="008B797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B3BB9E"/>
  <w14:defaultImageDpi w14:val="300"/>
  <w15:docId w15:val="{BCFF767E-B6B1-4369-AFC5-BA55449E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2026-05-26T14:12:00Z</dcterms:modified>
  <cp:category/>
</cp:coreProperties>
</file>