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DD676E" w14:paraId="6AE0917F" w14:textId="77777777">
        <w:trPr>
          <w:jc w:val="center"/>
        </w:trPr>
        <w:tc>
          <w:tcPr>
            <w:tcW w:w="9972" w:type="dxa"/>
            <w:shd w:val="clear" w:color="auto" w:fill="E0651F"/>
          </w:tcPr>
          <w:p w14:paraId="0F92A5B2" w14:textId="77777777" w:rsidR="00DD676E" w:rsidRDefault="00000000">
            <w:pPr>
              <w:spacing w:before="120" w:after="40"/>
              <w:jc w:val="center"/>
            </w:pPr>
            <w:r>
              <w:rPr>
                <w:b/>
                <w:caps/>
                <w:color w:val="FFFFFF"/>
                <w:sz w:val="18"/>
              </w:rPr>
              <w:t>BRADFORD VTS TEACHING AIDS</w:t>
            </w:r>
          </w:p>
          <w:p w14:paraId="07EB4D79" w14:textId="77777777" w:rsidR="00DD676E" w:rsidRDefault="00000000">
            <w:pPr>
              <w:spacing w:before="40" w:after="40"/>
              <w:jc w:val="center"/>
            </w:pPr>
            <w:r>
              <w:rPr>
                <w:b/>
                <w:color w:val="FFFFFF"/>
                <w:sz w:val="52"/>
              </w:rPr>
              <w:t>Opiate Detoxification</w:t>
            </w:r>
          </w:p>
          <w:p w14:paraId="6907CA16" w14:textId="77777777" w:rsidR="00DD676E" w:rsidRDefault="00000000">
            <w:pPr>
              <w:spacing w:before="40" w:after="120"/>
              <w:jc w:val="center"/>
            </w:pPr>
            <w:r>
              <w:rPr>
                <w:i/>
                <w:color w:val="FFFFFF"/>
              </w:rPr>
              <w:t>A Primary Care Introduction · Bradford VTS · May 2026</w:t>
            </w:r>
          </w:p>
        </w:tc>
      </w:tr>
    </w:tbl>
    <w:p w14:paraId="443A975E" w14:textId="77777777" w:rsidR="00DD676E" w:rsidRDefault="00000000">
      <w:pPr>
        <w:jc w:val="center"/>
      </w:pPr>
      <w:r>
        <w:rPr>
          <w:noProof/>
        </w:rPr>
        <w:drawing>
          <wp:inline distT="0" distB="0" distL="0" distR="0" wp14:anchorId="6B429EE9" wp14:editId="75D7490D">
            <wp:extent cx="5303520" cy="34590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45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DD016" w14:textId="77777777" w:rsidR="00DD676E" w:rsidRDefault="00000000">
      <w:pPr>
        <w:spacing w:after="120"/>
        <w:jc w:val="center"/>
      </w:pPr>
      <w:r>
        <w:rPr>
          <w:i/>
          <w:sz w:val="16"/>
        </w:rPr>
        <w:t>Image: Unsplash / CC0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DD676E" w14:paraId="7958DCC1" w14:textId="77777777">
        <w:tc>
          <w:tcPr>
            <w:tcW w:w="9972" w:type="dxa"/>
            <w:shd w:val="clear" w:color="auto" w:fill="FFF6E0"/>
          </w:tcPr>
          <w:p w14:paraId="70B494C9" w14:textId="77777777" w:rsidR="00DD676E" w:rsidRDefault="00000000">
            <w:pPr>
              <w:spacing w:before="80" w:after="40"/>
            </w:pPr>
            <w:r>
              <w:rPr>
                <w:b/>
                <w:color w:val="E0651F"/>
              </w:rPr>
              <w:t>⚠ Shared Care Protocol</w:t>
            </w:r>
            <w:r>
              <w:rPr>
                <w:b/>
                <w:color w:val="E0651F"/>
              </w:rPr>
              <w:br/>
            </w:r>
          </w:p>
          <w:p w14:paraId="5ABCD715" w14:textId="77777777" w:rsidR="00DD676E" w:rsidRDefault="00000000">
            <w:pPr>
              <w:spacing w:after="40"/>
            </w:pPr>
            <w:r>
              <w:t>Opiate detoxification in primary care should only be initiated following consultation and agreement with the local specialist addiction service.</w:t>
            </w:r>
          </w:p>
          <w:p w14:paraId="19942868" w14:textId="77777777" w:rsidR="00DD676E" w:rsidRDefault="00000000">
            <w:pPr>
              <w:spacing w:after="40"/>
            </w:pPr>
            <w:r>
              <w:t>LAAM (levacetylmethadol) is no longer available in the UK — withdrawn from use.</w:t>
            </w:r>
          </w:p>
          <w:p w14:paraId="63DEE736" w14:textId="77777777" w:rsidR="00DD676E" w:rsidRDefault="00000000">
            <w:pPr>
              <w:spacing w:after="40"/>
            </w:pPr>
            <w:r>
              <w:t>This document is an introductory overview. Always follow your local shared care protocol.</w:t>
            </w:r>
          </w:p>
        </w:tc>
      </w:tr>
    </w:tbl>
    <w:p w14:paraId="6119C5A8" w14:textId="77777777" w:rsidR="00DD676E" w:rsidRDefault="00DD676E"/>
    <w:p w14:paraId="34C0AD73" w14:textId="77777777" w:rsidR="00DD676E" w:rsidRDefault="00000000">
      <w:pPr>
        <w:spacing w:before="200" w:after="80"/>
      </w:pPr>
      <w:r>
        <w:rPr>
          <w:b/>
          <w:color w:val="1A3C6E"/>
          <w:sz w:val="36"/>
        </w:rPr>
        <w:t>Key Questions Before Choosing a Detox Regimen</w:t>
      </w:r>
    </w:p>
    <w:p w14:paraId="5ECAF270" w14:textId="77777777" w:rsidR="00DD676E" w:rsidRDefault="00000000">
      <w:pPr>
        <w:spacing w:after="60"/>
      </w:pPr>
      <w:r>
        <w:t>1. Is the patient detoxifying from a long-acting opioid (e.g. methadone) or a short-acting opioid (e.g. heroin, dihydrocodeine)?</w:t>
      </w:r>
    </w:p>
    <w:p w14:paraId="2AC38E7A" w14:textId="77777777" w:rsidR="00DD676E" w:rsidRDefault="00000000">
      <w:pPr>
        <w:spacing w:after="60"/>
      </w:pPr>
      <w:r>
        <w:t>2. How likely is the patient to comply with the chosen regimen?</w:t>
      </w:r>
    </w:p>
    <w:p w14:paraId="2B3DA55B" w14:textId="77777777" w:rsidR="00DD676E" w:rsidRDefault="00000000">
      <w:pPr>
        <w:spacing w:after="60"/>
      </w:pPr>
      <w:r>
        <w:t>3. Can detoxification be self-managed at home, or is day-care/inpatient support needed?</w:t>
      </w:r>
    </w:p>
    <w:p w14:paraId="76FD4F06" w14:textId="77777777" w:rsidR="00DD676E" w:rsidRDefault="00000000">
      <w:pPr>
        <w:spacing w:after="60"/>
      </w:pPr>
      <w:r>
        <w:t>4. What is the patient's preference?</w:t>
      </w:r>
    </w:p>
    <w:p w14:paraId="54A6C3CE" w14:textId="77777777" w:rsidR="001A01AB" w:rsidRDefault="001A01AB">
      <w:pPr>
        <w:rPr>
          <w:b/>
          <w:color w:val="1A3C6E"/>
          <w:sz w:val="36"/>
        </w:rPr>
      </w:pPr>
      <w:r>
        <w:rPr>
          <w:b/>
          <w:color w:val="1A3C6E"/>
          <w:sz w:val="36"/>
        </w:rPr>
        <w:br w:type="page"/>
      </w:r>
    </w:p>
    <w:p w14:paraId="6ECD9782" w14:textId="1066D930" w:rsidR="00DD676E" w:rsidRDefault="00000000">
      <w:pPr>
        <w:spacing w:before="200" w:after="80"/>
      </w:pPr>
      <w:r>
        <w:rPr>
          <w:b/>
          <w:color w:val="1A3C6E"/>
          <w:sz w:val="36"/>
        </w:rPr>
        <w:lastRenderedPageBreak/>
        <w:t>Detoxification Options</w:t>
      </w:r>
    </w:p>
    <w:p w14:paraId="603A39A8" w14:textId="77777777" w:rsidR="00DD676E" w:rsidRDefault="00000000">
      <w:pPr>
        <w:spacing w:before="160" w:after="60"/>
      </w:pPr>
      <w:r>
        <w:rPr>
          <w:b/>
          <w:color w:val="226BBB"/>
          <w:sz w:val="28"/>
        </w:rPr>
        <w:t>Long-Acting Opioids (e.g. methadone)</w:t>
      </w:r>
    </w:p>
    <w:p w14:paraId="34C2BD5F" w14:textId="77777777" w:rsidR="00DD676E" w:rsidRDefault="00000000">
      <w:pPr>
        <w:spacing w:after="60"/>
      </w:pPr>
      <w:r>
        <w:t>Detoxification from methadone is complex due to prolonged withdrawal and residual symptoms. Options:</w:t>
      </w:r>
    </w:p>
    <w:p w14:paraId="2DE7A919" w14:textId="77777777" w:rsidR="00DD676E" w:rsidRDefault="00000000">
      <w:pPr>
        <w:spacing w:after="60"/>
      </w:pPr>
      <w:r>
        <w:t>• Dihydrocodeine (DF118) crossover and withdrawal</w:t>
      </w:r>
    </w:p>
    <w:p w14:paraId="2B4EF7C7" w14:textId="77777777" w:rsidR="00DD676E" w:rsidRDefault="00000000">
      <w:pPr>
        <w:spacing w:after="60"/>
      </w:pPr>
      <w:r>
        <w:t>• Buprenorphine crossover and withdrawal</w:t>
      </w:r>
    </w:p>
    <w:p w14:paraId="0F846304" w14:textId="77777777" w:rsidR="00DD676E" w:rsidRDefault="00000000">
      <w:pPr>
        <w:spacing w:after="60"/>
      </w:pPr>
      <w:r>
        <w:t>• Gradual methadone dose reduction</w:t>
      </w:r>
    </w:p>
    <w:p w14:paraId="64D73C22" w14:textId="77777777" w:rsidR="00DD676E" w:rsidRDefault="00000000">
      <w:pPr>
        <w:spacing w:before="160" w:after="60"/>
      </w:pPr>
      <w:r>
        <w:rPr>
          <w:b/>
          <w:color w:val="226BBB"/>
          <w:sz w:val="28"/>
        </w:rPr>
        <w:t>Short-Acting Opioids (e.g. heroin, dihydrocodeine)</w:t>
      </w:r>
    </w:p>
    <w:p w14:paraId="302AE095" w14:textId="77777777" w:rsidR="00DD676E" w:rsidRDefault="00000000">
      <w:pPr>
        <w:spacing w:after="60"/>
      </w:pPr>
      <w:r>
        <w:t>• Symptomatic detoxification (lofexidine or symptomatic treatment)</w:t>
      </w:r>
    </w:p>
    <w:p w14:paraId="77F6941C" w14:textId="77777777" w:rsidR="00DD676E" w:rsidRDefault="00000000">
      <w:pPr>
        <w:spacing w:after="60"/>
      </w:pPr>
      <w:r>
        <w:t>• Dihydrocodeine (DF118) withdrawal</w:t>
      </w:r>
    </w:p>
    <w:p w14:paraId="499CEA29" w14:textId="77777777" w:rsidR="00DD676E" w:rsidRDefault="00000000">
      <w:pPr>
        <w:spacing w:after="60"/>
      </w:pPr>
      <w:r>
        <w:t>• Buprenorphine withdrawal</w:t>
      </w:r>
    </w:p>
    <w:p w14:paraId="23D007A1" w14:textId="77777777" w:rsidR="00DD676E" w:rsidRDefault="00000000">
      <w:pPr>
        <w:spacing w:before="160" w:after="60"/>
      </w:pPr>
      <w:r>
        <w:rPr>
          <w:b/>
          <w:color w:val="226BBB"/>
          <w:sz w:val="28"/>
        </w:rPr>
        <w:t>Selecting the Detox Regimen — Key Factors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6"/>
        <w:gridCol w:w="4986"/>
      </w:tblGrid>
      <w:tr w:rsidR="00DD676E" w14:paraId="2430F201" w14:textId="77777777">
        <w:tc>
          <w:tcPr>
            <w:tcW w:w="4986" w:type="dxa"/>
            <w:shd w:val="clear" w:color="auto" w:fill="1A3C6E"/>
          </w:tcPr>
          <w:p w14:paraId="7EC17211" w14:textId="77777777" w:rsidR="00DD676E" w:rsidRDefault="00000000">
            <w:r>
              <w:rPr>
                <w:color w:val="FFFFFF"/>
              </w:rPr>
              <w:t>Drug</w:t>
            </w:r>
          </w:p>
        </w:tc>
        <w:tc>
          <w:tcPr>
            <w:tcW w:w="4986" w:type="dxa"/>
            <w:shd w:val="clear" w:color="auto" w:fill="1A3C6E"/>
          </w:tcPr>
          <w:p w14:paraId="5E41FA6C" w14:textId="77777777" w:rsidR="00DD676E" w:rsidRDefault="00000000">
            <w:r>
              <w:rPr>
                <w:color w:val="FFFFFF"/>
              </w:rPr>
              <w:t>Key Characteristics</w:t>
            </w:r>
          </w:p>
        </w:tc>
      </w:tr>
      <w:tr w:rsidR="00DD676E" w14:paraId="1C293905" w14:textId="77777777">
        <w:tc>
          <w:tcPr>
            <w:tcW w:w="4986" w:type="dxa"/>
            <w:shd w:val="clear" w:color="auto" w:fill="F0F4FB"/>
          </w:tcPr>
          <w:p w14:paraId="04C0D201" w14:textId="77777777" w:rsidR="00DD676E" w:rsidRDefault="00000000">
            <w:r>
              <w:rPr>
                <w:sz w:val="20"/>
              </w:rPr>
              <w:t>DF118 (Dihydrocodeine)</w:t>
            </w:r>
          </w:p>
        </w:tc>
        <w:tc>
          <w:tcPr>
            <w:tcW w:w="4986" w:type="dxa"/>
            <w:shd w:val="clear" w:color="auto" w:fill="F0F4FB"/>
          </w:tcPr>
          <w:p w14:paraId="74452855" w14:textId="77777777" w:rsidR="00DD676E" w:rsidRDefault="00000000">
            <w:r>
              <w:rPr>
                <w:sz w:val="20"/>
              </w:rPr>
              <w:t>Suitable for heroin users ≤30mg/day or methadone ≤30mg/day; avoid with benzodiazepines; self-managed: moderate compliance needed</w:t>
            </w:r>
          </w:p>
        </w:tc>
      </w:tr>
      <w:tr w:rsidR="00DD676E" w14:paraId="56D1604C" w14:textId="77777777">
        <w:tc>
          <w:tcPr>
            <w:tcW w:w="4986" w:type="dxa"/>
          </w:tcPr>
          <w:p w14:paraId="747D3D45" w14:textId="77777777" w:rsidR="00DD676E" w:rsidRDefault="00000000">
            <w:r>
              <w:rPr>
                <w:sz w:val="20"/>
              </w:rPr>
              <w:t>Lofexidine</w:t>
            </w:r>
          </w:p>
        </w:tc>
        <w:tc>
          <w:tcPr>
            <w:tcW w:w="4986" w:type="dxa"/>
          </w:tcPr>
          <w:p w14:paraId="03A472B6" w14:textId="77777777" w:rsidR="00DD676E" w:rsidRDefault="00000000">
            <w:r>
              <w:rPr>
                <w:sz w:val="20"/>
              </w:rPr>
              <w:t>Non-opioid (alpha-2 agonist); reduces autonomic withdrawal symptoms; needs pulse &gt;60, BP &gt;90/60; less suitable for non-compliant patients</w:t>
            </w:r>
          </w:p>
        </w:tc>
      </w:tr>
      <w:tr w:rsidR="00DD676E" w14:paraId="433D24A6" w14:textId="77777777">
        <w:tc>
          <w:tcPr>
            <w:tcW w:w="4986" w:type="dxa"/>
            <w:shd w:val="clear" w:color="auto" w:fill="F0F4FB"/>
          </w:tcPr>
          <w:p w14:paraId="39681595" w14:textId="77777777" w:rsidR="00DD676E" w:rsidRDefault="00000000">
            <w:r>
              <w:rPr>
                <w:sz w:val="20"/>
              </w:rPr>
              <w:t>Buprenorphine</w:t>
            </w:r>
          </w:p>
        </w:tc>
        <w:tc>
          <w:tcPr>
            <w:tcW w:w="4986" w:type="dxa"/>
            <w:shd w:val="clear" w:color="auto" w:fill="F0F4FB"/>
          </w:tcPr>
          <w:p w14:paraId="6910C407" w14:textId="77777777" w:rsidR="00DD676E" w:rsidRDefault="00000000">
            <w:r>
              <w:rPr>
                <w:sz w:val="20"/>
              </w:rPr>
              <w:t>Suitable for most opioid users; highly effective for non-compliant patients; must wait ≥4h after last heroin dose, ≥24h after last methadone dose before starting</w:t>
            </w:r>
          </w:p>
        </w:tc>
      </w:tr>
      <w:tr w:rsidR="00DD676E" w14:paraId="7D983B4A" w14:textId="77777777">
        <w:tc>
          <w:tcPr>
            <w:tcW w:w="4986" w:type="dxa"/>
          </w:tcPr>
          <w:p w14:paraId="1BB3C18F" w14:textId="77777777" w:rsidR="00DD676E" w:rsidRDefault="00000000">
            <w:r>
              <w:rPr>
                <w:sz w:val="20"/>
              </w:rPr>
              <w:t>Methadone</w:t>
            </w:r>
          </w:p>
        </w:tc>
        <w:tc>
          <w:tcPr>
            <w:tcW w:w="4986" w:type="dxa"/>
          </w:tcPr>
          <w:p w14:paraId="5A1548D7" w14:textId="77777777" w:rsidR="00DD676E" w:rsidRDefault="00000000">
            <w:r>
              <w:rPr>
                <w:sz w:val="20"/>
              </w:rPr>
              <w:t>Highly effective for compliance; suitable for methadone stabilisation before reduction; long-acting — prolonged supervision</w:t>
            </w:r>
          </w:p>
        </w:tc>
      </w:tr>
    </w:tbl>
    <w:p w14:paraId="54278842" w14:textId="77777777" w:rsidR="00DD676E" w:rsidRDefault="00DD676E"/>
    <w:p w14:paraId="0BA327EB" w14:textId="77777777" w:rsidR="00DD676E" w:rsidRDefault="00000000">
      <w:pPr>
        <w:spacing w:before="200" w:after="80"/>
      </w:pPr>
      <w:r>
        <w:rPr>
          <w:b/>
          <w:color w:val="1A3C6E"/>
          <w:sz w:val="36"/>
        </w:rPr>
        <w:t>Buprenorphine in Detoxification (NICE TA114 / NG58)</w:t>
      </w:r>
    </w:p>
    <w:p w14:paraId="0D3F10FB" w14:textId="77777777" w:rsidR="00DD676E" w:rsidRDefault="00000000">
      <w:pPr>
        <w:spacing w:after="60"/>
      </w:pPr>
      <w:r>
        <w:t>Buprenorphine is a partial opioid agonist used for both detoxification and maintenance treatment.</w:t>
      </w:r>
    </w:p>
    <w:p w14:paraId="477B1FE9" w14:textId="77777777" w:rsidR="00DD676E" w:rsidRDefault="00000000">
      <w:pPr>
        <w:spacing w:after="60"/>
      </w:pPr>
      <w:r>
        <w:t>Key rule: do NOT start buprenorphine until the patient is in mild-to-moderate withdrawal (COWS score ≥8).</w:t>
      </w:r>
    </w:p>
    <w:p w14:paraId="5984065C" w14:textId="77777777" w:rsidR="00DD676E" w:rsidRDefault="00000000">
      <w:pPr>
        <w:spacing w:after="60"/>
      </w:pPr>
      <w:r>
        <w:t>• After heroin: wait ≥4 hours after last use</w:t>
      </w:r>
    </w:p>
    <w:p w14:paraId="38F4D3A9" w14:textId="77777777" w:rsidR="00DD676E" w:rsidRDefault="00000000">
      <w:pPr>
        <w:spacing w:after="60"/>
      </w:pPr>
      <w:r>
        <w:t>• After methadone: wait ≥24 hours (longer if high dose)</w:t>
      </w:r>
    </w:p>
    <w:p w14:paraId="2368C4E0" w14:textId="77777777" w:rsidR="00DD676E" w:rsidRDefault="00000000">
      <w:pPr>
        <w:spacing w:after="60"/>
      </w:pPr>
      <w:r>
        <w:t>Starting dose: typically 4mg sublingual; can increase to 8mg on day 1 if tolerated.</w:t>
      </w:r>
    </w:p>
    <w:p w14:paraId="05558DFC" w14:textId="77777777" w:rsidR="00DD676E" w:rsidRDefault="00000000">
      <w:pPr>
        <w:spacing w:after="60"/>
      </w:pPr>
      <w:r>
        <w:t>Combined buprenorphine/naloxone (Suboxone) reduces risk of diversion by injection.</w:t>
      </w:r>
    </w:p>
    <w:p w14:paraId="3E34B066" w14:textId="77777777" w:rsidR="00DD676E" w:rsidRDefault="00000000">
      <w:pPr>
        <w:spacing w:before="200" w:after="80"/>
      </w:pPr>
      <w:r>
        <w:rPr>
          <w:b/>
          <w:color w:val="1A3C6E"/>
          <w:sz w:val="36"/>
        </w:rPr>
        <w:t>Lofexidine — Symptomatic Detox</w:t>
      </w:r>
    </w:p>
    <w:p w14:paraId="06600735" w14:textId="77777777" w:rsidR="00DD676E" w:rsidRDefault="00000000">
      <w:pPr>
        <w:spacing w:after="60"/>
      </w:pPr>
      <w:r>
        <w:t>Lofexidine (Britlofex) is a non-opioid alpha-2 adrenergic agonist — reduces noradrenergic withdrawal symptoms.</w:t>
      </w:r>
    </w:p>
    <w:p w14:paraId="2D01410A" w14:textId="77777777" w:rsidR="00DD676E" w:rsidRDefault="00000000">
      <w:pPr>
        <w:spacing w:after="60"/>
      </w:pPr>
      <w:r>
        <w:t>Does not provide opioid effect — suitable for motivated patients who want a drug-free approach.</w:t>
      </w:r>
    </w:p>
    <w:p w14:paraId="2428ECBC" w14:textId="77777777" w:rsidR="00DD676E" w:rsidRDefault="00000000">
      <w:pPr>
        <w:spacing w:after="60"/>
      </w:pPr>
      <w:r>
        <w:t>Requires baseline BP and pulse to be satisfactory (BP &gt;90/60, pulse &gt;60) — monitor regularly.</w:t>
      </w:r>
    </w:p>
    <w:p w14:paraId="510EA271" w14:textId="77777777" w:rsidR="00DD676E" w:rsidRDefault="00000000">
      <w:pPr>
        <w:spacing w:after="60"/>
      </w:pPr>
      <w:r>
        <w:t>Dose: 800 micrograms (0.8mg) 4 times daily (max 2.4mg/day); reduce over 7–10 days.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DD676E" w14:paraId="74E5EC53" w14:textId="77777777">
        <w:tc>
          <w:tcPr>
            <w:tcW w:w="9972" w:type="dxa"/>
            <w:shd w:val="clear" w:color="auto" w:fill="FFEEEE"/>
          </w:tcPr>
          <w:p w14:paraId="397AA118" w14:textId="77777777" w:rsidR="00DD676E" w:rsidRDefault="00000000">
            <w:pPr>
              <w:spacing w:before="80" w:after="40"/>
            </w:pPr>
            <w:r>
              <w:rPr>
                <w:b/>
                <w:color w:val="CC0000"/>
              </w:rPr>
              <w:lastRenderedPageBreak/>
              <w:t>🚩 Red Flags</w:t>
            </w:r>
            <w:r>
              <w:rPr>
                <w:b/>
                <w:color w:val="CC0000"/>
              </w:rPr>
              <w:br/>
            </w:r>
          </w:p>
          <w:p w14:paraId="3082D99B" w14:textId="77777777" w:rsidR="00DD676E" w:rsidRDefault="00000000">
            <w:pPr>
              <w:spacing w:after="40"/>
            </w:pPr>
            <w:r>
              <w:t>• Precipitated withdrawal: starting buprenorphine too soon → severe acute withdrawal</w:t>
            </w:r>
          </w:p>
          <w:p w14:paraId="26E2D884" w14:textId="77777777" w:rsidR="00DD676E" w:rsidRDefault="00000000">
            <w:pPr>
              <w:spacing w:after="40"/>
            </w:pPr>
            <w:r>
              <w:t>• Lofexidine: hypotension and bradycardia → monitor BP/pulse; avoid in cardiac disease</w:t>
            </w:r>
          </w:p>
          <w:p w14:paraId="6799052F" w14:textId="77777777" w:rsidR="00DD676E" w:rsidRDefault="00000000">
            <w:pPr>
              <w:spacing w:after="40"/>
            </w:pPr>
            <w:r>
              <w:t>• Methadone: narrow therapeutic index; QTc prolongation at high doses → ECG monitoring</w:t>
            </w:r>
          </w:p>
          <w:p w14:paraId="7468D5FB" w14:textId="77777777" w:rsidR="00DD676E" w:rsidRDefault="00000000">
            <w:pPr>
              <w:spacing w:after="40"/>
            </w:pPr>
            <w:r>
              <w:t>• Never initiate opioid substitution therapy in primary care without specialist agreement</w:t>
            </w:r>
          </w:p>
        </w:tc>
      </w:tr>
    </w:tbl>
    <w:p w14:paraId="33A82CF5" w14:textId="77777777" w:rsidR="00DD676E" w:rsidRDefault="00DD676E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DD676E" w14:paraId="0B9C915A" w14:textId="77777777">
        <w:tc>
          <w:tcPr>
            <w:tcW w:w="9972" w:type="dxa"/>
            <w:shd w:val="clear" w:color="auto" w:fill="F3EEFF"/>
          </w:tcPr>
          <w:p w14:paraId="55D16FC5" w14:textId="77777777" w:rsidR="00DD676E" w:rsidRDefault="00000000">
            <w:pPr>
              <w:spacing w:before="80" w:after="40"/>
            </w:pPr>
            <w:r>
              <w:rPr>
                <w:b/>
                <w:color w:val="226BBB"/>
              </w:rPr>
              <w:t>💡 In the Exam (SCA/AKT)</w:t>
            </w:r>
            <w:r>
              <w:rPr>
                <w:b/>
                <w:color w:val="226BBB"/>
              </w:rPr>
              <w:br/>
            </w:r>
          </w:p>
          <w:p w14:paraId="5EB9BE51" w14:textId="77777777" w:rsidR="00DD676E" w:rsidRDefault="00000000">
            <w:pPr>
              <w:spacing w:after="40"/>
            </w:pPr>
            <w:r>
              <w:t>• Buprenorphine: must be in withdrawal before starting (COWS ≥8)</w:t>
            </w:r>
          </w:p>
          <w:p w14:paraId="16C71CE5" w14:textId="77777777" w:rsidR="00DD676E" w:rsidRDefault="00000000">
            <w:pPr>
              <w:spacing w:after="40"/>
            </w:pPr>
            <w:r>
              <w:t>• Lofexidine: alpha-2 agonist, non-opioid; monitor BP/pulse</w:t>
            </w:r>
          </w:p>
          <w:p w14:paraId="6FAC2D25" w14:textId="77777777" w:rsidR="00DD676E" w:rsidRDefault="00000000">
            <w:pPr>
              <w:spacing w:after="40"/>
            </w:pPr>
            <w:r>
              <w:t>• Methadone: long half-life, QTc risk; ECG before and during treatment</w:t>
            </w:r>
          </w:p>
          <w:p w14:paraId="3B4CC7DF" w14:textId="77777777" w:rsidR="00DD676E" w:rsidRDefault="00000000">
            <w:pPr>
              <w:spacing w:after="40"/>
            </w:pPr>
            <w:r>
              <w:t>• Always follow local shared care protocol</w:t>
            </w:r>
          </w:p>
        </w:tc>
      </w:tr>
    </w:tbl>
    <w:p w14:paraId="1080ED49" w14:textId="77777777" w:rsidR="00DD676E" w:rsidRDefault="00DD676E"/>
    <w:p w14:paraId="3D1BB6DA" w14:textId="77777777" w:rsidR="00DD676E" w:rsidRDefault="00000000">
      <w:pPr>
        <w:spacing w:before="240" w:after="80"/>
      </w:pPr>
      <w:r>
        <w:rPr>
          <w:b/>
          <w:color w:val="E0651F"/>
          <w:sz w:val="20"/>
        </w:rPr>
        <w:t xml:space="preserve">⚠ Disclaimer: </w:t>
      </w:r>
      <w:r>
        <w:rPr>
          <w:i/>
          <w:sz w:val="20"/>
        </w:rPr>
        <w:t>Always double check this advice and drug doses with the latest NICE/BNF guidance. This document is for educational purposes only.</w:t>
      </w:r>
    </w:p>
    <w:sectPr w:rsidR="00DD676E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A5C29" w14:textId="77777777" w:rsidR="009C679B" w:rsidRDefault="009C679B">
      <w:pPr>
        <w:spacing w:after="0" w:line="240" w:lineRule="auto"/>
      </w:pPr>
      <w:r>
        <w:separator/>
      </w:r>
    </w:p>
  </w:endnote>
  <w:endnote w:type="continuationSeparator" w:id="0">
    <w:p w14:paraId="69F429ED" w14:textId="77777777" w:rsidR="009C679B" w:rsidRDefault="009C6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5F87B" w14:textId="77777777" w:rsidR="00DD676E" w:rsidRDefault="00000000">
    <w:pPr>
      <w:pStyle w:val="Footer"/>
      <w:jc w:val="center"/>
    </w:pPr>
    <w:r>
      <w:rPr>
        <w:sz w:val="16"/>
      </w:rPr>
      <w:t>A free resource provided by www.bradfordvts.co.uk, Dr Ramesh Mehay, revised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9ABC6" w14:textId="77777777" w:rsidR="009C679B" w:rsidRDefault="009C679B">
      <w:pPr>
        <w:spacing w:after="0" w:line="240" w:lineRule="auto"/>
      </w:pPr>
      <w:r>
        <w:separator/>
      </w:r>
    </w:p>
  </w:footnote>
  <w:footnote w:type="continuationSeparator" w:id="0">
    <w:p w14:paraId="3F455F87" w14:textId="77777777" w:rsidR="009C679B" w:rsidRDefault="009C6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532445">
    <w:abstractNumId w:val="8"/>
  </w:num>
  <w:num w:numId="2" w16cid:durableId="721829153">
    <w:abstractNumId w:val="6"/>
  </w:num>
  <w:num w:numId="3" w16cid:durableId="773674908">
    <w:abstractNumId w:val="5"/>
  </w:num>
  <w:num w:numId="4" w16cid:durableId="1476609337">
    <w:abstractNumId w:val="4"/>
  </w:num>
  <w:num w:numId="5" w16cid:durableId="1848594061">
    <w:abstractNumId w:val="7"/>
  </w:num>
  <w:num w:numId="6" w16cid:durableId="1582910952">
    <w:abstractNumId w:val="3"/>
  </w:num>
  <w:num w:numId="7" w16cid:durableId="1208835126">
    <w:abstractNumId w:val="2"/>
  </w:num>
  <w:num w:numId="8" w16cid:durableId="519783345">
    <w:abstractNumId w:val="1"/>
  </w:num>
  <w:num w:numId="9" w16cid:durableId="1610775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01AB"/>
    <w:rsid w:val="0029639D"/>
    <w:rsid w:val="00326F90"/>
    <w:rsid w:val="009C679B"/>
    <w:rsid w:val="00AA1D8D"/>
    <w:rsid w:val="00AF5BBE"/>
    <w:rsid w:val="00B47730"/>
    <w:rsid w:val="00CB0664"/>
    <w:rsid w:val="00DD676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BF2382"/>
  <w14:defaultImageDpi w14:val="300"/>
  <w15:docId w15:val="{6DFF7C1E-0E44-4491-8DF8-441EEB4C3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3</cp:revision>
  <dcterms:created xsi:type="dcterms:W3CDTF">2013-12-23T23:15:00Z</dcterms:created>
  <dcterms:modified xsi:type="dcterms:W3CDTF">2026-05-26T14:08:00Z</dcterms:modified>
  <cp:category/>
</cp:coreProperties>
</file>