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72"/>
      </w:tblGrid>
      <w:tr w:rsidR="00643715" w14:paraId="6CDAEFCE" w14:textId="77777777">
        <w:trPr>
          <w:jc w:val="center"/>
        </w:trPr>
        <w:tc>
          <w:tcPr>
            <w:tcW w:w="9972" w:type="dxa"/>
            <w:shd w:val="clear" w:color="auto" w:fill="E0651F"/>
          </w:tcPr>
          <w:p w14:paraId="56CAF461" w14:textId="77777777" w:rsidR="00643715" w:rsidRDefault="00000000">
            <w:pPr>
              <w:spacing w:before="120" w:after="40"/>
              <w:jc w:val="center"/>
            </w:pPr>
            <w:r>
              <w:rPr>
                <w:b/>
                <w:caps/>
                <w:color w:val="FFFFFF"/>
                <w:sz w:val="18"/>
              </w:rPr>
              <w:t>BRADFORD VTS TEACHING AIDS</w:t>
            </w:r>
          </w:p>
          <w:p w14:paraId="430E1A1C" w14:textId="0B634FF8" w:rsidR="00643715" w:rsidRDefault="00000000">
            <w:pPr>
              <w:spacing w:before="40" w:after="40"/>
              <w:jc w:val="center"/>
            </w:pPr>
            <w:r>
              <w:rPr>
                <w:b/>
                <w:color w:val="FFFFFF"/>
                <w:sz w:val="52"/>
              </w:rPr>
              <w:t>Opioid</w:t>
            </w:r>
            <w:r w:rsidR="00190661">
              <w:rPr>
                <w:b/>
                <w:color w:val="FFFFFF"/>
                <w:sz w:val="52"/>
              </w:rPr>
              <w:t>s for Long Term Pain</w:t>
            </w:r>
          </w:p>
          <w:p w14:paraId="0F0C7B18" w14:textId="77777777" w:rsidR="00643715" w:rsidRDefault="00000000">
            <w:pPr>
              <w:spacing w:before="40" w:after="120"/>
              <w:jc w:val="center"/>
            </w:pPr>
            <w:r>
              <w:rPr>
                <w:i/>
                <w:color w:val="FFFFFF"/>
              </w:rPr>
              <w:t>Long-Term Pain Management · Bradford VTS · May 2026</w:t>
            </w:r>
          </w:p>
        </w:tc>
      </w:tr>
    </w:tbl>
    <w:p w14:paraId="262E927F" w14:textId="77777777" w:rsidR="00643715" w:rsidRDefault="00000000">
      <w:pPr>
        <w:jc w:val="center"/>
      </w:pPr>
      <w:r>
        <w:rPr>
          <w:noProof/>
        </w:rPr>
        <w:drawing>
          <wp:inline distT="0" distB="0" distL="0" distR="0" wp14:anchorId="3E813875" wp14:editId="7E5FB325">
            <wp:extent cx="5303520" cy="345907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345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6D1E6" w14:textId="77777777" w:rsidR="00643715" w:rsidRDefault="00000000">
      <w:pPr>
        <w:spacing w:after="120"/>
        <w:jc w:val="center"/>
      </w:pPr>
      <w:r>
        <w:rPr>
          <w:i/>
          <w:sz w:val="16"/>
        </w:rPr>
        <w:t>Image: Unsplash / CC0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643715" w14:paraId="0C644E1D" w14:textId="77777777">
        <w:tc>
          <w:tcPr>
            <w:tcW w:w="9972" w:type="dxa"/>
            <w:shd w:val="clear" w:color="auto" w:fill="FFF6E0"/>
          </w:tcPr>
          <w:p w14:paraId="779F547F" w14:textId="77777777" w:rsidR="00643715" w:rsidRDefault="00000000">
            <w:pPr>
              <w:spacing w:before="80" w:after="40"/>
            </w:pPr>
            <w:r>
              <w:rPr>
                <w:b/>
                <w:color w:val="E0651F"/>
              </w:rPr>
              <w:t>⚠ Major Clinical Update — NICE NG193 (April 2021)</w:t>
            </w:r>
            <w:r>
              <w:rPr>
                <w:b/>
                <w:color w:val="E0651F"/>
              </w:rPr>
              <w:br/>
            </w:r>
          </w:p>
          <w:p w14:paraId="36797437" w14:textId="77777777" w:rsidR="00643715" w:rsidRDefault="00000000">
            <w:pPr>
              <w:spacing w:after="40"/>
            </w:pPr>
            <w:r>
              <w:t>The 2010 source material recommended opioids as the treatment pathway for long-term non-cancer pain.</w:t>
            </w:r>
          </w:p>
          <w:p w14:paraId="6C6C20FE" w14:textId="77777777" w:rsidR="00643715" w:rsidRDefault="00000000">
            <w:pPr>
              <w:spacing w:after="40"/>
            </w:pPr>
            <w:r>
              <w:t>NICE NG193 (April 2021): Opioids should NOT be offered for chronic primary pain by any route.</w:t>
            </w:r>
          </w:p>
          <w:p w14:paraId="0B3AA743" w14:textId="77777777" w:rsidR="00643715" w:rsidRDefault="00000000">
            <w:pPr>
              <w:spacing w:after="40"/>
            </w:pPr>
            <w:r>
              <w:t>Chronic primary pain = pain with no clear underlying cause or out of proportion to observable injury/disease.</w:t>
            </w:r>
          </w:p>
          <w:p w14:paraId="642F79E6" w14:textId="77777777" w:rsidR="00643715" w:rsidRDefault="00000000">
            <w:pPr>
              <w:spacing w:after="40"/>
            </w:pPr>
            <w:r>
              <w:t>This guidance supersedes older BPS/local recommendations for pharmacological escalation in chronic primary pain.</w:t>
            </w:r>
          </w:p>
        </w:tc>
      </w:tr>
    </w:tbl>
    <w:p w14:paraId="7F15750A" w14:textId="77777777" w:rsidR="00643715" w:rsidRDefault="00643715"/>
    <w:p w14:paraId="7537FDE9" w14:textId="77777777" w:rsidR="00643715" w:rsidRDefault="00000000">
      <w:pPr>
        <w:spacing w:before="200" w:after="80"/>
      </w:pPr>
      <w:r>
        <w:rPr>
          <w:b/>
          <w:color w:val="1A3C6E"/>
          <w:sz w:val="36"/>
        </w:rPr>
        <w:t>When ARE Opioids Appropriate?</w:t>
      </w:r>
    </w:p>
    <w:p w14:paraId="0014C876" w14:textId="77777777" w:rsidR="00643715" w:rsidRDefault="00000000">
      <w:pPr>
        <w:spacing w:after="60"/>
      </w:pPr>
      <w:r>
        <w:t>Opioids remain appropriate for:</w:t>
      </w:r>
    </w:p>
    <w:p w14:paraId="385B113D" w14:textId="77777777" w:rsidR="00643715" w:rsidRDefault="00000000">
      <w:pPr>
        <w:spacing w:after="60"/>
      </w:pPr>
      <w:r>
        <w:t>• Cancer pain and palliative care (morphine = first-line strong opioid per WHO/NICE)</w:t>
      </w:r>
    </w:p>
    <w:p w14:paraId="18B117BF" w14:textId="77777777" w:rsidR="00643715" w:rsidRDefault="00000000">
      <w:pPr>
        <w:spacing w:after="60"/>
      </w:pPr>
      <w:r>
        <w:t>• Acute severe pain (trauma, post-operative, acute nociceptive pain)</w:t>
      </w:r>
    </w:p>
    <w:p w14:paraId="5CE8BF8B" w14:textId="77777777" w:rsidR="00643715" w:rsidRDefault="00000000">
      <w:pPr>
        <w:spacing w:after="60"/>
      </w:pPr>
      <w:r>
        <w:t>• Chronic secondary pain where pharmacological treatment is indicated (e.g. cancer, severe RA)</w:t>
      </w:r>
    </w:p>
    <w:p w14:paraId="68092A6F" w14:textId="77777777" w:rsidR="00643715" w:rsidRDefault="00000000">
      <w:pPr>
        <w:spacing w:after="60"/>
      </w:pPr>
      <w:r>
        <w:t>• Opioid substitution therapy (methadone/buprenorphine) under specialist supervision</w:t>
      </w:r>
    </w:p>
    <w:p w14:paraId="1699D6F7" w14:textId="77777777" w:rsidR="00190661" w:rsidRDefault="00190661">
      <w:pPr>
        <w:rPr>
          <w:b/>
          <w:color w:val="1A3C6E"/>
          <w:sz w:val="36"/>
        </w:rPr>
      </w:pPr>
      <w:r>
        <w:rPr>
          <w:b/>
          <w:color w:val="1A3C6E"/>
          <w:sz w:val="36"/>
        </w:rPr>
        <w:br w:type="page"/>
      </w:r>
    </w:p>
    <w:p w14:paraId="42ADD697" w14:textId="54CEA4EC" w:rsidR="00643715" w:rsidRDefault="00000000">
      <w:pPr>
        <w:spacing w:before="200" w:after="80"/>
      </w:pPr>
      <w:r>
        <w:rPr>
          <w:b/>
          <w:color w:val="1A3C6E"/>
          <w:sz w:val="36"/>
        </w:rPr>
        <w:lastRenderedPageBreak/>
        <w:t xml:space="preserve">Initial Analgesic Approach for Chronic Pain </w:t>
      </w:r>
      <w:r w:rsidRPr="00190661">
        <w:rPr>
          <w:b/>
          <w:color w:val="1A3C6E"/>
          <w:sz w:val="28"/>
          <w:szCs w:val="18"/>
        </w:rPr>
        <w:t>(NICE NG193 / NICE CG173)</w:t>
      </w:r>
    </w:p>
    <w:p w14:paraId="220E38C6" w14:textId="77777777" w:rsidR="00643715" w:rsidRDefault="00000000">
      <w:pPr>
        <w:spacing w:after="60"/>
      </w:pPr>
      <w:r>
        <w:t>For chronic primary pain — non-pharmacological approaches are first-line:</w:t>
      </w:r>
    </w:p>
    <w:p w14:paraId="16A4B636" w14:textId="77777777" w:rsidR="00643715" w:rsidRDefault="00000000">
      <w:pPr>
        <w:spacing w:after="60"/>
      </w:pPr>
      <w:r>
        <w:t>• Supervised group exercise programme (NICE NG193: strong recommendation)</w:t>
      </w:r>
    </w:p>
    <w:p w14:paraId="47EEE486" w14:textId="77777777" w:rsidR="00643715" w:rsidRDefault="00000000">
      <w:pPr>
        <w:spacing w:after="60"/>
      </w:pPr>
      <w:r>
        <w:t>• Psychological therapies — CBT or ACT</w:t>
      </w:r>
    </w:p>
    <w:p w14:paraId="32C1B748" w14:textId="77777777" w:rsidR="00643715" w:rsidRDefault="00000000">
      <w:pPr>
        <w:spacing w:after="60"/>
      </w:pPr>
      <w:r>
        <w:t>• Acupuncture or dry needling (consider)</w:t>
      </w:r>
    </w:p>
    <w:p w14:paraId="4CA10D63" w14:textId="77777777" w:rsidR="00643715" w:rsidRDefault="00000000">
      <w:pPr>
        <w:spacing w:after="60"/>
      </w:pPr>
      <w:r>
        <w:t>• Social prescribing, supported self-management</w:t>
      </w:r>
    </w:p>
    <w:p w14:paraId="598B6CB3" w14:textId="77777777" w:rsidR="00643715" w:rsidRDefault="00643715">
      <w:pPr>
        <w:spacing w:after="60"/>
      </w:pPr>
    </w:p>
    <w:p w14:paraId="54D5F1C8" w14:textId="77777777" w:rsidR="00643715" w:rsidRDefault="00000000">
      <w:pPr>
        <w:spacing w:after="60"/>
      </w:pPr>
      <w:r>
        <w:t>For chronic secondary pain with neuropathic features (NICE CG173, updated 2020):</w:t>
      </w:r>
    </w:p>
    <w:p w14:paraId="2EA96EEF" w14:textId="77777777" w:rsidR="00643715" w:rsidRDefault="00000000">
      <w:pPr>
        <w:spacing w:after="60"/>
      </w:pPr>
      <w:r>
        <w:t>• Amitriptyline 10–25mg nocte (off-label, increase gradually to 25–75mg)</w:t>
      </w:r>
    </w:p>
    <w:p w14:paraId="3511822B" w14:textId="77777777" w:rsidR="00643715" w:rsidRDefault="00000000">
      <w:pPr>
        <w:spacing w:after="60"/>
      </w:pPr>
      <w:r>
        <w:t>• Duloxetine 30mg od × 1 week, then 60mg od</w:t>
      </w:r>
    </w:p>
    <w:p w14:paraId="7BBB8010" w14:textId="77777777" w:rsidR="00643715" w:rsidRDefault="00000000">
      <w:pPr>
        <w:spacing w:after="60"/>
      </w:pPr>
      <w:r>
        <w:t>• Gabapentin 300mg od → bd → tds; max 3600mg/day (Class C CD)</w:t>
      </w:r>
    </w:p>
    <w:p w14:paraId="632CDAD9" w14:textId="77777777" w:rsidR="00643715" w:rsidRDefault="00000000">
      <w:pPr>
        <w:spacing w:after="60"/>
      </w:pPr>
      <w:r>
        <w:t>• Pregabalin 75mg bd → 150mg bd; max 600mg/day (Class C CD)</w:t>
      </w:r>
    </w:p>
    <w:p w14:paraId="4AD4AC8B" w14:textId="77777777" w:rsidR="00643715" w:rsidRDefault="00000000">
      <w:pPr>
        <w:spacing w:before="200" w:after="80"/>
      </w:pPr>
      <w:r>
        <w:rPr>
          <w:b/>
          <w:color w:val="1A3C6E"/>
          <w:sz w:val="36"/>
        </w:rPr>
        <w:t>If Strong Opioids are Indicated (Cancer / Palliative Care)</w:t>
      </w:r>
    </w:p>
    <w:p w14:paraId="5BEC380C" w14:textId="77777777" w:rsidR="00643715" w:rsidRDefault="00000000">
      <w:pPr>
        <w:spacing w:before="160" w:after="60"/>
      </w:pPr>
      <w:r>
        <w:rPr>
          <w:b/>
          <w:color w:val="226BBB"/>
          <w:sz w:val="28"/>
        </w:rPr>
        <w:t>Starting Morphine</w:t>
      </w:r>
    </w:p>
    <w:p w14:paraId="102EFF40" w14:textId="77777777" w:rsidR="00643715" w:rsidRDefault="00000000">
      <w:pPr>
        <w:spacing w:after="60"/>
      </w:pPr>
      <w:r>
        <w:t>• Adult: 5–10mg immediate-release oral morphine every 4 hours</w:t>
      </w:r>
    </w:p>
    <w:p w14:paraId="7602FA63" w14:textId="77777777" w:rsidR="00643715" w:rsidRDefault="00000000">
      <w:pPr>
        <w:spacing w:after="60"/>
      </w:pPr>
      <w:r>
        <w:t>• Elderly/frail/renal impairment: start 2.5mg</w:t>
      </w:r>
    </w:p>
    <w:p w14:paraId="6B4C9462" w14:textId="77777777" w:rsidR="00643715" w:rsidRDefault="00000000">
      <w:pPr>
        <w:spacing w:after="60"/>
      </w:pPr>
      <w:r>
        <w:t>• Always prescribe stimulant + osmotic laxative FROM DAY 1</w:t>
      </w:r>
    </w:p>
    <w:p w14:paraId="73E56D82" w14:textId="77777777" w:rsidR="00643715" w:rsidRDefault="00000000">
      <w:pPr>
        <w:spacing w:after="60"/>
      </w:pPr>
      <w:r>
        <w:t>• Consider antiemetic for first week (cyclizine, metoclopramide, or haloperidol)</w:t>
      </w:r>
    </w:p>
    <w:p w14:paraId="43A70272" w14:textId="77777777" w:rsidR="00643715" w:rsidRDefault="00000000">
      <w:pPr>
        <w:spacing w:after="60"/>
      </w:pPr>
      <w:r>
        <w:t>• Breakthrough dose: 1/6 of total 24h dose, as required</w:t>
      </w:r>
    </w:p>
    <w:p w14:paraId="7915B0BE" w14:textId="77777777" w:rsidR="00643715" w:rsidRDefault="00000000">
      <w:pPr>
        <w:spacing w:after="60"/>
      </w:pPr>
      <w:r>
        <w:t>• Once stable, convert to 12-hourly modified-release (e.g. Zomorph/MST)</w:t>
      </w:r>
    </w:p>
    <w:p w14:paraId="502A675A" w14:textId="77777777" w:rsidR="00643715" w:rsidRDefault="00000000">
      <w:pPr>
        <w:spacing w:after="60"/>
      </w:pPr>
      <w:r>
        <w:t>• Modified-release dose = total 24h immediate-release dose ÷ 2</w:t>
      </w:r>
    </w:p>
    <w:p w14:paraId="05CBCB21" w14:textId="77777777" w:rsidR="00643715" w:rsidRDefault="00000000">
      <w:pPr>
        <w:spacing w:before="160" w:after="60"/>
      </w:pPr>
      <w:r>
        <w:rPr>
          <w:b/>
          <w:color w:val="226BBB"/>
          <w:sz w:val="28"/>
        </w:rPr>
        <w:t>Dose Escalation</w:t>
      </w:r>
    </w:p>
    <w:p w14:paraId="763C65E2" w14:textId="77777777" w:rsidR="00643715" w:rsidRDefault="00000000">
      <w:pPr>
        <w:spacing w:after="60"/>
      </w:pPr>
      <w:r>
        <w:t>• Increase in increments of no more than 25–50% of previous dose</w:t>
      </w:r>
    </w:p>
    <w:p w14:paraId="061D9873" w14:textId="77777777" w:rsidR="00643715" w:rsidRDefault="00000000">
      <w:pPr>
        <w:spacing w:after="60"/>
      </w:pPr>
      <w:r>
        <w:t>• Review total daily dose (regular + breakthrough) every day during titration</w:t>
      </w:r>
    </w:p>
    <w:p w14:paraId="386E254E" w14:textId="77777777" w:rsidR="00643715" w:rsidRDefault="00000000">
      <w:pPr>
        <w:spacing w:after="60"/>
      </w:pPr>
      <w:r>
        <w:t>• Maximum for non-specialist management: 120mg/day oral morphine equivalent (seek specialist advice above this)</w:t>
      </w:r>
    </w:p>
    <w:p w14:paraId="7499FDA5" w14:textId="77777777" w:rsidR="00643715" w:rsidRDefault="00000000">
      <w:pPr>
        <w:spacing w:before="160" w:after="60"/>
      </w:pPr>
      <w:r>
        <w:rPr>
          <w:b/>
          <w:color w:val="226BBB"/>
          <w:sz w:val="28"/>
        </w:rPr>
        <w:t>BNF 2023 Opioid Equivalences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4"/>
        <w:gridCol w:w="3324"/>
        <w:gridCol w:w="3324"/>
      </w:tblGrid>
      <w:tr w:rsidR="00643715" w14:paraId="433BA681" w14:textId="77777777">
        <w:tc>
          <w:tcPr>
            <w:tcW w:w="3324" w:type="dxa"/>
            <w:shd w:val="clear" w:color="auto" w:fill="1A3C6E"/>
          </w:tcPr>
          <w:p w14:paraId="52A49AC0" w14:textId="77777777" w:rsidR="00643715" w:rsidRDefault="00000000">
            <w:r>
              <w:rPr>
                <w:color w:val="FFFFFF"/>
              </w:rPr>
              <w:t>Opioid</w:t>
            </w:r>
          </w:p>
        </w:tc>
        <w:tc>
          <w:tcPr>
            <w:tcW w:w="3324" w:type="dxa"/>
            <w:shd w:val="clear" w:color="auto" w:fill="1A3C6E"/>
          </w:tcPr>
          <w:p w14:paraId="0FD1A2AD" w14:textId="77777777" w:rsidR="00643715" w:rsidRDefault="00000000">
            <w:r>
              <w:rPr>
                <w:color w:val="FFFFFF"/>
              </w:rPr>
              <w:t>Potency ratio vs morphine</w:t>
            </w:r>
          </w:p>
        </w:tc>
        <w:tc>
          <w:tcPr>
            <w:tcW w:w="3324" w:type="dxa"/>
            <w:shd w:val="clear" w:color="auto" w:fill="1A3C6E"/>
          </w:tcPr>
          <w:p w14:paraId="785A820A" w14:textId="77777777" w:rsidR="00643715" w:rsidRDefault="00000000">
            <w:r>
              <w:rPr>
                <w:color w:val="FFFFFF"/>
              </w:rPr>
              <w:t>Equivalence</w:t>
            </w:r>
          </w:p>
        </w:tc>
      </w:tr>
      <w:tr w:rsidR="00643715" w14:paraId="16CF636A" w14:textId="77777777">
        <w:tc>
          <w:tcPr>
            <w:tcW w:w="3324" w:type="dxa"/>
            <w:shd w:val="clear" w:color="auto" w:fill="F0F4FB"/>
          </w:tcPr>
          <w:p w14:paraId="626F79DA" w14:textId="77777777" w:rsidR="00643715" w:rsidRDefault="00000000">
            <w:r>
              <w:rPr>
                <w:sz w:val="20"/>
              </w:rPr>
              <w:t>Codeine phosphate</w:t>
            </w:r>
          </w:p>
        </w:tc>
        <w:tc>
          <w:tcPr>
            <w:tcW w:w="3324" w:type="dxa"/>
            <w:shd w:val="clear" w:color="auto" w:fill="F0F4FB"/>
          </w:tcPr>
          <w:p w14:paraId="69A29BFA" w14:textId="77777777" w:rsidR="00643715" w:rsidRDefault="00000000">
            <w:r>
              <w:rPr>
                <w:sz w:val="20"/>
              </w:rPr>
              <w:t>0.1</w:t>
            </w:r>
          </w:p>
        </w:tc>
        <w:tc>
          <w:tcPr>
            <w:tcW w:w="3324" w:type="dxa"/>
            <w:shd w:val="clear" w:color="auto" w:fill="F0F4FB"/>
          </w:tcPr>
          <w:p w14:paraId="1E46A25C" w14:textId="77777777" w:rsidR="00643715" w:rsidRDefault="00000000">
            <w:r>
              <w:rPr>
                <w:sz w:val="20"/>
              </w:rPr>
              <w:t>100mg = 10mg morphine</w:t>
            </w:r>
          </w:p>
        </w:tc>
      </w:tr>
      <w:tr w:rsidR="00643715" w14:paraId="5E3D4918" w14:textId="77777777">
        <w:tc>
          <w:tcPr>
            <w:tcW w:w="3324" w:type="dxa"/>
          </w:tcPr>
          <w:p w14:paraId="2D2591A1" w14:textId="77777777" w:rsidR="00643715" w:rsidRDefault="00000000">
            <w:r>
              <w:rPr>
                <w:sz w:val="20"/>
              </w:rPr>
              <w:t>Dihydrocodeine</w:t>
            </w:r>
          </w:p>
        </w:tc>
        <w:tc>
          <w:tcPr>
            <w:tcW w:w="3324" w:type="dxa"/>
          </w:tcPr>
          <w:p w14:paraId="1550A934" w14:textId="77777777" w:rsidR="00643715" w:rsidRDefault="00000000">
            <w:r>
              <w:rPr>
                <w:sz w:val="20"/>
              </w:rPr>
              <w:t>0.1</w:t>
            </w:r>
          </w:p>
        </w:tc>
        <w:tc>
          <w:tcPr>
            <w:tcW w:w="3324" w:type="dxa"/>
          </w:tcPr>
          <w:p w14:paraId="5277EFF4" w14:textId="77777777" w:rsidR="00643715" w:rsidRDefault="00000000">
            <w:r>
              <w:rPr>
                <w:sz w:val="20"/>
              </w:rPr>
              <w:t>100mg = 10mg morphine</w:t>
            </w:r>
          </w:p>
        </w:tc>
      </w:tr>
      <w:tr w:rsidR="00643715" w14:paraId="2C526350" w14:textId="77777777">
        <w:tc>
          <w:tcPr>
            <w:tcW w:w="3324" w:type="dxa"/>
            <w:shd w:val="clear" w:color="auto" w:fill="F0F4FB"/>
          </w:tcPr>
          <w:p w14:paraId="7029F54F" w14:textId="77777777" w:rsidR="00643715" w:rsidRDefault="00000000">
            <w:r>
              <w:rPr>
                <w:sz w:val="20"/>
              </w:rPr>
              <w:t>Tramadol</w:t>
            </w:r>
          </w:p>
        </w:tc>
        <w:tc>
          <w:tcPr>
            <w:tcW w:w="3324" w:type="dxa"/>
            <w:shd w:val="clear" w:color="auto" w:fill="F0F4FB"/>
          </w:tcPr>
          <w:p w14:paraId="14B4BE81" w14:textId="77777777" w:rsidR="00643715" w:rsidRDefault="00000000">
            <w:r>
              <w:rPr>
                <w:sz w:val="20"/>
              </w:rPr>
              <w:t>0.1</w:t>
            </w:r>
          </w:p>
        </w:tc>
        <w:tc>
          <w:tcPr>
            <w:tcW w:w="3324" w:type="dxa"/>
            <w:shd w:val="clear" w:color="auto" w:fill="F0F4FB"/>
          </w:tcPr>
          <w:p w14:paraId="74FD166E" w14:textId="77777777" w:rsidR="00643715" w:rsidRDefault="00000000">
            <w:r>
              <w:rPr>
                <w:sz w:val="20"/>
              </w:rPr>
              <w:t>100mg = 10mg morphine</w:t>
            </w:r>
          </w:p>
        </w:tc>
      </w:tr>
      <w:tr w:rsidR="00643715" w14:paraId="6A0EB996" w14:textId="77777777">
        <w:tc>
          <w:tcPr>
            <w:tcW w:w="3324" w:type="dxa"/>
          </w:tcPr>
          <w:p w14:paraId="6FB8B685" w14:textId="77777777" w:rsidR="00643715" w:rsidRDefault="00000000">
            <w:r>
              <w:rPr>
                <w:sz w:val="20"/>
              </w:rPr>
              <w:t>Oxycodone (oral)</w:t>
            </w:r>
          </w:p>
        </w:tc>
        <w:tc>
          <w:tcPr>
            <w:tcW w:w="3324" w:type="dxa"/>
          </w:tcPr>
          <w:p w14:paraId="1C3F10F1" w14:textId="77777777" w:rsidR="00643715" w:rsidRDefault="00000000">
            <w:r>
              <w:rPr>
                <w:sz w:val="20"/>
              </w:rPr>
              <w:t>1.5</w:t>
            </w:r>
          </w:p>
        </w:tc>
        <w:tc>
          <w:tcPr>
            <w:tcW w:w="3324" w:type="dxa"/>
          </w:tcPr>
          <w:p w14:paraId="3A79B482" w14:textId="77777777" w:rsidR="00643715" w:rsidRDefault="00000000">
            <w:r>
              <w:rPr>
                <w:sz w:val="20"/>
              </w:rPr>
              <w:t>6.6mg = 10mg morphine</w:t>
            </w:r>
          </w:p>
        </w:tc>
      </w:tr>
      <w:tr w:rsidR="00643715" w14:paraId="13D5202A" w14:textId="77777777">
        <w:tc>
          <w:tcPr>
            <w:tcW w:w="3324" w:type="dxa"/>
            <w:shd w:val="clear" w:color="auto" w:fill="F0F4FB"/>
          </w:tcPr>
          <w:p w14:paraId="51F2B1F1" w14:textId="77777777" w:rsidR="00643715" w:rsidRDefault="00000000">
            <w:r>
              <w:rPr>
                <w:sz w:val="20"/>
              </w:rPr>
              <w:t>Hydromorphone (oral)</w:t>
            </w:r>
          </w:p>
        </w:tc>
        <w:tc>
          <w:tcPr>
            <w:tcW w:w="3324" w:type="dxa"/>
            <w:shd w:val="clear" w:color="auto" w:fill="F0F4FB"/>
          </w:tcPr>
          <w:p w14:paraId="66A14D74" w14:textId="77777777" w:rsidR="00643715" w:rsidRDefault="00000000">
            <w:r>
              <w:rPr>
                <w:sz w:val="20"/>
              </w:rPr>
              <w:t>5</w:t>
            </w:r>
          </w:p>
        </w:tc>
        <w:tc>
          <w:tcPr>
            <w:tcW w:w="3324" w:type="dxa"/>
            <w:shd w:val="clear" w:color="auto" w:fill="F0F4FB"/>
          </w:tcPr>
          <w:p w14:paraId="5525525A" w14:textId="77777777" w:rsidR="00643715" w:rsidRDefault="00000000">
            <w:r>
              <w:rPr>
                <w:sz w:val="20"/>
              </w:rPr>
              <w:t>2mg = 10mg morphine</w:t>
            </w:r>
          </w:p>
        </w:tc>
      </w:tr>
      <w:tr w:rsidR="00643715" w14:paraId="1DE6C8B4" w14:textId="77777777">
        <w:tc>
          <w:tcPr>
            <w:tcW w:w="3324" w:type="dxa"/>
          </w:tcPr>
          <w:p w14:paraId="723F9A16" w14:textId="77777777" w:rsidR="00643715" w:rsidRDefault="00000000">
            <w:r>
              <w:rPr>
                <w:sz w:val="20"/>
              </w:rPr>
              <w:t>Fentanyl 25mcg/hr patch</w:t>
            </w:r>
          </w:p>
        </w:tc>
        <w:tc>
          <w:tcPr>
            <w:tcW w:w="3324" w:type="dxa"/>
          </w:tcPr>
          <w:p w14:paraId="0D072BFE" w14:textId="77777777" w:rsidR="00643715" w:rsidRDefault="00000000">
            <w:r>
              <w:rPr>
                <w:sz w:val="20"/>
              </w:rPr>
              <w:t>—</w:t>
            </w:r>
          </w:p>
        </w:tc>
        <w:tc>
          <w:tcPr>
            <w:tcW w:w="3324" w:type="dxa"/>
          </w:tcPr>
          <w:p w14:paraId="672F5543" w14:textId="77777777" w:rsidR="00643715" w:rsidRDefault="00000000">
            <w:r>
              <w:rPr>
                <w:sz w:val="20"/>
              </w:rPr>
              <w:t>= 60mg oral morphine/24h</w:t>
            </w:r>
          </w:p>
        </w:tc>
      </w:tr>
      <w:tr w:rsidR="00643715" w14:paraId="275855AC" w14:textId="77777777">
        <w:tc>
          <w:tcPr>
            <w:tcW w:w="3324" w:type="dxa"/>
            <w:shd w:val="clear" w:color="auto" w:fill="F0F4FB"/>
          </w:tcPr>
          <w:p w14:paraId="39AE614E" w14:textId="77777777" w:rsidR="00643715" w:rsidRDefault="00000000">
            <w:r>
              <w:rPr>
                <w:sz w:val="20"/>
              </w:rPr>
              <w:t>Fentanyl 50mcg/hr patch</w:t>
            </w:r>
          </w:p>
        </w:tc>
        <w:tc>
          <w:tcPr>
            <w:tcW w:w="3324" w:type="dxa"/>
            <w:shd w:val="clear" w:color="auto" w:fill="F0F4FB"/>
          </w:tcPr>
          <w:p w14:paraId="71D7C4D9" w14:textId="77777777" w:rsidR="00643715" w:rsidRDefault="00000000">
            <w:r>
              <w:rPr>
                <w:sz w:val="20"/>
              </w:rPr>
              <w:t>—</w:t>
            </w:r>
          </w:p>
        </w:tc>
        <w:tc>
          <w:tcPr>
            <w:tcW w:w="3324" w:type="dxa"/>
            <w:shd w:val="clear" w:color="auto" w:fill="F0F4FB"/>
          </w:tcPr>
          <w:p w14:paraId="7DA7BF06" w14:textId="77777777" w:rsidR="00643715" w:rsidRDefault="00000000">
            <w:r>
              <w:rPr>
                <w:sz w:val="20"/>
              </w:rPr>
              <w:t>= 120mg oral morphine/24h</w:t>
            </w:r>
          </w:p>
        </w:tc>
      </w:tr>
      <w:tr w:rsidR="00643715" w14:paraId="1485056E" w14:textId="77777777">
        <w:tc>
          <w:tcPr>
            <w:tcW w:w="3324" w:type="dxa"/>
          </w:tcPr>
          <w:p w14:paraId="02DB7125" w14:textId="77777777" w:rsidR="00643715" w:rsidRDefault="00000000">
            <w:r>
              <w:rPr>
                <w:sz w:val="20"/>
              </w:rPr>
              <w:t>Fentanyl 100mcg/hr patch</w:t>
            </w:r>
          </w:p>
        </w:tc>
        <w:tc>
          <w:tcPr>
            <w:tcW w:w="3324" w:type="dxa"/>
          </w:tcPr>
          <w:p w14:paraId="37903AC2" w14:textId="77777777" w:rsidR="00643715" w:rsidRDefault="00000000">
            <w:r>
              <w:rPr>
                <w:sz w:val="20"/>
              </w:rPr>
              <w:t>—</w:t>
            </w:r>
          </w:p>
        </w:tc>
        <w:tc>
          <w:tcPr>
            <w:tcW w:w="3324" w:type="dxa"/>
          </w:tcPr>
          <w:p w14:paraId="332B05A9" w14:textId="77777777" w:rsidR="00643715" w:rsidRDefault="00000000">
            <w:r>
              <w:rPr>
                <w:sz w:val="20"/>
              </w:rPr>
              <w:t>= 240mg oral morphine/24h</w:t>
            </w:r>
          </w:p>
        </w:tc>
      </w:tr>
    </w:tbl>
    <w:p w14:paraId="4E2E090E" w14:textId="77777777" w:rsidR="00643715" w:rsidRDefault="00643715"/>
    <w:p w14:paraId="732E64F1" w14:textId="77777777" w:rsidR="00643715" w:rsidRDefault="00643715"/>
    <w:p w14:paraId="55E374C0" w14:textId="77777777" w:rsidR="00643715" w:rsidRDefault="00000000">
      <w:pPr>
        <w:spacing w:before="200" w:after="80"/>
      </w:pPr>
      <w:r>
        <w:rPr>
          <w:b/>
          <w:color w:val="1A3C6E"/>
          <w:sz w:val="36"/>
        </w:rPr>
        <w:t>Safe Prescribing and Monitoring</w:t>
      </w:r>
    </w:p>
    <w:p w14:paraId="1202C5B1" w14:textId="77777777" w:rsidR="00643715" w:rsidRDefault="00000000">
      <w:pPr>
        <w:spacing w:after="60"/>
      </w:pPr>
      <w:r>
        <w:t>• Review every 1–2 weeks initially, then monthly once stable</w:t>
      </w:r>
    </w:p>
    <w:p w14:paraId="0F66C5E9" w14:textId="77777777" w:rsidR="00643715" w:rsidRDefault="00000000">
      <w:pPr>
        <w:spacing w:after="60"/>
      </w:pPr>
      <w:r>
        <w:t>• Assess: pain score, function/goals, adverse effects, plan compliance</w:t>
      </w:r>
    </w:p>
    <w:p w14:paraId="74C32E5E" w14:textId="77777777" w:rsidR="00643715" w:rsidRDefault="00000000">
      <w:pPr>
        <w:spacing w:after="60"/>
      </w:pPr>
      <w:r>
        <w:t>• DVLA notification: all patients taking opioids must inform DVLA</w:t>
      </w:r>
    </w:p>
    <w:p w14:paraId="7ED6CB39" w14:textId="77777777" w:rsidR="00643715" w:rsidRDefault="00000000">
      <w:pPr>
        <w:spacing w:after="60"/>
      </w:pPr>
      <w:r>
        <w:t>• Stopping: reduce by 10–25% every 2–4 weeks — never stop abruptly</w:t>
      </w:r>
    </w:p>
    <w:p w14:paraId="113F4C4F" w14:textId="77777777" w:rsidR="00643715" w:rsidRDefault="00000000">
      <w:pPr>
        <w:spacing w:after="60"/>
      </w:pPr>
      <w:r>
        <w:t>• Opioid-induced hyperalgesia: if pain worsening on opioids → REDUCE dose, do NOT escalate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643715" w14:paraId="0419D7DA" w14:textId="77777777">
        <w:tc>
          <w:tcPr>
            <w:tcW w:w="9972" w:type="dxa"/>
            <w:shd w:val="clear" w:color="auto" w:fill="FFEEEE"/>
          </w:tcPr>
          <w:p w14:paraId="445F3D41" w14:textId="77777777" w:rsidR="00643715" w:rsidRDefault="00000000">
            <w:pPr>
              <w:spacing w:before="80" w:after="40"/>
            </w:pPr>
            <w:r>
              <w:rPr>
                <w:b/>
                <w:color w:val="CC0000"/>
              </w:rPr>
              <w:t>🚩 Red Flags</w:t>
            </w:r>
            <w:r>
              <w:rPr>
                <w:b/>
                <w:color w:val="CC0000"/>
              </w:rPr>
              <w:br/>
            </w:r>
          </w:p>
          <w:p w14:paraId="14BDB631" w14:textId="77777777" w:rsidR="00643715" w:rsidRDefault="00000000">
            <w:pPr>
              <w:spacing w:after="40"/>
            </w:pPr>
            <w:r>
              <w:t>• Signs of opioid toxicity: drowsiness, RR &lt;8/min, pinpoint pupils → naloxone + 999</w:t>
            </w:r>
          </w:p>
          <w:p w14:paraId="4D032588" w14:textId="77777777" w:rsidR="00643715" w:rsidRDefault="00000000">
            <w:pPr>
              <w:spacing w:after="40"/>
            </w:pPr>
            <w:r>
              <w:t>• Opioid-induced hyperalgesia: paradoxical pain worsening → reduce/rotate</w:t>
            </w:r>
          </w:p>
          <w:p w14:paraId="0CC3A0EF" w14:textId="77777777" w:rsidR="00643715" w:rsidRDefault="00000000">
            <w:pPr>
              <w:spacing w:after="40"/>
            </w:pPr>
            <w:r>
              <w:t>• Opioid misuse: impaired control, craving, use despite harm → specialist referral</w:t>
            </w:r>
          </w:p>
          <w:p w14:paraId="4801B216" w14:textId="77777777" w:rsidR="00643715" w:rsidRDefault="00000000">
            <w:pPr>
              <w:spacing w:after="40"/>
            </w:pPr>
            <w:r>
              <w:t>• Respiratory depression: increased risk with OSA, COPD, co-prescribed sedatives</w:t>
            </w:r>
          </w:p>
        </w:tc>
      </w:tr>
    </w:tbl>
    <w:p w14:paraId="6E7A8236" w14:textId="77777777" w:rsidR="00643715" w:rsidRDefault="00643715"/>
    <w:p w14:paraId="6CE23E69" w14:textId="77777777" w:rsidR="00643715" w:rsidRDefault="00000000">
      <w:pPr>
        <w:spacing w:before="240" w:after="80"/>
      </w:pPr>
      <w:r>
        <w:rPr>
          <w:b/>
          <w:color w:val="E0651F"/>
          <w:sz w:val="20"/>
        </w:rPr>
        <w:t xml:space="preserve">⚠ Disclaimer: </w:t>
      </w:r>
      <w:r>
        <w:rPr>
          <w:i/>
          <w:sz w:val="20"/>
        </w:rPr>
        <w:t>Always double check this advice and drug doses with the latest NICE/BNF guidance. This document is for educational purposes only.</w:t>
      </w:r>
    </w:p>
    <w:sectPr w:rsidR="00643715" w:rsidSect="00034616">
      <w:footerReference w:type="default" r:id="rId9"/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31E90" w14:textId="77777777" w:rsidR="006554A2" w:rsidRDefault="006554A2">
      <w:pPr>
        <w:spacing w:after="0" w:line="240" w:lineRule="auto"/>
      </w:pPr>
      <w:r>
        <w:separator/>
      </w:r>
    </w:p>
  </w:endnote>
  <w:endnote w:type="continuationSeparator" w:id="0">
    <w:p w14:paraId="09824C09" w14:textId="77777777" w:rsidR="006554A2" w:rsidRDefault="00655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38BE2" w14:textId="77777777" w:rsidR="00643715" w:rsidRDefault="00000000">
    <w:pPr>
      <w:pStyle w:val="Footer"/>
      <w:jc w:val="center"/>
    </w:pPr>
    <w:r>
      <w:rPr>
        <w:sz w:val="16"/>
      </w:rPr>
      <w:t>A free resource provided by www.bradfordvts.co.uk, Dr Ramesh Mehay, November 2010, revised May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D00C4" w14:textId="77777777" w:rsidR="006554A2" w:rsidRDefault="006554A2">
      <w:pPr>
        <w:spacing w:after="0" w:line="240" w:lineRule="auto"/>
      </w:pPr>
      <w:r>
        <w:separator/>
      </w:r>
    </w:p>
  </w:footnote>
  <w:footnote w:type="continuationSeparator" w:id="0">
    <w:p w14:paraId="696A89C8" w14:textId="77777777" w:rsidR="006554A2" w:rsidRDefault="006554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46657062">
    <w:abstractNumId w:val="8"/>
  </w:num>
  <w:num w:numId="2" w16cid:durableId="1880973782">
    <w:abstractNumId w:val="6"/>
  </w:num>
  <w:num w:numId="3" w16cid:durableId="1582569873">
    <w:abstractNumId w:val="5"/>
  </w:num>
  <w:num w:numId="4" w16cid:durableId="419255736">
    <w:abstractNumId w:val="4"/>
  </w:num>
  <w:num w:numId="5" w16cid:durableId="822938147">
    <w:abstractNumId w:val="7"/>
  </w:num>
  <w:num w:numId="6" w16cid:durableId="1679574627">
    <w:abstractNumId w:val="3"/>
  </w:num>
  <w:num w:numId="7" w16cid:durableId="284239721">
    <w:abstractNumId w:val="2"/>
  </w:num>
  <w:num w:numId="8" w16cid:durableId="911429223">
    <w:abstractNumId w:val="1"/>
  </w:num>
  <w:num w:numId="9" w16cid:durableId="1427456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90661"/>
    <w:rsid w:val="0029639D"/>
    <w:rsid w:val="00326F90"/>
    <w:rsid w:val="00643715"/>
    <w:rsid w:val="006554A2"/>
    <w:rsid w:val="00AA1D8D"/>
    <w:rsid w:val="00B47730"/>
    <w:rsid w:val="00CB0664"/>
    <w:rsid w:val="00F2331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B778EFD"/>
  <w14:defaultImageDpi w14:val="300"/>
  <w15:docId w15:val="{1AE91763-CBA6-406F-A382-15958B891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Ramesh Mehay</cp:lastModifiedBy>
  <cp:revision>3</cp:revision>
  <dcterms:created xsi:type="dcterms:W3CDTF">2013-12-23T23:15:00Z</dcterms:created>
  <dcterms:modified xsi:type="dcterms:W3CDTF">2026-05-26T14:10:00Z</dcterms:modified>
  <cp:category/>
</cp:coreProperties>
</file>