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72"/>
      </w:tblGrid>
      <w:tr w:rsidR="008D5A45" w14:paraId="2B04C0C8" w14:textId="77777777">
        <w:trPr>
          <w:jc w:val="center"/>
        </w:trPr>
        <w:tc>
          <w:tcPr>
            <w:tcW w:w="9072" w:type="dxa"/>
            <w:shd w:val="clear" w:color="auto" w:fill="E0651F"/>
          </w:tcPr>
          <w:p w14:paraId="53D66377" w14:textId="77777777" w:rsidR="008D5A45" w:rsidRPr="00181AE5" w:rsidRDefault="00000000" w:rsidP="00181AE5">
            <w:pPr>
              <w:pStyle w:val="NoSpacing"/>
              <w:jc w:val="center"/>
              <w:rPr>
                <w:rFonts w:ascii="Abadi" w:hAnsi="Abadi"/>
                <w:b/>
                <w:bCs/>
                <w:color w:val="FFFF00"/>
                <w:sz w:val="32"/>
                <w:szCs w:val="32"/>
              </w:rPr>
            </w:pPr>
            <w:r w:rsidRPr="00181AE5">
              <w:rPr>
                <w:rFonts w:ascii="Abadi" w:hAnsi="Abadi"/>
                <w:b/>
                <w:bCs/>
                <w:color w:val="FFFF00"/>
                <w:sz w:val="32"/>
                <w:szCs w:val="32"/>
              </w:rPr>
              <w:t>BRADFORD VTS TEACHING AIDS</w:t>
            </w:r>
          </w:p>
          <w:p w14:paraId="62B2B3EE" w14:textId="77777777" w:rsidR="008D5A45" w:rsidRDefault="00000000">
            <w:pPr>
              <w:jc w:val="center"/>
            </w:pPr>
            <w:r>
              <w:rPr>
                <w:b/>
                <w:color w:val="FFFFFF"/>
                <w:sz w:val="52"/>
              </w:rPr>
              <w:t>Emergencies in Cancer Care</w:t>
            </w:r>
          </w:p>
          <w:p w14:paraId="7CAD9A48" w14:textId="77777777" w:rsidR="008D5A45" w:rsidRDefault="00000000">
            <w:pPr>
              <w:jc w:val="center"/>
            </w:pPr>
            <w:r>
              <w:rPr>
                <w:i/>
                <w:color w:val="FFFFFF"/>
              </w:rPr>
              <w:t>Tutorial Plan · Bradford VTS · June 2026</w:t>
            </w:r>
          </w:p>
        </w:tc>
      </w:tr>
    </w:tbl>
    <w:p w14:paraId="70647F9C" w14:textId="77777777" w:rsidR="008D5A45" w:rsidRDefault="008D5A45"/>
    <w:p w14:paraId="0F64194B" w14:textId="490F6A5F" w:rsidR="008D5A45" w:rsidRDefault="00000000">
      <w:r>
        <w:t xml:space="preserve">This </w:t>
      </w:r>
      <w:r w:rsidR="00181AE5">
        <w:t>document</w:t>
      </w:r>
      <w:r>
        <w:t xml:space="preserve"> covers acute emergencies in cancer care relevant to GP practice. Use small group discussion with case-based scenarios. Duration: 90 minutes.</w:t>
      </w:r>
    </w:p>
    <w:p w14:paraId="0E2B1CBA" w14:textId="77777777" w:rsidR="008D5A45" w:rsidRDefault="00000000">
      <w:r>
        <w:rPr>
          <w:b/>
          <w:color w:val="1B3A6B"/>
          <w:sz w:val="32"/>
        </w:rPr>
        <w:t>8 Key Learning Topics</w:t>
      </w:r>
    </w:p>
    <w:p w14:paraId="26F9D42D" w14:textId="77777777" w:rsidR="008D5A45" w:rsidRDefault="00000000">
      <w:r>
        <w:rPr>
          <w:b/>
          <w:color w:val="1B3A6B"/>
          <w:sz w:val="26"/>
        </w:rPr>
        <w:t>1. Pain Relief &amp; Common Symptom Problems</w:t>
      </w:r>
    </w:p>
    <w:p w14:paraId="594D9C8F" w14:textId="77777777" w:rsidR="008D5A45" w:rsidRDefault="00000000">
      <w:r>
        <w:t>WHO analgesic ladder (updated: Step 1→3 direct acceptable for severe cancer pain per NICE CG140 Sept 2024). Treating chronic cancer pain and acute breakthrough pain. Oral morphine first-line (5mg 4-hourly opioid-naive; 2.5mg elderly/renal impairment). Constipation: mandatory laxatives from day 1. Nausea: transient — haloperidol 1.5mg nocte or metoclopramide 10mg TDS.</w:t>
      </w:r>
    </w:p>
    <w:p w14:paraId="117C0E77" w14:textId="77777777" w:rsidR="008D5A45" w:rsidRDefault="00000000">
      <w:r>
        <w:rPr>
          <w:b/>
          <w:color w:val="1B3A6B"/>
          <w:sz w:val="26"/>
        </w:rPr>
        <w:t>2. Nausea &amp; Vomiting</w:t>
      </w:r>
    </w:p>
    <w:p w14:paraId="5F43B003" w14:textId="77777777" w:rsidR="008D5A45" w:rsidRDefault="00000000">
      <w:r>
        <w:t>Causes: opioid-induced (haloperidol 1.5mg nocte), metabolic (haloperidol), gastric stasis (metoclopramide 10mg TDS), raised ICP (cyclizine 50mg TDS), bowel obstruction (levomepromazine 6mg nocte + buscopan). Never combine cyclizine + metoclopramide. Levomepromazine 6–6.25mg nocte = broad-spectrum rescue antiemetic.</w:t>
      </w:r>
    </w:p>
    <w:p w14:paraId="42C4598D" w14:textId="77777777" w:rsidR="008D5A45" w:rsidRDefault="00000000">
      <w:r>
        <w:rPr>
          <w:b/>
          <w:color w:val="1B3A6B"/>
          <w:sz w:val="26"/>
        </w:rPr>
        <w:t>3. Hypercalcaemia</w:t>
      </w:r>
    </w:p>
    <w:p w14:paraId="01AC56BC" w14:textId="77777777" w:rsidR="008D5A45" w:rsidRDefault="00000000">
      <w:r>
        <w:t>Symptoms: thirst, polyuria, confusion, constipation, bone pain, nausea ("Bones, Groans, Moans, Psychic Overtones"). Management: IV fluids (0.9% NaCl) + IV bisphosphonate (zoledronic acid 4mg IV). Correct dehydration first. Recheck calcium in 3–7 days. Recurrence common — review bisphosphonate prescribing.</w:t>
      </w:r>
    </w:p>
    <w:p w14:paraId="4B881BF9" w14:textId="77777777" w:rsidR="008D5A45" w:rsidRDefault="00000000">
      <w:r>
        <w:rPr>
          <w:b/>
          <w:color w:val="1B3A6B"/>
          <w:sz w:val="26"/>
        </w:rPr>
        <w:t>4. Spinal Cord Compression</w:t>
      </w:r>
    </w:p>
    <w:p w14:paraId="3FA609B5" w14:textId="77777777" w:rsidR="008D5A45" w:rsidRDefault="00000000">
      <w:r>
        <w:t>Red flags: back pain + progressive limb weakness, sensory level, bowel/bladder dysfunction. EMERGENCY: Same-day MRI + immediate dexamethasone 16mg oral/IV. Urgent oncology/neurosurgery referral for radiotherapy ± surgery. Outcome depends on speed of treatment — walking before treatment predicts walking after.</w:t>
      </w:r>
    </w:p>
    <w:p w14:paraId="5FCF44F6" w14:textId="77777777" w:rsidR="008D5A45" w:rsidRDefault="00000000">
      <w:r>
        <w:rPr>
          <w:b/>
          <w:color w:val="1B3A6B"/>
          <w:sz w:val="26"/>
        </w:rPr>
        <w:t>5. Superior Vena Cava (SVC) Obstruction</w:t>
      </w:r>
    </w:p>
    <w:p w14:paraId="2D9573E6" w14:textId="77777777" w:rsidR="008D5A45" w:rsidRDefault="00000000">
      <w:r>
        <w:t>Symptoms: facial/arm/neck swelling, distended neck veins, headache worse on leaning forward, breathlessness, stridor (late). Management: urgent oncology referral, high-dose dexamethasone 16mg IV/oral, radiotherapy or stenting. Medical emergency if laryngeal oedema develops.</w:t>
      </w:r>
    </w:p>
    <w:p w14:paraId="598C12EC" w14:textId="77777777" w:rsidR="008D5A45" w:rsidRDefault="00000000">
      <w:r>
        <w:rPr>
          <w:b/>
          <w:color w:val="1B3A6B"/>
          <w:sz w:val="26"/>
        </w:rPr>
        <w:lastRenderedPageBreak/>
        <w:t>6. Massive Haemorrhage</w:t>
      </w:r>
    </w:p>
    <w:p w14:paraId="6DBED5CD" w14:textId="77777777" w:rsidR="008D5A45" w:rsidRDefault="00000000">
      <w:r>
        <w:t>Most common: haemoptysis, haematemesis, rectal bleeding. Management: dark coloured towels (less distressing visually), patient comfort and dignity, SC midazolam 5–10mg for severe distress/fear, morphine for pain and breathlessness. Prevention: anticipate in vulnerable patients (e.g. head and neck, lung cancer near major vessel) — prescribe anticipatories early.</w:t>
      </w:r>
    </w:p>
    <w:p w14:paraId="4D1D1328" w14:textId="77777777" w:rsidR="008D5A45" w:rsidRDefault="00000000">
      <w:r>
        <w:rPr>
          <w:b/>
          <w:color w:val="1B3A6B"/>
          <w:sz w:val="26"/>
        </w:rPr>
        <w:t>7. Intestinal Obstruction</w:t>
      </w:r>
    </w:p>
    <w:p w14:paraId="6F74BEC5" w14:textId="77777777" w:rsidR="008D5A45" w:rsidRDefault="00000000">
      <w:r>
        <w:t>Symptoms: vomiting (may be faeculent), colic, constipation, abdominal distension. Surgical review if appropriate. Medical management: levomepromazine or cyclizine for N&amp;V, buscopan (hyoscine butylbromide) 60–120mg/24hr CSCI for colic + secretions, dexamethasone 8–16mg (reduces peri-tumoral oedema). NO prokinetics if complete obstruction. NG tube rarely indicated in terminal care.</w:t>
      </w:r>
    </w:p>
    <w:p w14:paraId="6CC77237" w14:textId="77777777" w:rsidR="008D5A45" w:rsidRDefault="00000000">
      <w:r>
        <w:rPr>
          <w:b/>
          <w:color w:val="1B3A6B"/>
          <w:sz w:val="26"/>
        </w:rPr>
        <w:t>8. Syringe Drivers</w:t>
      </w:r>
    </w:p>
    <w:p w14:paraId="3A75A27D" w14:textId="77777777" w:rsidR="008D5A45" w:rsidRDefault="00000000">
      <w:r>
        <w:t>Indications: unable to take oral medications (vomiting, dysphagia, unconscious). NOTE: uncontrolled pain alone is NOT an indication — titrate oral opioids first. Changed every 24 hours by DNs. Check drug compatibility before mixing: www.palliativedrugs.com. Key drugs: morphine/diamorphine + midazolam + haloperidol + hyoscine butylbromide.</w:t>
      </w:r>
    </w:p>
    <w:p w14:paraId="4DE76EA6" w14:textId="77777777" w:rsidR="008D5A45" w:rsidRDefault="00000000">
      <w:r>
        <w:rPr>
          <w:b/>
          <w:color w:val="1B3A6B"/>
          <w:sz w:val="32"/>
        </w:rPr>
        <w:t>Discussion Questions</w:t>
      </w:r>
    </w:p>
    <w:p w14:paraId="428CBCF5" w14:textId="77777777" w:rsidR="008D5A45" w:rsidRDefault="00000000">
      <w:r>
        <w:t>• What anticipatory medications would you prescribe for a patient dying at home?</w:t>
      </w:r>
    </w:p>
    <w:p w14:paraId="2C39D700" w14:textId="77777777" w:rsidR="008D5A45" w:rsidRDefault="00000000">
      <w:r>
        <w:t>• A patient on MST 60mg BD needs a syringe driver — what diamorphine dose?</w:t>
      </w:r>
    </w:p>
    <w:p w14:paraId="41F9E63A" w14:textId="77777777" w:rsidR="008D5A45" w:rsidRDefault="00000000">
      <w:r>
        <w:t>• How do you recognise and manage opioid toxicity?</w:t>
      </w:r>
    </w:p>
    <w:p w14:paraId="2B0226FF" w14:textId="77777777" w:rsidR="008D5A45" w:rsidRDefault="00000000">
      <w:r>
        <w:t>• When should you refer to specialist palliative care?</w:t>
      </w:r>
    </w:p>
    <w:p w14:paraId="0C9EDC02" w14:textId="77777777" w:rsidR="008D5A45" w:rsidRDefault="008D5A45"/>
    <w:tbl>
      <w:tblPr>
        <w:tblW w:w="0" w:type="auto"/>
        <w:tblLook w:val="04A0" w:firstRow="1" w:lastRow="0" w:firstColumn="1" w:lastColumn="0" w:noHBand="0" w:noVBand="1"/>
      </w:tblPr>
      <w:tblGrid>
        <w:gridCol w:w="9406"/>
      </w:tblGrid>
      <w:tr w:rsidR="008D5A45" w14:paraId="30C3A646" w14:textId="77777777">
        <w:tc>
          <w:tcPr>
            <w:tcW w:w="9406" w:type="dxa"/>
            <w:shd w:val="clear" w:color="auto" w:fill="C0392B"/>
          </w:tcPr>
          <w:p w14:paraId="456AE443" w14:textId="77777777" w:rsidR="008D5A45" w:rsidRDefault="00000000">
            <w:r>
              <w:rPr>
                <w:b/>
                <w:color w:val="FFFFFF"/>
                <w:sz w:val="20"/>
              </w:rPr>
              <w:t xml:space="preserve">⚠ Disclaimer: </w:t>
            </w:r>
            <w:r>
              <w:rPr>
                <w:color w:val="FFFFFF"/>
                <w:sz w:val="20"/>
              </w:rPr>
              <w:t>Always double check this advice and drug doses with the latest NICE/BNF guidance. This document is for educational purposes only.</w:t>
            </w:r>
          </w:p>
        </w:tc>
      </w:tr>
    </w:tbl>
    <w:p w14:paraId="5CCE8D4A" w14:textId="77777777" w:rsidR="008D5A45" w:rsidRDefault="008D5A45"/>
    <w:sectPr w:rsidR="008D5A45" w:rsidSect="00034616">
      <w:footerReference w:type="default" r:id="rId8"/>
      <w:pgSz w:w="12240" w:h="15840"/>
      <w:pgMar w:top="1134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29D80" w14:textId="77777777" w:rsidR="00290B1A" w:rsidRDefault="00290B1A">
      <w:pPr>
        <w:spacing w:after="0" w:line="240" w:lineRule="auto"/>
      </w:pPr>
      <w:r>
        <w:separator/>
      </w:r>
    </w:p>
  </w:endnote>
  <w:endnote w:type="continuationSeparator" w:id="0">
    <w:p w14:paraId="3B7AB989" w14:textId="77777777" w:rsidR="00290B1A" w:rsidRDefault="00290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DFE18" w14:textId="77777777" w:rsidR="008D5A45" w:rsidRDefault="00000000">
    <w:pPr>
      <w:pStyle w:val="Footer"/>
      <w:jc w:val="center"/>
    </w:pPr>
    <w:r>
      <w:rPr>
        <w:color w:val="666666"/>
        <w:sz w:val="16"/>
      </w:rPr>
      <w:t>A free resource provided by www.bradfordvts.co.uk, Dr Ramesh Mehay, revised June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A6227" w14:textId="77777777" w:rsidR="00290B1A" w:rsidRDefault="00290B1A">
      <w:pPr>
        <w:spacing w:after="0" w:line="240" w:lineRule="auto"/>
      </w:pPr>
      <w:r>
        <w:separator/>
      </w:r>
    </w:p>
  </w:footnote>
  <w:footnote w:type="continuationSeparator" w:id="0">
    <w:p w14:paraId="674500DD" w14:textId="77777777" w:rsidR="00290B1A" w:rsidRDefault="00290B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90883495">
    <w:abstractNumId w:val="8"/>
  </w:num>
  <w:num w:numId="2" w16cid:durableId="2060398614">
    <w:abstractNumId w:val="6"/>
  </w:num>
  <w:num w:numId="3" w16cid:durableId="1597791491">
    <w:abstractNumId w:val="5"/>
  </w:num>
  <w:num w:numId="4" w16cid:durableId="600843560">
    <w:abstractNumId w:val="4"/>
  </w:num>
  <w:num w:numId="5" w16cid:durableId="635259069">
    <w:abstractNumId w:val="7"/>
  </w:num>
  <w:num w:numId="6" w16cid:durableId="1606687867">
    <w:abstractNumId w:val="3"/>
  </w:num>
  <w:num w:numId="7" w16cid:durableId="1792703179">
    <w:abstractNumId w:val="2"/>
  </w:num>
  <w:num w:numId="8" w16cid:durableId="1716805929">
    <w:abstractNumId w:val="1"/>
  </w:num>
  <w:num w:numId="9" w16cid:durableId="41097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1E09"/>
    <w:rsid w:val="00034616"/>
    <w:rsid w:val="0006063C"/>
    <w:rsid w:val="0015074B"/>
    <w:rsid w:val="00181AE5"/>
    <w:rsid w:val="00290B1A"/>
    <w:rsid w:val="0029639D"/>
    <w:rsid w:val="00326F90"/>
    <w:rsid w:val="008D5A45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6911AD"/>
  <w14:defaultImageDpi w14:val="300"/>
  <w15:docId w15:val="{F338C57F-41A3-4A65-8707-53C753EBC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471</Words>
  <Characters>3116</Characters>
  <Application>Microsoft Office Word</Application>
  <DocSecurity>0</DocSecurity>
  <Lines>55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Ramesh Mehay</cp:lastModifiedBy>
  <cp:revision>3</cp:revision>
  <dcterms:created xsi:type="dcterms:W3CDTF">2013-12-23T23:15:00Z</dcterms:created>
  <dcterms:modified xsi:type="dcterms:W3CDTF">2026-06-29T22:42:00Z</dcterms:modified>
  <cp:category/>
</cp:coreProperties>
</file>