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CB15BF" w14:paraId="1AD5F6AA" w14:textId="77777777">
        <w:trPr>
          <w:jc w:val="center"/>
        </w:trPr>
        <w:tc>
          <w:tcPr>
            <w:tcW w:w="9072" w:type="dxa"/>
            <w:shd w:val="clear" w:color="auto" w:fill="E0651F"/>
          </w:tcPr>
          <w:p w14:paraId="3327B189" w14:textId="77777777" w:rsidR="00CB15BF" w:rsidRDefault="00000000">
            <w:pPr>
              <w:jc w:val="center"/>
            </w:pPr>
            <w:r>
              <w:rPr>
                <w:b/>
                <w:caps/>
                <w:color w:val="FFFFFF"/>
                <w:sz w:val="20"/>
              </w:rPr>
              <w:t>BRADFORD VTS TEACHING AIDS</w:t>
            </w:r>
          </w:p>
          <w:p w14:paraId="14D29A88" w14:textId="77777777" w:rsidR="00CB15BF" w:rsidRDefault="00000000">
            <w:pPr>
              <w:jc w:val="center"/>
            </w:pPr>
            <w:r>
              <w:rPr>
                <w:b/>
                <w:color w:val="FFFFFF"/>
                <w:sz w:val="52"/>
              </w:rPr>
              <w:t>Palliative Medicine</w:t>
            </w:r>
            <w:r>
              <w:rPr>
                <w:b/>
                <w:color w:val="FFFFFF"/>
                <w:sz w:val="52"/>
              </w:rPr>
              <w:br/>
              <w:t>Core Curriculum</w:t>
            </w:r>
          </w:p>
          <w:p w14:paraId="6E7F0B00" w14:textId="77777777" w:rsidR="00CB15BF" w:rsidRDefault="00000000">
            <w:pPr>
              <w:jc w:val="center"/>
            </w:pPr>
            <w:r>
              <w:rPr>
                <w:i/>
                <w:color w:val="FFFFFF"/>
              </w:rPr>
              <w:t>GP Registrar Training Standards · Bradford VTS · June 2026</w:t>
            </w:r>
          </w:p>
        </w:tc>
      </w:tr>
    </w:tbl>
    <w:p w14:paraId="1D648E62" w14:textId="77777777" w:rsidR="00CB15BF" w:rsidRDefault="00CB15BF"/>
    <w:p w14:paraId="35B7090A" w14:textId="77777777" w:rsidR="00CB15BF" w:rsidRDefault="00000000">
      <w:r>
        <w:t>This curriculum defines the minimum standards for GP Registrars in General Practice Palliative Medicine. It covers physical, psychosocial, cultural, and ethical aspects of care. Adapted from the Cleveland VTS curriculum; updated for RCGP ST1–ST3 training.</w:t>
      </w:r>
    </w:p>
    <w:p w14:paraId="49E28A64" w14:textId="77777777" w:rsidR="00CB15BF" w:rsidRDefault="00000000">
      <w:r>
        <w:rPr>
          <w:b/>
          <w:color w:val="1B3A6B"/>
          <w:sz w:val="32"/>
        </w:rPr>
        <w:t>1. Physical Aspects of Care</w:t>
      </w:r>
    </w:p>
    <w:p w14:paraId="12E3FC4B" w14:textId="77777777" w:rsidR="00CB15BF" w:rsidRDefault="00000000">
      <w:r>
        <w:rPr>
          <w:b/>
          <w:color w:val="1B3A6B"/>
          <w:sz w:val="26"/>
        </w:rPr>
        <w:t>Disease Process — The doctor should:</w:t>
      </w:r>
    </w:p>
    <w:p w14:paraId="4F52742E" w14:textId="77777777" w:rsidR="00CB15BF" w:rsidRDefault="00000000">
      <w:r>
        <w:t>• Know the definitions of terminal illness and palliative medicine (WHO definition updated 2022)</w:t>
      </w:r>
    </w:p>
    <w:p w14:paraId="293FE5A0" w14:textId="77777777" w:rsidR="00CB15BF" w:rsidRDefault="00000000">
      <w:r>
        <w:t>• Understand that cancer is not always a terminal illness</w:t>
      </w:r>
    </w:p>
    <w:p w14:paraId="1358E798" w14:textId="77777777" w:rsidR="00CB15BF" w:rsidRDefault="00000000">
      <w:r>
        <w:t>• Know the patterns of disease, markers of progression, and range of treatments for: malignant diseases, HIV/AIDS, motor neurone disease, cardiac/respiratory failure, and advanced dementia</w:t>
      </w:r>
    </w:p>
    <w:p w14:paraId="54B97C19" w14:textId="77777777" w:rsidR="00CB15BF" w:rsidRDefault="00000000">
      <w:r>
        <w:t>• Be able to critically assess and re-evaluate the clinical situation as disease progresses</w:t>
      </w:r>
    </w:p>
    <w:p w14:paraId="6ADAA8AA" w14:textId="77777777" w:rsidR="00CB15BF" w:rsidRDefault="00000000">
      <w:r>
        <w:t>• Anticipate likely problems caused by disease progression or treatments</w:t>
      </w:r>
    </w:p>
    <w:p w14:paraId="61857CF0" w14:textId="77777777" w:rsidR="00CB15BF" w:rsidRDefault="00000000">
      <w:r>
        <w:rPr>
          <w:b/>
          <w:color w:val="1B3A6B"/>
          <w:sz w:val="26"/>
        </w:rPr>
        <w:t>Pharmacology — The doctor should:</w:t>
      </w:r>
    </w:p>
    <w:p w14:paraId="5916F4B4" w14:textId="77777777" w:rsidR="00CB15BF" w:rsidRDefault="00000000">
      <w:r>
        <w:t>• Know drugs used for symptom control: doses, frequency, adverse effects</w:t>
      </w:r>
    </w:p>
    <w:p w14:paraId="60B67E59" w14:textId="77777777" w:rsidR="00CB15BF" w:rsidRDefault="00000000">
      <w:r>
        <w:t>• Know indications for all administration routes including syringe drivers; know how to set one up</w:t>
      </w:r>
    </w:p>
    <w:p w14:paraId="5419F7D2" w14:textId="77777777" w:rsidR="00CB15BF" w:rsidRDefault="00000000">
      <w:r>
        <w:t>• Know drug compatibility in syringe drivers; use www.palliativedrugs.com</w:t>
      </w:r>
    </w:p>
    <w:p w14:paraId="034504D1" w14:textId="77777777" w:rsidR="00CB15BF" w:rsidRDefault="00000000">
      <w:r>
        <w:t>• Know effects of renal/hepatic failure on palliative drug metabolism</w:t>
      </w:r>
    </w:p>
    <w:p w14:paraId="09D66B05" w14:textId="77777777" w:rsidR="00CB15BF" w:rsidRDefault="00000000">
      <w:r>
        <w:t>• Know opioid equivalence doses (NICE CG140, BNF current)</w:t>
      </w:r>
    </w:p>
    <w:p w14:paraId="5D4AF740" w14:textId="77777777" w:rsidR="002B1EBA" w:rsidRDefault="002B1EBA">
      <w:pPr>
        <w:rPr>
          <w:b/>
          <w:color w:val="1B3A6B"/>
          <w:sz w:val="26"/>
        </w:rPr>
      </w:pPr>
      <w:r>
        <w:rPr>
          <w:b/>
          <w:color w:val="1B3A6B"/>
          <w:sz w:val="26"/>
        </w:rPr>
        <w:br w:type="page"/>
      </w:r>
    </w:p>
    <w:p w14:paraId="01D44EED" w14:textId="6E736DDF" w:rsidR="00CB15BF" w:rsidRDefault="00000000">
      <w:r>
        <w:rPr>
          <w:b/>
          <w:color w:val="1B3A6B"/>
          <w:sz w:val="26"/>
        </w:rPr>
        <w:lastRenderedPageBreak/>
        <w:t>Symptom Control — The doctor should be able to manage:</w:t>
      </w:r>
    </w:p>
    <w:p w14:paraId="48E495BB" w14:textId="77777777" w:rsidR="00CB15BF" w:rsidRDefault="00000000">
      <w:r>
        <w:t>• Pain: nociceptive and neuropathic; WHO ladder; opioid titration; adjuvants</w:t>
      </w:r>
    </w:p>
    <w:p w14:paraId="04510800" w14:textId="77777777" w:rsidR="00CB15BF" w:rsidRDefault="00000000">
      <w:r>
        <w:t>• Nausea and vomiting (receptor-targeted antiemetics)</w:t>
      </w:r>
    </w:p>
    <w:p w14:paraId="33AC9C27" w14:textId="77777777" w:rsidR="00CB15BF" w:rsidRDefault="00000000">
      <w:r>
        <w:t>• Constipation, intestinal obstruction, hiccups, dysphagia</w:t>
      </w:r>
    </w:p>
    <w:p w14:paraId="7FEF47D3" w14:textId="77777777" w:rsidR="00CB15BF" w:rsidRDefault="00000000">
      <w:r>
        <w:t>• Breathlessness, cough, sore mouth (candidiasis)</w:t>
      </w:r>
    </w:p>
    <w:p w14:paraId="19A36AAE" w14:textId="77777777" w:rsidR="00CB15BF" w:rsidRDefault="00000000">
      <w:r>
        <w:t>• Weakness, lethargy, depression, pressure area care</w:t>
      </w:r>
    </w:p>
    <w:p w14:paraId="2D4066F6" w14:textId="77777777" w:rsidR="00CB15BF" w:rsidRDefault="00000000">
      <w:r>
        <w:t>• Urinary incontinence, bladder spasm, lymphoedema</w:t>
      </w:r>
    </w:p>
    <w:p w14:paraId="1ABAA55D" w14:textId="77777777" w:rsidR="00CB15BF" w:rsidRDefault="00000000">
      <w:r>
        <w:t>• Emergencies: hypercalcaemia, spinal cord compression, SVC obstruction, massive haemorrhage</w:t>
      </w:r>
    </w:p>
    <w:p w14:paraId="0566AAE5" w14:textId="77777777" w:rsidR="00CB15BF" w:rsidRDefault="00000000">
      <w:r>
        <w:t>• Restlessness/agitation in last days of life (NICE NG31)</w:t>
      </w:r>
    </w:p>
    <w:p w14:paraId="4EB6B8F4" w14:textId="77777777" w:rsidR="00CB15BF" w:rsidRDefault="00000000">
      <w:r>
        <w:t>• Recognise limits of attainable symptom control</w:t>
      </w:r>
    </w:p>
    <w:p w14:paraId="52E25775" w14:textId="77777777" w:rsidR="00CB15BF" w:rsidRDefault="00000000">
      <w:r>
        <w:rPr>
          <w:b/>
          <w:color w:val="1B3A6B"/>
          <w:sz w:val="32"/>
        </w:rPr>
        <w:t>2. Psychosocial Aspects of Care</w:t>
      </w:r>
    </w:p>
    <w:p w14:paraId="50421625" w14:textId="77777777" w:rsidR="00CB15BF" w:rsidRDefault="00000000">
      <w:r>
        <w:rPr>
          <w:b/>
          <w:color w:val="1B3A6B"/>
          <w:sz w:val="26"/>
        </w:rPr>
        <w:t>Family and Communication — The doctor should:</w:t>
      </w:r>
    </w:p>
    <w:p w14:paraId="12585FD6" w14:textId="77777777" w:rsidR="00CB15BF" w:rsidRDefault="00000000">
      <w:r>
        <w:t>• Assess differing perceptions and expectations of illness within families</w:t>
      </w:r>
    </w:p>
    <w:p w14:paraId="636158C6" w14:textId="77777777" w:rsidR="00CB15BF" w:rsidRDefault="00000000">
      <w:r>
        <w:t>• Understand psychodynamics of family relationships during serious illness</w:t>
      </w:r>
    </w:p>
    <w:p w14:paraId="2897A170" w14:textId="77777777" w:rsidR="00CB15BF" w:rsidRDefault="00000000">
      <w:r>
        <w:t>• Demonstrate skills in: breaking bad news (SPIKES/Kaye's model), active listening, dealing with difficult questions, managing collusion and conspiracy of silence</w:t>
      </w:r>
    </w:p>
    <w:p w14:paraId="5C1902AE" w14:textId="77777777" w:rsidR="00CB15BF" w:rsidRDefault="00000000">
      <w:r>
        <w:t>• Recognise and manage anger, guilt, transference in patients and families</w:t>
      </w:r>
    </w:p>
    <w:p w14:paraId="4688A181" w14:textId="77777777" w:rsidR="00CB15BF" w:rsidRDefault="00000000">
      <w:r>
        <w:t>• Understand special needs of children in the context of a dying family member</w:t>
      </w:r>
    </w:p>
    <w:p w14:paraId="02A8B8F8" w14:textId="77777777" w:rsidR="00CB15BF" w:rsidRDefault="00000000">
      <w:r>
        <w:rPr>
          <w:b/>
          <w:color w:val="1B3A6B"/>
          <w:sz w:val="26"/>
        </w:rPr>
        <w:t>Grief and Bereavement — The doctor should:</w:t>
      </w:r>
    </w:p>
    <w:p w14:paraId="1DCCB32D" w14:textId="77777777" w:rsidR="00CB15BF" w:rsidRDefault="00000000">
      <w:r>
        <w:t>• Understand normal and complicated grief reactions</w:t>
      </w:r>
    </w:p>
    <w:p w14:paraId="510277DA" w14:textId="77777777" w:rsidR="00CB15BF" w:rsidRDefault="00000000">
      <w:r>
        <w:t>• Help prepare carers for bereavement before death occurs</w:t>
      </w:r>
    </w:p>
    <w:p w14:paraId="66BCC102" w14:textId="77777777" w:rsidR="00CB15BF" w:rsidRDefault="00000000">
      <w:r>
        <w:t>• Identify and support those at high risk of complex bereavement</w:t>
      </w:r>
    </w:p>
    <w:p w14:paraId="72454942" w14:textId="77777777" w:rsidR="00CB15BF" w:rsidRDefault="00000000">
      <w:r>
        <w:t>• Recognise children's special needs in bereavement</w:t>
      </w:r>
    </w:p>
    <w:p w14:paraId="67185984" w14:textId="77777777" w:rsidR="00CB15BF" w:rsidRDefault="00000000">
      <w:r>
        <w:t>• Know when and how to refer for bereavement counselling</w:t>
      </w:r>
    </w:p>
    <w:p w14:paraId="2A50A7B7" w14:textId="77777777" w:rsidR="002B1EBA" w:rsidRDefault="002B1EBA">
      <w:pPr>
        <w:rPr>
          <w:b/>
          <w:color w:val="1B3A6B"/>
          <w:sz w:val="26"/>
        </w:rPr>
      </w:pPr>
      <w:r>
        <w:rPr>
          <w:b/>
          <w:color w:val="1B3A6B"/>
          <w:sz w:val="26"/>
        </w:rPr>
        <w:br w:type="page"/>
      </w:r>
    </w:p>
    <w:p w14:paraId="2C2F1690" w14:textId="1FFC3A2E" w:rsidR="00CB15BF" w:rsidRDefault="00000000">
      <w:r>
        <w:rPr>
          <w:b/>
          <w:color w:val="1B3A6B"/>
          <w:sz w:val="26"/>
        </w:rPr>
        <w:lastRenderedPageBreak/>
        <w:t>Dealing with Own Feelings:</w:t>
      </w:r>
    </w:p>
    <w:p w14:paraId="25816496" w14:textId="77777777" w:rsidR="00CB15BF" w:rsidRDefault="00000000">
      <w:r>
        <w:t>• Recognise emotional stress in oneself and other team members</w:t>
      </w:r>
    </w:p>
    <w:p w14:paraId="6FFC92E6" w14:textId="77777777" w:rsidR="00CB15BF" w:rsidRDefault="00000000">
      <w:r>
        <w:t>• Identify sources of professional support (clinical supervision, Balint groups, peer support)</w:t>
      </w:r>
    </w:p>
    <w:p w14:paraId="479C7B8A" w14:textId="77777777" w:rsidR="00CB15BF" w:rsidRDefault="00000000">
      <w:r>
        <w:t>• Recognise personal limitations and know when to seek help</w:t>
      </w:r>
    </w:p>
    <w:p w14:paraId="593C2BE2" w14:textId="77777777" w:rsidR="00CB15BF" w:rsidRDefault="00000000">
      <w:r>
        <w:rPr>
          <w:b/>
          <w:color w:val="1B3A6B"/>
          <w:sz w:val="32"/>
        </w:rPr>
        <w:t>3. Cultural and Spiritual Issues</w:t>
      </w:r>
    </w:p>
    <w:p w14:paraId="746C5344" w14:textId="77777777" w:rsidR="00CB15BF" w:rsidRDefault="00000000">
      <w:r>
        <w:rPr>
          <w:b/>
          <w:color w:val="1B3A6B"/>
          <w:sz w:val="26"/>
        </w:rPr>
        <w:t>The doctor should:</w:t>
      </w:r>
    </w:p>
    <w:p w14:paraId="7AC3538E" w14:textId="77777777" w:rsidR="00CB15BF" w:rsidRDefault="00000000">
      <w:r>
        <w:t>• Understand the effect of cultural influences (including language) on all aspects of palliative care</w:t>
      </w:r>
    </w:p>
    <w:p w14:paraId="32697888" w14:textId="77777777" w:rsidR="00CB15BF" w:rsidRDefault="00000000">
      <w:r>
        <w:t>• Know the practices of major religions related to dying and death (Islam, Hinduism, Sikhism, Christianity, Judaism)</w:t>
      </w:r>
    </w:p>
    <w:p w14:paraId="1341BC52" w14:textId="77777777" w:rsidR="00CB15BF" w:rsidRDefault="00000000">
      <w:r>
        <w:t>• Meet spiritual needs personally or by referral to chaplain/pastoral services worker</w:t>
      </w:r>
    </w:p>
    <w:p w14:paraId="5BE25122" w14:textId="77777777" w:rsidR="00CB15BF" w:rsidRDefault="00000000">
      <w:r>
        <w:t>• Understand that spiritual needs exist outside formalised religion (meaning, legacy, unresolved relationships)</w:t>
      </w:r>
    </w:p>
    <w:p w14:paraId="144F59CC" w14:textId="77777777" w:rsidR="00CB15BF" w:rsidRDefault="00000000">
      <w:r>
        <w:rPr>
          <w:b/>
          <w:color w:val="1B3A6B"/>
          <w:sz w:val="32"/>
        </w:rPr>
        <w:t>4. Ethical and Legal Issues</w:t>
      </w:r>
    </w:p>
    <w:p w14:paraId="4334B5C9" w14:textId="77777777" w:rsidR="00CB15BF" w:rsidRDefault="00000000">
      <w:r>
        <w:rPr>
          <w:b/>
          <w:color w:val="1B3A6B"/>
          <w:sz w:val="26"/>
        </w:rPr>
        <w:t>The doctor should demonstrate:</w:t>
      </w:r>
    </w:p>
    <w:p w14:paraId="582EAF38" w14:textId="77777777" w:rsidR="00CB15BF" w:rsidRDefault="00000000">
      <w:r>
        <w:t>• Respect for patient autonomy: agreeing priorities, not withholding desired information, respecting refusal of treatment</w:t>
      </w:r>
    </w:p>
    <w:p w14:paraId="1204D0F6" w14:textId="77777777" w:rsidR="00CB15BF" w:rsidRDefault="00000000">
      <w:r>
        <w:t>• Respect for life and acceptance of death: treatment does not have induction of death as aim</w:t>
      </w:r>
    </w:p>
    <w:p w14:paraId="5DD12A22" w14:textId="77777777" w:rsidR="00CB15BF" w:rsidRDefault="00000000">
      <w:r>
        <w:t>• Understanding of ADRT (Advance Decision to Refuse Treatment) under Mental Capacity Act 2005</w:t>
      </w:r>
    </w:p>
    <w:p w14:paraId="3C4A401B" w14:textId="77777777" w:rsidR="00CB15BF" w:rsidRDefault="00000000">
      <w:r>
        <w:t>• Understanding of LPA (Lasting Power of Attorney) — Health and Welfare</w:t>
      </w:r>
    </w:p>
    <w:p w14:paraId="078A18EA" w14:textId="77777777" w:rsidR="00CB15BF" w:rsidRDefault="00000000">
      <w:r>
        <w:t>• Issues surrounding requests for euthanasia and the legal framework in the UK</w:t>
      </w:r>
    </w:p>
    <w:p w14:paraId="57EA78F6" w14:textId="77777777" w:rsidR="00CB15BF" w:rsidRDefault="00000000">
      <w:r>
        <w:t>• Benefits and risk analysis for each clinical decision</w:t>
      </w:r>
    </w:p>
    <w:p w14:paraId="592F58CC" w14:textId="77777777" w:rsidR="00CB15BF" w:rsidRDefault="00000000">
      <w:r>
        <w:t>• ReSPECT form and how to complete DNACPR documentation</w:t>
      </w:r>
    </w:p>
    <w:p w14:paraId="086E6560" w14:textId="77777777" w:rsidR="00CB15BF" w:rsidRDefault="00CB15BF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CB15BF" w14:paraId="74D24996" w14:textId="77777777">
        <w:tc>
          <w:tcPr>
            <w:tcW w:w="9406" w:type="dxa"/>
            <w:shd w:val="clear" w:color="auto" w:fill="C0392B"/>
          </w:tcPr>
          <w:p w14:paraId="0E33D07F" w14:textId="77777777" w:rsidR="00CB15BF" w:rsidRDefault="00000000">
            <w:r>
              <w:rPr>
                <w:b/>
                <w:color w:val="FFFFFF"/>
                <w:sz w:val="20"/>
              </w:rPr>
              <w:t xml:space="preserve">⚠ Disclaimer: </w:t>
            </w:r>
            <w:r>
              <w:rPr>
                <w:color w:val="FFFFFF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425DFB33" w14:textId="77777777" w:rsidR="00CB15BF" w:rsidRDefault="00CB15BF"/>
    <w:sectPr w:rsidR="00CB15BF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45F9" w14:textId="77777777" w:rsidR="00000EA4" w:rsidRDefault="00000EA4">
      <w:pPr>
        <w:spacing w:after="0" w:line="240" w:lineRule="auto"/>
      </w:pPr>
      <w:r>
        <w:separator/>
      </w:r>
    </w:p>
  </w:endnote>
  <w:endnote w:type="continuationSeparator" w:id="0">
    <w:p w14:paraId="3D24A754" w14:textId="77777777" w:rsidR="00000EA4" w:rsidRDefault="0000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A10F4" w14:textId="77777777" w:rsidR="00CB15BF" w:rsidRDefault="00000000">
    <w:pPr>
      <w:pStyle w:val="Footer"/>
      <w:jc w:val="center"/>
    </w:pPr>
    <w:r>
      <w:rPr>
        <w:color w:val="666666"/>
        <w:sz w:val="16"/>
      </w:rPr>
      <w:t>A free resource provided by www.bradfordvts.co.uk, Dr Ramesh Mehay, 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EBC2" w14:textId="77777777" w:rsidR="00000EA4" w:rsidRDefault="00000EA4">
      <w:pPr>
        <w:spacing w:after="0" w:line="240" w:lineRule="auto"/>
      </w:pPr>
      <w:r>
        <w:separator/>
      </w:r>
    </w:p>
  </w:footnote>
  <w:footnote w:type="continuationSeparator" w:id="0">
    <w:p w14:paraId="21466F3E" w14:textId="77777777" w:rsidR="00000EA4" w:rsidRDefault="00000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506986">
    <w:abstractNumId w:val="8"/>
  </w:num>
  <w:num w:numId="2" w16cid:durableId="1454866380">
    <w:abstractNumId w:val="6"/>
  </w:num>
  <w:num w:numId="3" w16cid:durableId="1085879383">
    <w:abstractNumId w:val="5"/>
  </w:num>
  <w:num w:numId="4" w16cid:durableId="1761483355">
    <w:abstractNumId w:val="4"/>
  </w:num>
  <w:num w:numId="5" w16cid:durableId="1284845788">
    <w:abstractNumId w:val="7"/>
  </w:num>
  <w:num w:numId="6" w16cid:durableId="565070054">
    <w:abstractNumId w:val="3"/>
  </w:num>
  <w:num w:numId="7" w16cid:durableId="1494174664">
    <w:abstractNumId w:val="2"/>
  </w:num>
  <w:num w:numId="8" w16cid:durableId="1440174715">
    <w:abstractNumId w:val="1"/>
  </w:num>
  <w:num w:numId="9" w16cid:durableId="124734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EA4"/>
    <w:rsid w:val="00034616"/>
    <w:rsid w:val="0006063C"/>
    <w:rsid w:val="0015074B"/>
    <w:rsid w:val="00190647"/>
    <w:rsid w:val="0029639D"/>
    <w:rsid w:val="002B1EBA"/>
    <w:rsid w:val="00326F90"/>
    <w:rsid w:val="00AA1D8D"/>
    <w:rsid w:val="00B47730"/>
    <w:rsid w:val="00CB0664"/>
    <w:rsid w:val="00CB15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37E493"/>
  <w14:defaultImageDpi w14:val="300"/>
  <w15:docId w15:val="{C40027EC-317D-462A-AE83-69ECB39B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2026-06-29T22:28:00Z</dcterms:modified>
  <cp:category/>
</cp:coreProperties>
</file>