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406"/>
      </w:tblGrid>
      <w:tr w:rsidR="00441E03" w14:paraId="66C5A42B" w14:textId="77777777">
        <w:trPr>
          <w:jc w:val="center"/>
        </w:trPr>
        <w:tc>
          <w:tcPr>
            <w:tcW w:w="9406" w:type="dxa"/>
            <w:shd w:val="clear" w:color="auto" w:fill="F47C20"/>
            <w:tcMar>
              <w:top w:w="150" w:type="dxa"/>
              <w:left w:w="160" w:type="dxa"/>
              <w:bottom w:w="150" w:type="dxa"/>
              <w:right w:w="160" w:type="dxa"/>
            </w:tcMar>
          </w:tcPr>
          <w:p w14:paraId="68BDEF94" w14:textId="77777777" w:rsidR="00441E03" w:rsidRDefault="00441E03"/>
          <w:p w14:paraId="599D0251" w14:textId="20D9559A" w:rsidR="00441E03" w:rsidRDefault="00000000" w:rsidP="00BF7040">
            <w:pPr>
              <w:jc w:val="center"/>
            </w:pPr>
            <w:r>
              <w:rPr>
                <w:rFonts w:ascii="Arial" w:eastAsia="Arial" w:hAnsi="Arial" w:cs="Arial"/>
                <w:color w:val="FFFFFF"/>
                <w:sz w:val="18"/>
              </w:rPr>
              <w:t xml:space="preserve">BRADFORD VTS TEACHING </w:t>
            </w:r>
            <w:r w:rsidR="00BF7040">
              <w:rPr>
                <w:rFonts w:ascii="Arial" w:eastAsia="Arial" w:hAnsi="Arial" w:cs="Arial"/>
                <w:color w:val="FFFFFF"/>
                <w:sz w:val="18"/>
              </w:rPr>
              <w:t>AIDS</w:t>
            </w:r>
          </w:p>
          <w:p w14:paraId="776EB96F" w14:textId="77777777" w:rsidR="00441E03" w:rsidRDefault="00000000" w:rsidP="00BF7040">
            <w:pPr>
              <w:spacing w:before="120"/>
              <w:jc w:val="center"/>
            </w:pPr>
            <w:r>
              <w:rPr>
                <w:rFonts w:ascii="Arial" w:eastAsia="Arial" w:hAnsi="Arial" w:cs="Arial"/>
                <w:b/>
                <w:color w:val="FFFFFF"/>
                <w:sz w:val="36"/>
              </w:rPr>
              <w:t>ReSPECT — Competencies and Guidance</w:t>
            </w:r>
          </w:p>
          <w:p w14:paraId="6DCCD99F" w14:textId="77777777" w:rsidR="00441E03" w:rsidRDefault="00000000" w:rsidP="00BF7040">
            <w:pPr>
              <w:jc w:val="center"/>
            </w:pPr>
            <w:r>
              <w:rPr>
                <w:rFonts w:ascii="Arial" w:eastAsia="Arial" w:hAnsi="Arial" w:cs="Arial"/>
                <w:i/>
                <w:color w:val="FFFFFF"/>
                <w:sz w:val="20"/>
              </w:rPr>
              <w:t>Recommended Summary Plan for Emergency Care and Treatment | Bradford VTS | June 2026</w:t>
            </w:r>
          </w:p>
        </w:tc>
      </w:tr>
    </w:tbl>
    <w:p w14:paraId="4737E5C1" w14:textId="77777777" w:rsidR="00441E03" w:rsidRDefault="00441E03">
      <w:pPr>
        <w:spacing w:after="80"/>
      </w:pPr>
    </w:p>
    <w:tbl>
      <w:tblPr>
        <w:tblW w:w="0" w:type="auto"/>
        <w:tblLook w:val="04A0" w:firstRow="1" w:lastRow="0" w:firstColumn="1" w:lastColumn="0" w:noHBand="0" w:noVBand="1"/>
      </w:tblPr>
      <w:tblGrid>
        <w:gridCol w:w="9406"/>
      </w:tblGrid>
      <w:tr w:rsidR="00441E03" w14:paraId="2660E308" w14:textId="77777777">
        <w:tc>
          <w:tcPr>
            <w:tcW w:w="9406" w:type="dxa"/>
            <w:shd w:val="clear" w:color="auto" w:fill="E8F5E9"/>
            <w:tcMar>
              <w:top w:w="120" w:type="dxa"/>
              <w:left w:w="130" w:type="dxa"/>
              <w:bottom w:w="120" w:type="dxa"/>
              <w:right w:w="130" w:type="dxa"/>
            </w:tcMar>
          </w:tcPr>
          <w:p w14:paraId="36D1DD57" w14:textId="77777777" w:rsidR="00441E03" w:rsidRDefault="00000000">
            <w:r>
              <w:rPr>
                <w:rFonts w:ascii="Arial" w:eastAsia="Arial" w:hAnsi="Arial" w:cs="Arial"/>
                <w:b/>
                <w:color w:val="2E7D32"/>
              </w:rPr>
              <w:t>ReSPECT IS:</w:t>
            </w:r>
          </w:p>
          <w:p w14:paraId="2C2519F0" w14:textId="77777777" w:rsidR="00441E03" w:rsidRDefault="00000000">
            <w:r>
              <w:rPr>
                <w:rFonts w:ascii="Arial" w:eastAsia="Arial" w:hAnsi="Arial" w:cs="Arial"/>
                <w:sz w:val="20"/>
              </w:rPr>
              <w:t>A specific type of Advance Care Plan summarising the emergency care aspect of a wider ACP</w:t>
            </w:r>
            <w:r>
              <w:rPr>
                <w:rFonts w:ascii="Arial" w:eastAsia="Arial" w:hAnsi="Arial" w:cs="Arial"/>
                <w:sz w:val="20"/>
              </w:rPr>
              <w:br/>
              <w:t>A patient-owned document — the form belongs to the patient</w:t>
            </w:r>
            <w:r>
              <w:rPr>
                <w:rFonts w:ascii="Arial" w:eastAsia="Arial" w:hAnsi="Arial" w:cs="Arial"/>
                <w:sz w:val="20"/>
              </w:rPr>
              <w:br/>
              <w:t>A clinical document (~10 minutes to complete, but conversations take much longer)</w:t>
            </w:r>
            <w:r>
              <w:rPr>
                <w:rFonts w:ascii="Arial" w:eastAsia="Arial" w:hAnsi="Arial" w:cs="Arial"/>
                <w:sz w:val="20"/>
              </w:rPr>
              <w:br/>
              <w:t>A process that records information for rapid access in a crisis</w:t>
            </w:r>
          </w:p>
        </w:tc>
      </w:tr>
    </w:tbl>
    <w:p w14:paraId="6DF27163" w14:textId="77777777" w:rsidR="00441E03" w:rsidRPr="00D13BF4" w:rsidRDefault="00441E03">
      <w:pPr>
        <w:spacing w:after="60"/>
        <w:rPr>
          <w:sz w:val="2"/>
          <w:szCs w:val="2"/>
        </w:rPr>
      </w:pPr>
    </w:p>
    <w:tbl>
      <w:tblPr>
        <w:tblW w:w="0" w:type="auto"/>
        <w:tblLook w:val="04A0" w:firstRow="1" w:lastRow="0" w:firstColumn="1" w:lastColumn="0" w:noHBand="0" w:noVBand="1"/>
      </w:tblPr>
      <w:tblGrid>
        <w:gridCol w:w="9406"/>
      </w:tblGrid>
      <w:tr w:rsidR="00441E03" w14:paraId="4C0C031E" w14:textId="77777777">
        <w:tc>
          <w:tcPr>
            <w:tcW w:w="9406" w:type="dxa"/>
            <w:shd w:val="clear" w:color="auto" w:fill="FFEBEE"/>
            <w:tcMar>
              <w:top w:w="120" w:type="dxa"/>
              <w:left w:w="130" w:type="dxa"/>
              <w:bottom w:w="120" w:type="dxa"/>
              <w:right w:w="130" w:type="dxa"/>
            </w:tcMar>
          </w:tcPr>
          <w:p w14:paraId="319FA9B4" w14:textId="77777777" w:rsidR="00441E03" w:rsidRDefault="00000000">
            <w:r>
              <w:rPr>
                <w:rFonts w:ascii="Arial" w:eastAsia="Arial" w:hAnsi="Arial" w:cs="Arial"/>
                <w:b/>
                <w:color w:val="C62828"/>
              </w:rPr>
              <w:t>ReSPECT is NOT:</w:t>
            </w:r>
          </w:p>
          <w:p w14:paraId="553E2486" w14:textId="77777777" w:rsidR="00441E03" w:rsidRDefault="00000000">
            <w:r>
              <w:rPr>
                <w:rFonts w:ascii="Arial" w:eastAsia="Arial" w:hAnsi="Arial" w:cs="Arial"/>
                <w:sz w:val="20"/>
              </w:rPr>
              <w:t>Just a form — MUST NOT be completed without a meaningful conversation</w:t>
            </w:r>
            <w:r>
              <w:rPr>
                <w:rFonts w:ascii="Arial" w:eastAsia="Arial" w:hAnsi="Arial" w:cs="Arial"/>
                <w:sz w:val="20"/>
              </w:rPr>
              <w:br/>
              <w:t>A blanket approach — all decisions must be individual to the person</w:t>
            </w:r>
            <w:r>
              <w:rPr>
                <w:rFonts w:ascii="Arial" w:eastAsia="Arial" w:hAnsi="Arial" w:cs="Arial"/>
                <w:sz w:val="20"/>
              </w:rPr>
              <w:br/>
              <w:t>A substitute for a DNACPR form if only a resuscitation decision is needed</w:t>
            </w:r>
            <w:r>
              <w:rPr>
                <w:rFonts w:ascii="Arial" w:eastAsia="Arial" w:hAnsi="Arial" w:cs="Arial"/>
                <w:sz w:val="20"/>
              </w:rPr>
              <w:br/>
              <w:t>An Advance Decision to Refuse Treatment (ADRT) — ReSPECT is NOT legally binding</w:t>
            </w:r>
            <w:r>
              <w:rPr>
                <w:rFonts w:ascii="Arial" w:eastAsia="Arial" w:hAnsi="Arial" w:cs="Arial"/>
                <w:sz w:val="20"/>
              </w:rPr>
              <w:br/>
              <w:t>Able to be completed without involving the patient or their legal proxy</w:t>
            </w:r>
          </w:p>
        </w:tc>
      </w:tr>
    </w:tbl>
    <w:p w14:paraId="03E078F5" w14:textId="77777777" w:rsidR="00441E03" w:rsidRPr="00D13BF4" w:rsidRDefault="00441E03">
      <w:pPr>
        <w:spacing w:after="60"/>
        <w:rPr>
          <w:sz w:val="2"/>
          <w:szCs w:val="2"/>
        </w:rPr>
      </w:pPr>
    </w:p>
    <w:p w14:paraId="558D076D" w14:textId="77777777" w:rsidR="00441E03" w:rsidRDefault="00000000">
      <w:pPr>
        <w:pStyle w:val="Heading1"/>
        <w:spacing w:before="200" w:after="80"/>
      </w:pPr>
      <w:r>
        <w:rPr>
          <w:rFonts w:ascii="Arial" w:eastAsia="Arial" w:hAnsi="Arial" w:cs="Arial"/>
          <w:color w:val="F47C20"/>
          <w:sz w:val="26"/>
        </w:rPr>
        <w:t>Who Can Complete ReSPECT Forms?</w:t>
      </w:r>
    </w:p>
    <w:p w14:paraId="1E62B1D3" w14:textId="77777777" w:rsidR="00441E03" w:rsidRDefault="00000000">
      <w:pPr>
        <w:spacing w:after="100"/>
      </w:pPr>
      <w:r>
        <w:rPr>
          <w:rFonts w:ascii="Arial" w:eastAsia="Arial" w:hAnsi="Arial" w:cs="Arial"/>
        </w:rPr>
        <w:t>Any registered clinician with appropriate knowledge and training. Non-medical healthcare professionals (ANPs, ACPs, clinical nurse specialists, community matrons) must be formally signed off against the competency framework. Competency must be renewed every 3 years.</w:t>
      </w:r>
    </w:p>
    <w:p w14:paraId="4B4C9B3B" w14:textId="77777777" w:rsidR="00441E03" w:rsidRDefault="00000000">
      <w:pPr>
        <w:pStyle w:val="Heading1"/>
        <w:spacing w:before="200" w:after="80"/>
      </w:pPr>
      <w:r>
        <w:rPr>
          <w:rFonts w:ascii="Arial" w:eastAsia="Arial" w:hAnsi="Arial" w:cs="Arial"/>
          <w:color w:val="F47C20"/>
          <w:sz w:val="26"/>
        </w:rPr>
        <w:t>Core Competency Standards (14)</w:t>
      </w:r>
    </w:p>
    <w:p w14:paraId="54EC0D62" w14:textId="77777777" w:rsidR="00441E03" w:rsidRDefault="00000000">
      <w:pPr>
        <w:pStyle w:val="ListNumber"/>
        <w:spacing w:after="60"/>
      </w:pPr>
      <w:r>
        <w:rPr>
          <w:rFonts w:ascii="Arial" w:eastAsia="Arial" w:hAnsi="Arial" w:cs="Arial"/>
          <w:sz w:val="20"/>
        </w:rPr>
        <w:t>Has read the ReSPECT policy and agrees to comply with it</w:t>
      </w:r>
    </w:p>
    <w:p w14:paraId="7ECA5877" w14:textId="77777777" w:rsidR="00441E03" w:rsidRDefault="00000000">
      <w:pPr>
        <w:pStyle w:val="ListNumber"/>
        <w:spacing w:after="60"/>
      </w:pPr>
      <w:r>
        <w:rPr>
          <w:rFonts w:ascii="Arial" w:eastAsia="Arial" w:hAnsi="Arial" w:cs="Arial"/>
          <w:sz w:val="20"/>
        </w:rPr>
        <w:t>Understands the ReSPECT process: when discussions should occur, how to structure conversations, who should be involved</w:t>
      </w:r>
    </w:p>
    <w:p w14:paraId="33B0D4B4" w14:textId="77777777" w:rsidR="00441E03" w:rsidRDefault="00000000">
      <w:pPr>
        <w:pStyle w:val="ListNumber"/>
        <w:spacing w:after="60"/>
      </w:pPr>
      <w:r>
        <w:rPr>
          <w:rFonts w:ascii="Arial" w:eastAsia="Arial" w:hAnsi="Arial" w:cs="Arial"/>
          <w:sz w:val="20"/>
        </w:rPr>
        <w:t>Understands clinical situations where ReSPECT conversations are appropriate</w:t>
      </w:r>
    </w:p>
    <w:p w14:paraId="21DCC074" w14:textId="77777777" w:rsidR="00441E03" w:rsidRDefault="00000000">
      <w:pPr>
        <w:pStyle w:val="ListNumber"/>
        <w:spacing w:after="60"/>
      </w:pPr>
      <w:r>
        <w:rPr>
          <w:rFonts w:ascii="Arial" w:eastAsia="Arial" w:hAnsi="Arial" w:cs="Arial"/>
          <w:sz w:val="20"/>
        </w:rPr>
        <w:t>Uses decision-making frameworks effectively</w:t>
      </w:r>
    </w:p>
    <w:p w14:paraId="2CCFEB6C" w14:textId="77777777" w:rsidR="00441E03" w:rsidRDefault="00000000">
      <w:pPr>
        <w:pStyle w:val="ListNumber"/>
        <w:spacing w:after="60"/>
      </w:pPr>
      <w:r>
        <w:rPr>
          <w:rFonts w:ascii="Arial" w:eastAsia="Arial" w:hAnsi="Arial" w:cs="Arial"/>
          <w:sz w:val="20"/>
        </w:rPr>
        <w:t>5a. Describes CPR success rates in different clinical populations</w:t>
      </w:r>
    </w:p>
    <w:p w14:paraId="3F875A70" w14:textId="77777777" w:rsidR="00441E03" w:rsidRDefault="00000000">
      <w:pPr>
        <w:pStyle w:val="ListNumber"/>
        <w:spacing w:after="60"/>
      </w:pPr>
      <w:r>
        <w:rPr>
          <w:rFonts w:ascii="Arial" w:eastAsia="Arial" w:hAnsi="Arial" w:cs="Arial"/>
          <w:sz w:val="20"/>
        </w:rPr>
        <w:t>5b. Describes the process of CPR and post-resuscitation care</w:t>
      </w:r>
    </w:p>
    <w:p w14:paraId="46A54A1D" w14:textId="77777777" w:rsidR="00441E03" w:rsidRDefault="00000000">
      <w:pPr>
        <w:pStyle w:val="ListNumber"/>
        <w:spacing w:after="60"/>
      </w:pPr>
      <w:r>
        <w:rPr>
          <w:rFonts w:ascii="Arial" w:eastAsia="Arial" w:hAnsi="Arial" w:cs="Arial"/>
          <w:sz w:val="20"/>
        </w:rPr>
        <w:t>Explains relevance of MCA 2005, HRA 1998, Tracey case, and Winspear case</w:t>
      </w:r>
    </w:p>
    <w:p w14:paraId="4E1902B1" w14:textId="77777777" w:rsidR="00441E03" w:rsidRDefault="00000000">
      <w:pPr>
        <w:pStyle w:val="ListNumber"/>
        <w:spacing w:after="60"/>
      </w:pPr>
      <w:r>
        <w:rPr>
          <w:rFonts w:ascii="Arial" w:eastAsia="Arial" w:hAnsi="Arial" w:cs="Arial"/>
          <w:sz w:val="20"/>
        </w:rPr>
        <w:t>Summarises the importance of 'best interest decisions' and what factors should be considered</w:t>
      </w:r>
    </w:p>
    <w:p w14:paraId="30891712" w14:textId="77777777" w:rsidR="00441E03" w:rsidRDefault="00000000">
      <w:pPr>
        <w:pStyle w:val="ListNumber"/>
        <w:spacing w:after="60"/>
      </w:pPr>
      <w:r>
        <w:rPr>
          <w:rFonts w:ascii="Arial" w:eastAsia="Arial" w:hAnsi="Arial" w:cs="Arial"/>
          <w:sz w:val="20"/>
        </w:rPr>
        <w:t>Explains how to complete the ReSPECT form including local electronic processes (SystmOne/Cerner)</w:t>
      </w:r>
    </w:p>
    <w:p w14:paraId="1646CE0E" w14:textId="77777777" w:rsidR="00441E03" w:rsidRDefault="00000000">
      <w:pPr>
        <w:pStyle w:val="ListNumber"/>
        <w:spacing w:after="60"/>
      </w:pPr>
      <w:r>
        <w:rPr>
          <w:rFonts w:ascii="Arial" w:eastAsia="Arial" w:hAnsi="Arial" w:cs="Arial"/>
          <w:sz w:val="20"/>
        </w:rPr>
        <w:t>Uses and shares relevant supporting information with patient/family (leaflets, ReSPECT website)</w:t>
      </w:r>
    </w:p>
    <w:p w14:paraId="355BB1A0" w14:textId="77777777" w:rsidR="00441E03" w:rsidRDefault="00000000">
      <w:pPr>
        <w:pStyle w:val="ListNumber"/>
        <w:spacing w:after="60"/>
      </w:pPr>
      <w:r>
        <w:rPr>
          <w:rFonts w:ascii="Arial" w:eastAsia="Arial" w:hAnsi="Arial" w:cs="Arial"/>
          <w:sz w:val="20"/>
        </w:rPr>
        <w:t>Recognises role responsibilities; uses relevant legislation, policies, and guidelines</w:t>
      </w:r>
    </w:p>
    <w:p w14:paraId="19BA05FE" w14:textId="77777777" w:rsidR="00441E03" w:rsidRDefault="00000000">
      <w:pPr>
        <w:pStyle w:val="ListNumber"/>
        <w:spacing w:after="60"/>
      </w:pPr>
      <w:r>
        <w:rPr>
          <w:rFonts w:ascii="Arial" w:eastAsia="Arial" w:hAnsi="Arial" w:cs="Arial"/>
          <w:sz w:val="20"/>
        </w:rPr>
        <w:t>Identifies patient/family or clinician decision disunity; knows when escalation is required</w:t>
      </w:r>
    </w:p>
    <w:p w14:paraId="1084A3F6" w14:textId="77777777" w:rsidR="00441E03" w:rsidRDefault="00000000">
      <w:pPr>
        <w:pStyle w:val="ListNumber"/>
        <w:spacing w:after="60"/>
      </w:pPr>
      <w:r>
        <w:rPr>
          <w:rFonts w:ascii="Arial" w:eastAsia="Arial" w:hAnsi="Arial" w:cs="Arial"/>
          <w:sz w:val="20"/>
        </w:rPr>
        <w:t>Ensures patient and family know where to keep the form and what to do in an emergency</w:t>
      </w:r>
    </w:p>
    <w:p w14:paraId="4B92E12B" w14:textId="77777777" w:rsidR="00441E03" w:rsidRDefault="00000000">
      <w:pPr>
        <w:pStyle w:val="ListNumber"/>
        <w:spacing w:after="60"/>
      </w:pPr>
      <w:r>
        <w:rPr>
          <w:rFonts w:ascii="Arial" w:eastAsia="Arial" w:hAnsi="Arial" w:cs="Arial"/>
          <w:sz w:val="20"/>
        </w:rPr>
        <w:t>Demonstrates the review process; ensures patient/family know how to request review or amendment</w:t>
      </w:r>
    </w:p>
    <w:p w14:paraId="5CD50F6D" w14:textId="77777777" w:rsidR="00441E03" w:rsidRDefault="00000000">
      <w:pPr>
        <w:pStyle w:val="Heading1"/>
        <w:spacing w:before="200" w:after="80"/>
      </w:pPr>
      <w:r>
        <w:rPr>
          <w:rFonts w:ascii="Arial" w:eastAsia="Arial" w:hAnsi="Arial" w:cs="Arial"/>
          <w:color w:val="F47C20"/>
          <w:sz w:val="26"/>
        </w:rPr>
        <w:lastRenderedPageBreak/>
        <w:t>Essential Training</w:t>
      </w:r>
    </w:p>
    <w:p w14:paraId="74BDBC82" w14:textId="77777777" w:rsidR="00441E03" w:rsidRDefault="00000000">
      <w:pPr>
        <w:pStyle w:val="ListBullet"/>
        <w:spacing w:after="40"/>
      </w:pPr>
      <w:r>
        <w:rPr>
          <w:rFonts w:ascii="Arial" w:eastAsia="Arial" w:hAnsi="Arial" w:cs="Arial"/>
        </w:rPr>
        <w:t>DNACPR Decision Making — face to face</w:t>
      </w:r>
    </w:p>
    <w:p w14:paraId="2DF5C75B" w14:textId="77777777" w:rsidR="00441E03" w:rsidRDefault="00000000">
      <w:pPr>
        <w:pStyle w:val="ListBullet"/>
        <w:spacing w:after="40"/>
      </w:pPr>
      <w:r>
        <w:rPr>
          <w:rFonts w:ascii="Arial" w:eastAsia="Arial" w:hAnsi="Arial" w:cs="Arial"/>
        </w:rPr>
        <w:t>ReSPECT Communication Skills Workshop (or equivalent)</w:t>
      </w:r>
    </w:p>
    <w:p w14:paraId="48EDB8E9" w14:textId="77777777" w:rsidR="00441E03" w:rsidRDefault="00000000">
      <w:pPr>
        <w:pStyle w:val="ListBullet"/>
        <w:spacing w:after="40"/>
      </w:pPr>
      <w:r>
        <w:rPr>
          <w:rFonts w:ascii="Arial" w:eastAsia="Arial" w:hAnsi="Arial" w:cs="Arial"/>
        </w:rPr>
        <w:t>Bradford District &amp; Craven Introduction to ReSPECT webinar</w:t>
      </w:r>
    </w:p>
    <w:p w14:paraId="62DBAE17" w14:textId="77777777" w:rsidR="00441E03" w:rsidRDefault="00000000">
      <w:pPr>
        <w:pStyle w:val="ListBullet"/>
        <w:spacing w:after="40"/>
      </w:pPr>
      <w:r>
        <w:rPr>
          <w:rFonts w:ascii="Arial" w:eastAsia="Arial" w:hAnsi="Arial" w:cs="Arial"/>
        </w:rPr>
        <w:t>e-ELCA: Mental Capacity Act aims and principles</w:t>
      </w:r>
    </w:p>
    <w:p w14:paraId="20B29454" w14:textId="77777777" w:rsidR="00441E03" w:rsidRDefault="00000000">
      <w:pPr>
        <w:pStyle w:val="ListBullet"/>
        <w:spacing w:after="40"/>
      </w:pPr>
      <w:r>
        <w:rPr>
          <w:rFonts w:ascii="Arial" w:eastAsia="Arial" w:hAnsi="Arial" w:cs="Arial"/>
        </w:rPr>
        <w:t>ReSPECT e-learning: https://www.resus.org.uk/respect/</w:t>
      </w:r>
    </w:p>
    <w:p w14:paraId="7DF12A89" w14:textId="77777777" w:rsidR="00441E03" w:rsidRDefault="00000000">
      <w:pPr>
        <w:pStyle w:val="Heading1"/>
        <w:spacing w:before="200" w:after="80"/>
      </w:pPr>
      <w:r>
        <w:rPr>
          <w:rFonts w:ascii="Arial" w:eastAsia="Arial" w:hAnsi="Arial" w:cs="Arial"/>
          <w:color w:val="F47C20"/>
          <w:sz w:val="26"/>
        </w:rPr>
        <w:t>Key Legal Frameworks</w:t>
      </w:r>
    </w:p>
    <w:p w14:paraId="27F9C9AD" w14:textId="77777777" w:rsidR="00441E03" w:rsidRDefault="00000000">
      <w:pPr>
        <w:pStyle w:val="ListBullet"/>
        <w:spacing w:after="40"/>
      </w:pPr>
      <w:r>
        <w:rPr>
          <w:rFonts w:ascii="Arial" w:eastAsia="Arial" w:hAnsi="Arial" w:cs="Arial"/>
        </w:rPr>
        <w:t>Mental Capacity Act 2005 — presumption of capacity; best interests; LPA; ADRT</w:t>
      </w:r>
    </w:p>
    <w:p w14:paraId="34BAA7B9" w14:textId="77777777" w:rsidR="00441E03" w:rsidRDefault="00000000">
      <w:pPr>
        <w:pStyle w:val="ListBullet"/>
        <w:spacing w:after="40"/>
      </w:pPr>
      <w:r>
        <w:rPr>
          <w:rFonts w:ascii="Arial" w:eastAsia="Arial" w:hAnsi="Arial" w:cs="Arial"/>
        </w:rPr>
        <w:t>Human Rights Act 1998 — Articles 2, 3, and 8</w:t>
      </w:r>
    </w:p>
    <w:p w14:paraId="77C12EAF" w14:textId="77777777" w:rsidR="00441E03" w:rsidRDefault="00000000">
      <w:pPr>
        <w:pStyle w:val="ListBullet"/>
        <w:spacing w:after="40"/>
      </w:pPr>
      <w:r>
        <w:rPr>
          <w:rFonts w:ascii="Arial" w:eastAsia="Arial" w:hAnsi="Arial" w:cs="Arial"/>
        </w:rPr>
        <w:t>Tracey case (2014) — hospitals must consult patients before DNACPR decisions</w:t>
      </w:r>
    </w:p>
    <w:p w14:paraId="4928DE8B" w14:textId="77777777" w:rsidR="00441E03" w:rsidRPr="00D13BF4" w:rsidRDefault="00000000">
      <w:pPr>
        <w:pStyle w:val="ListBullet"/>
        <w:spacing w:after="40"/>
      </w:pPr>
      <w:r>
        <w:rPr>
          <w:rFonts w:ascii="Arial" w:eastAsia="Arial" w:hAnsi="Arial" w:cs="Arial"/>
        </w:rPr>
        <w:t>Winspear case (2015) — next of kin must be consulted for incapacitated patients where practical</w:t>
      </w:r>
    </w:p>
    <w:p w14:paraId="237A590B" w14:textId="77777777" w:rsidR="00D13BF4" w:rsidRDefault="00D13BF4" w:rsidP="00D13BF4">
      <w:pPr>
        <w:pStyle w:val="ListBullet"/>
        <w:numPr>
          <w:ilvl w:val="0"/>
          <w:numId w:val="0"/>
        </w:numPr>
        <w:spacing w:after="40"/>
        <w:ind w:left="360" w:hanging="360"/>
        <w:rPr>
          <w:rFonts w:ascii="Arial" w:eastAsia="Arial" w:hAnsi="Arial" w:cs="Arial"/>
        </w:rPr>
      </w:pPr>
    </w:p>
    <w:p w14:paraId="2802361A" w14:textId="77777777" w:rsidR="00D13BF4" w:rsidRDefault="00D13BF4" w:rsidP="00D13BF4">
      <w:pPr>
        <w:pStyle w:val="ListBullet"/>
        <w:numPr>
          <w:ilvl w:val="0"/>
          <w:numId w:val="0"/>
        </w:numPr>
        <w:spacing w:after="40"/>
        <w:ind w:left="360" w:hanging="360"/>
        <w:rPr>
          <w:rFonts w:ascii="Arial" w:eastAsia="Arial" w:hAnsi="Arial" w:cs="Arial"/>
        </w:rPr>
      </w:pPr>
    </w:p>
    <w:p w14:paraId="40CB7A95" w14:textId="77777777" w:rsidR="00D13BF4" w:rsidRDefault="00D13BF4" w:rsidP="00D13BF4">
      <w:pPr>
        <w:pStyle w:val="ListBullet"/>
        <w:numPr>
          <w:ilvl w:val="0"/>
          <w:numId w:val="0"/>
        </w:numPr>
        <w:spacing w:after="40"/>
        <w:ind w:left="360" w:hanging="360"/>
      </w:pPr>
    </w:p>
    <w:tbl>
      <w:tblPr>
        <w:tblW w:w="0" w:type="auto"/>
        <w:tblLook w:val="04A0" w:firstRow="1" w:lastRow="0" w:firstColumn="1" w:lastColumn="0" w:noHBand="0" w:noVBand="1"/>
      </w:tblPr>
      <w:tblGrid>
        <w:gridCol w:w="9406"/>
      </w:tblGrid>
      <w:tr w:rsidR="00441E03" w14:paraId="6663F27F" w14:textId="77777777">
        <w:tc>
          <w:tcPr>
            <w:tcW w:w="9406" w:type="dxa"/>
            <w:shd w:val="clear" w:color="auto" w:fill="F3E5F5"/>
            <w:tcMar>
              <w:top w:w="120" w:type="dxa"/>
              <w:left w:w="130" w:type="dxa"/>
              <w:bottom w:w="120" w:type="dxa"/>
              <w:right w:w="130" w:type="dxa"/>
            </w:tcMar>
          </w:tcPr>
          <w:p w14:paraId="3FEE54C9" w14:textId="77777777" w:rsidR="00441E03" w:rsidRDefault="00441E03"/>
          <w:p w14:paraId="35377824" w14:textId="77777777" w:rsidR="00441E03" w:rsidRDefault="00000000">
            <w:r>
              <w:rPr>
                <w:rFonts w:ascii="Arial" w:eastAsia="Arial" w:hAnsi="Arial" w:cs="Arial"/>
                <w:b/>
                <w:color w:val="F47C20"/>
              </w:rPr>
              <w:t>CPR Success Rates — For Patient Conversations</w:t>
            </w:r>
          </w:p>
          <w:p w14:paraId="38A91F1B" w14:textId="77777777" w:rsidR="00D13BF4" w:rsidRDefault="00000000" w:rsidP="00D13BF4">
            <w:pPr>
              <w:pStyle w:val="ListParagraph"/>
              <w:numPr>
                <w:ilvl w:val="0"/>
                <w:numId w:val="10"/>
              </w:numPr>
              <w:rPr>
                <w:rFonts w:ascii="Arial" w:eastAsia="Arial" w:hAnsi="Arial" w:cs="Arial"/>
                <w:sz w:val="20"/>
              </w:rPr>
            </w:pPr>
            <w:r w:rsidRPr="00D13BF4">
              <w:rPr>
                <w:rFonts w:ascii="Arial" w:eastAsia="Arial" w:hAnsi="Arial" w:cs="Arial"/>
                <w:sz w:val="20"/>
              </w:rPr>
              <w:t>In-hospital CPR: ~15% survival to discharge | Immediate survival: ~38% | At 24h: ~25%</w:t>
            </w:r>
          </w:p>
          <w:p w14:paraId="012F126F" w14:textId="77777777" w:rsidR="00D13BF4" w:rsidRDefault="00000000" w:rsidP="00D13BF4">
            <w:pPr>
              <w:pStyle w:val="ListParagraph"/>
              <w:numPr>
                <w:ilvl w:val="0"/>
                <w:numId w:val="10"/>
              </w:numPr>
              <w:rPr>
                <w:rFonts w:ascii="Arial" w:eastAsia="Arial" w:hAnsi="Arial" w:cs="Arial"/>
                <w:sz w:val="20"/>
              </w:rPr>
            </w:pPr>
            <w:r w:rsidRPr="00D13BF4">
              <w:rPr>
                <w:rFonts w:ascii="Arial" w:eastAsia="Arial" w:hAnsi="Arial" w:cs="Arial"/>
                <w:sz w:val="20"/>
              </w:rPr>
              <w:t>Near-zero success: advanced malignancy, immobility, pneumonia, renal failure, dementia, hypotension</w:t>
            </w:r>
          </w:p>
          <w:p w14:paraId="2C08BDBE" w14:textId="690F0B3D" w:rsidR="00441E03" w:rsidRPr="00D13BF4" w:rsidRDefault="00000000" w:rsidP="00D13BF4">
            <w:pPr>
              <w:pStyle w:val="ListParagraph"/>
              <w:numPr>
                <w:ilvl w:val="0"/>
                <w:numId w:val="10"/>
              </w:numPr>
              <w:rPr>
                <w:rFonts w:ascii="Arial" w:eastAsia="Arial" w:hAnsi="Arial" w:cs="Arial"/>
                <w:sz w:val="20"/>
              </w:rPr>
            </w:pPr>
            <w:r w:rsidRPr="00D13BF4">
              <w:rPr>
                <w:rFonts w:ascii="Arial" w:eastAsia="Arial" w:hAnsi="Arial" w:cs="Arial"/>
                <w:sz w:val="20"/>
              </w:rPr>
              <w:t>Television portrays ~75% survival — very different from reality</w:t>
            </w:r>
          </w:p>
        </w:tc>
      </w:tr>
    </w:tbl>
    <w:p w14:paraId="235ACF20" w14:textId="77777777" w:rsidR="00441E03" w:rsidRDefault="00441E03">
      <w:pPr>
        <w:spacing w:after="60"/>
      </w:pPr>
    </w:p>
    <w:p w14:paraId="6DC8C20F" w14:textId="77777777" w:rsidR="00441E03" w:rsidRDefault="00000000">
      <w:r>
        <w:br w:type="page"/>
      </w:r>
    </w:p>
    <w:tbl>
      <w:tblPr>
        <w:tblW w:w="0" w:type="auto"/>
        <w:tblLook w:val="04A0" w:firstRow="1" w:lastRow="0" w:firstColumn="1" w:lastColumn="0" w:noHBand="0" w:noVBand="1"/>
      </w:tblPr>
      <w:tblGrid>
        <w:gridCol w:w="9406"/>
      </w:tblGrid>
      <w:tr w:rsidR="00441E03" w14:paraId="332FC76A" w14:textId="77777777">
        <w:tc>
          <w:tcPr>
            <w:tcW w:w="9406" w:type="dxa"/>
            <w:shd w:val="clear" w:color="auto" w:fill="F5F5F5"/>
            <w:tcMar>
              <w:top w:w="120" w:type="dxa"/>
              <w:left w:w="130" w:type="dxa"/>
              <w:bottom w:w="120" w:type="dxa"/>
              <w:right w:w="130" w:type="dxa"/>
            </w:tcMar>
          </w:tcPr>
          <w:p w14:paraId="49C9A592" w14:textId="77777777" w:rsidR="00441E03" w:rsidRDefault="00441E03"/>
          <w:p w14:paraId="57E1B013" w14:textId="77777777" w:rsidR="00441E03" w:rsidRDefault="00000000">
            <w:r>
              <w:rPr>
                <w:rFonts w:ascii="Arial" w:eastAsia="Arial" w:hAnsi="Arial" w:cs="Arial"/>
                <w:b/>
                <w:color w:val="F47C20"/>
              </w:rPr>
              <w:t>DISCLAIMER</w:t>
            </w:r>
          </w:p>
          <w:p w14:paraId="082CA12C" w14:textId="77777777" w:rsidR="00441E03" w:rsidRDefault="00000000">
            <w:r>
              <w:rPr>
                <w:rFonts w:ascii="Arial" w:eastAsia="Arial" w:hAnsi="Arial" w:cs="Arial"/>
                <w:sz w:val="20"/>
              </w:rPr>
              <w:t>DISCLAIMER: This document is produced by Bradford VTS (www.bradfordvts.co.uk) for educational purposes only. It is intended to support GP training. Clinical decisions must always be based on individual patient assessment, current NICE/BNF guidelines, and local trust protocols. Bradford VTS accepts no liability for clinical decisions made on the basis of this material.</w:t>
            </w:r>
          </w:p>
        </w:tc>
      </w:tr>
    </w:tbl>
    <w:p w14:paraId="4B01EA59" w14:textId="77777777" w:rsidR="00441E03" w:rsidRDefault="00441E03">
      <w:pPr>
        <w:spacing w:after="60"/>
      </w:pPr>
    </w:p>
    <w:p w14:paraId="2388450E" w14:textId="77777777" w:rsidR="00441E03" w:rsidRDefault="00000000">
      <w:pPr>
        <w:jc w:val="center"/>
      </w:pPr>
      <w:r>
        <w:rPr>
          <w:rFonts w:ascii="Arial" w:eastAsia="Arial" w:hAnsi="Arial" w:cs="Arial"/>
          <w:color w:val="666666"/>
          <w:sz w:val="18"/>
        </w:rPr>
        <w:t>www.bradfordvts.co.uk  |  Bradford VTS  |  June 2026</w:t>
      </w:r>
    </w:p>
    <w:sectPr w:rsidR="00441E03"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EF47" w14:textId="77777777" w:rsidR="00534F1F" w:rsidRDefault="00534F1F">
      <w:pPr>
        <w:spacing w:after="0" w:line="240" w:lineRule="auto"/>
      </w:pPr>
      <w:r>
        <w:separator/>
      </w:r>
    </w:p>
  </w:endnote>
  <w:endnote w:type="continuationSeparator" w:id="0">
    <w:p w14:paraId="5532C611" w14:textId="77777777" w:rsidR="00534F1F" w:rsidRDefault="00534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EF2C" w14:textId="77777777" w:rsidR="00441E03" w:rsidRDefault="00000000">
    <w:pPr>
      <w:pStyle w:val="Footer"/>
      <w:jc w:val="center"/>
    </w:pPr>
    <w:r>
      <w:rPr>
        <w:rFonts w:ascii="Arial" w:eastAsia="Arial" w:hAnsi="Arial" w:cs="Arial"/>
        <w:color w:val="666666"/>
        <w:sz w:val="16"/>
      </w:rPr>
      <w:t>Bradford VTS  |  www.bradfordvts.co.uk  |  Created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A0E9" w14:textId="77777777" w:rsidR="00534F1F" w:rsidRDefault="00534F1F">
      <w:pPr>
        <w:spacing w:after="0" w:line="240" w:lineRule="auto"/>
      </w:pPr>
      <w:r>
        <w:separator/>
      </w:r>
    </w:p>
  </w:footnote>
  <w:footnote w:type="continuationSeparator" w:id="0">
    <w:p w14:paraId="776FBB2D" w14:textId="77777777" w:rsidR="00534F1F" w:rsidRDefault="00534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387058"/>
    <w:multiLevelType w:val="hybridMultilevel"/>
    <w:tmpl w:val="60D6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033067">
    <w:abstractNumId w:val="8"/>
  </w:num>
  <w:num w:numId="2" w16cid:durableId="959920391">
    <w:abstractNumId w:val="6"/>
  </w:num>
  <w:num w:numId="3" w16cid:durableId="1759907249">
    <w:abstractNumId w:val="5"/>
  </w:num>
  <w:num w:numId="4" w16cid:durableId="1838688791">
    <w:abstractNumId w:val="4"/>
  </w:num>
  <w:num w:numId="5" w16cid:durableId="529880522">
    <w:abstractNumId w:val="7"/>
  </w:num>
  <w:num w:numId="6" w16cid:durableId="1389379540">
    <w:abstractNumId w:val="3"/>
  </w:num>
  <w:num w:numId="7" w16cid:durableId="404839034">
    <w:abstractNumId w:val="2"/>
  </w:num>
  <w:num w:numId="8" w16cid:durableId="270668246">
    <w:abstractNumId w:val="1"/>
  </w:num>
  <w:num w:numId="9" w16cid:durableId="6637798">
    <w:abstractNumId w:val="0"/>
  </w:num>
  <w:num w:numId="10" w16cid:durableId="1732463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37D5"/>
    <w:rsid w:val="00441E03"/>
    <w:rsid w:val="004F357A"/>
    <w:rsid w:val="00534F1F"/>
    <w:rsid w:val="00AA1D8D"/>
    <w:rsid w:val="00AC7F8E"/>
    <w:rsid w:val="00B47730"/>
    <w:rsid w:val="00BF7040"/>
    <w:rsid w:val="00CB0664"/>
    <w:rsid w:val="00D13B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4E11B7"/>
  <w14:defaultImageDpi w14:val="300"/>
  <w15:docId w15:val="{63466270-B847-4EC1-8C96-5FE1EF27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5</cp:revision>
  <dcterms:created xsi:type="dcterms:W3CDTF">2013-12-23T23:15:00Z</dcterms:created>
  <dcterms:modified xsi:type="dcterms:W3CDTF">2026-07-01T13:51:00Z</dcterms:modified>
  <cp:category/>
</cp:coreProperties>
</file>