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66"/>
      </w:tblGrid>
      <w:tr w:rsidR="005852E7" w14:paraId="307760CE" w14:textId="77777777" w:rsidTr="004D1CF3">
        <w:trPr>
          <w:jc w:val="center"/>
        </w:trPr>
        <w:tc>
          <w:tcPr>
            <w:tcW w:w="9566" w:type="dxa"/>
            <w:shd w:val="clear" w:color="auto" w:fill="F47C20"/>
            <w:tcMar>
              <w:top w:w="150" w:type="dxa"/>
              <w:left w:w="160" w:type="dxa"/>
              <w:bottom w:w="150" w:type="dxa"/>
              <w:right w:w="160" w:type="dxa"/>
            </w:tcMar>
          </w:tcPr>
          <w:p w14:paraId="6D80AE54" w14:textId="16E5CF30" w:rsidR="005852E7" w:rsidRDefault="00000000" w:rsidP="000E1B0F">
            <w:pPr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 xml:space="preserve">BRADFORD VTS TEACHING </w:t>
            </w:r>
            <w:r w:rsidR="000E1B0F">
              <w:rPr>
                <w:rFonts w:ascii="Arial" w:eastAsia="Arial" w:hAnsi="Arial" w:cs="Arial"/>
                <w:color w:val="FFFFFF"/>
                <w:sz w:val="18"/>
              </w:rPr>
              <w:t>AIDS</w:t>
            </w:r>
          </w:p>
          <w:p w14:paraId="7CACAEE5" w14:textId="77777777" w:rsidR="005852E7" w:rsidRDefault="00000000" w:rsidP="000E1B0F">
            <w:pPr>
              <w:spacing w:before="12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36"/>
              </w:rPr>
              <w:t>The SR1 Form — A Guide for GPs</w:t>
            </w:r>
          </w:p>
          <w:p w14:paraId="07BE7411" w14:textId="77777777" w:rsidR="005852E7" w:rsidRDefault="00000000" w:rsidP="000E1B0F">
            <w:pPr>
              <w:jc w:val="center"/>
            </w:pPr>
            <w:r>
              <w:rPr>
                <w:rFonts w:ascii="Arial" w:eastAsia="Arial" w:hAnsi="Arial" w:cs="Arial"/>
                <w:i/>
                <w:color w:val="FFFFFF"/>
                <w:sz w:val="20"/>
              </w:rPr>
              <w:t>Fast-track benefits for patients with a terminal illness | June 2026</w:t>
            </w:r>
          </w:p>
        </w:tc>
      </w:tr>
    </w:tbl>
    <w:p w14:paraId="6EC99440" w14:textId="77777777" w:rsidR="005852E7" w:rsidRPr="004D1CF3" w:rsidRDefault="005852E7">
      <w:pPr>
        <w:spacing w:after="80"/>
        <w:rPr>
          <w:sz w:val="2"/>
          <w:szCs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86"/>
      </w:tblGrid>
      <w:tr w:rsidR="005852E7" w14:paraId="3AAC560F" w14:textId="77777777" w:rsidTr="004D1CF3">
        <w:tc>
          <w:tcPr>
            <w:tcW w:w="9486" w:type="dxa"/>
            <w:shd w:val="clear" w:color="auto" w:fill="FFF3E0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07ADBE3C" w14:textId="77777777" w:rsidR="005852E7" w:rsidRDefault="00000000">
            <w:r>
              <w:rPr>
                <w:rFonts w:ascii="Arial" w:eastAsia="Arial" w:hAnsi="Arial" w:cs="Arial"/>
                <w:b/>
                <w:color w:val="F47C20"/>
              </w:rPr>
              <w:t>IMPORTANT CORRECTION</w:t>
            </w:r>
          </w:p>
          <w:p w14:paraId="2F67C2E3" w14:textId="77777777" w:rsidR="005852E7" w:rsidRDefault="00000000">
            <w:r>
              <w:rPr>
                <w:rFonts w:ascii="Arial" w:eastAsia="Arial" w:hAnsi="Arial" w:cs="Arial"/>
                <w:sz w:val="20"/>
              </w:rPr>
              <w:t>The DS1500 form was REPLACED by the SR1 form in August 2021. All older resources referring to 'DS1500' should be read as 'SR1'. The SR1 does NOT require a 6-month prognosis.</w:t>
            </w:r>
          </w:p>
        </w:tc>
      </w:tr>
    </w:tbl>
    <w:p w14:paraId="006E3DE4" w14:textId="77777777" w:rsidR="005852E7" w:rsidRPr="004D1CF3" w:rsidRDefault="005852E7">
      <w:pPr>
        <w:spacing w:after="60"/>
        <w:rPr>
          <w:sz w:val="2"/>
          <w:szCs w:val="2"/>
        </w:rPr>
      </w:pPr>
    </w:p>
    <w:p w14:paraId="20490F66" w14:textId="77777777" w:rsidR="005852E7" w:rsidRDefault="00000000">
      <w:pPr>
        <w:pStyle w:val="Heading1"/>
        <w:spacing w:before="200" w:after="80"/>
      </w:pPr>
      <w:r>
        <w:rPr>
          <w:rFonts w:ascii="Arial" w:eastAsia="Arial" w:hAnsi="Arial" w:cs="Arial"/>
          <w:color w:val="F47C20"/>
          <w:sz w:val="26"/>
        </w:rPr>
        <w:t>What is the SR1 Form?</w:t>
      </w:r>
    </w:p>
    <w:p w14:paraId="2DE07F0B" w14:textId="77777777" w:rsidR="005852E7" w:rsidRDefault="00000000">
      <w:pPr>
        <w:spacing w:after="100"/>
      </w:pPr>
      <w:r>
        <w:rPr>
          <w:rFonts w:ascii="Arial" w:eastAsia="Arial" w:hAnsi="Arial" w:cs="Arial"/>
        </w:rPr>
        <w:t>The SR1 form enables patients with a progressive life-limiting illness to access certain disability benefits under Special Rules — more quickly and at higher rates. It replaced the DS1500 in August 2021. Criterion: the patient has a 'progressive disease and death can reasonably be expected as a result of their condition'. No specific prognosis timeframe required.</w:t>
      </w:r>
    </w:p>
    <w:p w14:paraId="187696D0" w14:textId="77777777" w:rsidR="005852E7" w:rsidRDefault="00000000">
      <w:pPr>
        <w:pStyle w:val="Heading1"/>
        <w:spacing w:before="200" w:after="80"/>
      </w:pPr>
      <w:r>
        <w:rPr>
          <w:rFonts w:ascii="Arial" w:eastAsia="Arial" w:hAnsi="Arial" w:cs="Arial"/>
          <w:color w:val="F47C20"/>
          <w:sz w:val="26"/>
        </w:rPr>
        <w:t>Benefits Unlocked by the SR1</w:t>
      </w:r>
    </w:p>
    <w:p w14:paraId="1884622C" w14:textId="77777777" w:rsidR="005852E7" w:rsidRDefault="00000000">
      <w:pPr>
        <w:pStyle w:val="ListBullet"/>
        <w:spacing w:after="40"/>
      </w:pPr>
      <w:r>
        <w:rPr>
          <w:rFonts w:ascii="Arial" w:eastAsia="Arial" w:hAnsi="Arial" w:cs="Arial"/>
        </w:rPr>
        <w:t>Personal Independence Payment (PIP) — Special Rules for End of Life (SREL)</w:t>
      </w:r>
    </w:p>
    <w:p w14:paraId="29B70173" w14:textId="77777777" w:rsidR="005852E7" w:rsidRDefault="00000000">
      <w:pPr>
        <w:pStyle w:val="ListBullet"/>
        <w:spacing w:after="40"/>
      </w:pPr>
      <w:r>
        <w:rPr>
          <w:rFonts w:ascii="Arial" w:eastAsia="Arial" w:hAnsi="Arial" w:cs="Arial"/>
        </w:rPr>
        <w:t>Attendance Allowance (AA) — highest rate, without qualifying period</w:t>
      </w:r>
    </w:p>
    <w:p w14:paraId="6CBF513C" w14:textId="77777777" w:rsidR="005852E7" w:rsidRDefault="00000000">
      <w:pPr>
        <w:pStyle w:val="ListBullet"/>
        <w:spacing w:after="40"/>
      </w:pPr>
      <w:r>
        <w:rPr>
          <w:rFonts w:ascii="Arial" w:eastAsia="Arial" w:hAnsi="Arial" w:cs="Arial"/>
        </w:rPr>
        <w:t>Universal Credit — limited capability for work element</w:t>
      </w:r>
    </w:p>
    <w:p w14:paraId="029C52B0" w14:textId="77777777" w:rsidR="005852E7" w:rsidRDefault="00000000">
      <w:pPr>
        <w:pStyle w:val="ListBullet"/>
        <w:spacing w:after="40"/>
      </w:pPr>
      <w:r>
        <w:rPr>
          <w:rFonts w:ascii="Arial" w:eastAsia="Arial" w:hAnsi="Arial" w:cs="Arial"/>
        </w:rPr>
        <w:t>Employment and Support Allowance (ESA) — higher rate after 28 weeks (not 52)</w:t>
      </w:r>
    </w:p>
    <w:p w14:paraId="421CEAC0" w14:textId="77777777" w:rsidR="005852E7" w:rsidRDefault="00000000">
      <w:pPr>
        <w:pStyle w:val="ListBullet"/>
        <w:spacing w:after="40"/>
      </w:pPr>
      <w:r>
        <w:rPr>
          <w:rFonts w:ascii="Arial" w:eastAsia="Arial" w:hAnsi="Arial" w:cs="Arial"/>
        </w:rPr>
        <w:t>Disability Living Allowance (DLA) — for those already receiving it</w:t>
      </w:r>
    </w:p>
    <w:p w14:paraId="6A66A629" w14:textId="77777777" w:rsidR="005852E7" w:rsidRDefault="00000000">
      <w:pPr>
        <w:pStyle w:val="Heading1"/>
        <w:spacing w:before="200" w:after="80"/>
      </w:pPr>
      <w:r>
        <w:rPr>
          <w:rFonts w:ascii="Arial" w:eastAsia="Arial" w:hAnsi="Arial" w:cs="Arial"/>
          <w:color w:val="F47C20"/>
          <w:sz w:val="26"/>
        </w:rPr>
        <w:t>Information Required on the SR1</w:t>
      </w:r>
    </w:p>
    <w:p w14:paraId="7F015EA3" w14:textId="77777777" w:rsidR="005852E7" w:rsidRDefault="00000000">
      <w:pPr>
        <w:pStyle w:val="ListBullet"/>
        <w:spacing w:after="40"/>
      </w:pPr>
      <w:r>
        <w:rPr>
          <w:rFonts w:ascii="Arial" w:eastAsia="Arial" w:hAnsi="Arial" w:cs="Arial"/>
        </w:rPr>
        <w:t>Patient's specific diagnosis</w:t>
      </w:r>
    </w:p>
    <w:p w14:paraId="72989B0F" w14:textId="77777777" w:rsidR="005852E7" w:rsidRDefault="00000000">
      <w:pPr>
        <w:pStyle w:val="ListBullet"/>
        <w:spacing w:after="40"/>
      </w:pPr>
      <w:r>
        <w:rPr>
          <w:rFonts w:ascii="Arial" w:eastAsia="Arial" w:hAnsi="Arial" w:cs="Arial"/>
        </w:rPr>
        <w:t>Whether the patient is aware of their diagnosis (if not: name of representative)</w:t>
      </w:r>
    </w:p>
    <w:p w14:paraId="6381746D" w14:textId="77777777" w:rsidR="005852E7" w:rsidRDefault="00000000">
      <w:pPr>
        <w:pStyle w:val="ListBullet"/>
        <w:spacing w:after="40"/>
      </w:pPr>
      <w:r>
        <w:rPr>
          <w:rFonts w:ascii="Arial" w:eastAsia="Arial" w:hAnsi="Arial" w:cs="Arial"/>
        </w:rPr>
        <w:t>Relevant current and proposed treatment</w:t>
      </w:r>
    </w:p>
    <w:p w14:paraId="785C5BAD" w14:textId="77777777" w:rsidR="005852E7" w:rsidRDefault="00000000">
      <w:pPr>
        <w:pStyle w:val="ListBullet"/>
        <w:spacing w:after="40"/>
      </w:pPr>
      <w:r>
        <w:rPr>
          <w:rFonts w:ascii="Arial" w:eastAsia="Arial" w:hAnsi="Arial" w:cs="Arial"/>
        </w:rPr>
        <w:t>Clinical findings supporting the diagnosis</w:t>
      </w:r>
    </w:p>
    <w:p w14:paraId="0A35F323" w14:textId="77777777" w:rsidR="005852E7" w:rsidRDefault="00000000">
      <w:pPr>
        <w:spacing w:after="100"/>
      </w:pPr>
      <w:r>
        <w:rPr>
          <w:rFonts w:ascii="Arial" w:eastAsia="Arial" w:hAnsi="Arial" w:cs="Arial"/>
        </w:rPr>
        <w:t>The SR1 is NOT a claim form. The patient (or representative) must also submit the relevant benefit claim form with the 'Special Rules' box ticked.</w:t>
      </w:r>
    </w:p>
    <w:p w14:paraId="52BD3FC9" w14:textId="77777777" w:rsidR="005852E7" w:rsidRDefault="00000000">
      <w:pPr>
        <w:pStyle w:val="Heading1"/>
        <w:spacing w:before="200" w:after="80"/>
      </w:pPr>
      <w:r>
        <w:rPr>
          <w:rFonts w:ascii="Arial" w:eastAsia="Arial" w:hAnsi="Arial" w:cs="Arial"/>
          <w:color w:val="F47C20"/>
          <w:sz w:val="26"/>
        </w:rPr>
        <w:t>NHS Continuing Healthcare — Fast Track</w:t>
      </w:r>
    </w:p>
    <w:p w14:paraId="4144D318" w14:textId="77777777" w:rsidR="005852E7" w:rsidRDefault="00000000">
      <w:pPr>
        <w:spacing w:after="100"/>
      </w:pPr>
      <w:r>
        <w:rPr>
          <w:rFonts w:ascii="Arial" w:eastAsia="Arial" w:hAnsi="Arial" w:cs="Arial"/>
        </w:rPr>
        <w:t>Patients with rapidly deteriorating terminal conditions can be fast-tracked for NHS Continuing Healthcare (free). The GP or consultant completes a Priority Patient form. NHS CHC can be delivered at home or in a care home. Time limits are not strictly imposed for end-of-life cases.</w:t>
      </w:r>
    </w:p>
    <w:p w14:paraId="086307BB" w14:textId="77777777" w:rsidR="005852E7" w:rsidRDefault="00000000">
      <w:pPr>
        <w:pStyle w:val="Heading1"/>
        <w:spacing w:before="200" w:after="80"/>
      </w:pPr>
      <w:r>
        <w:rPr>
          <w:rFonts w:ascii="Arial" w:eastAsia="Arial" w:hAnsi="Arial" w:cs="Arial"/>
          <w:color w:val="F47C20"/>
          <w:sz w:val="26"/>
        </w:rPr>
        <w:t>Key Clinical Tips</w:t>
      </w:r>
    </w:p>
    <w:p w14:paraId="5A2C3366" w14:textId="77777777" w:rsidR="005852E7" w:rsidRDefault="00000000">
      <w:pPr>
        <w:pStyle w:val="ListBullet"/>
        <w:spacing w:after="40"/>
      </w:pPr>
      <w:r>
        <w:rPr>
          <w:rFonts w:ascii="Arial" w:eastAsia="Arial" w:hAnsi="Arial" w:cs="Arial"/>
        </w:rPr>
        <w:t>Issue the SR1 early — benefits can take several weeks to process</w:t>
      </w:r>
    </w:p>
    <w:p w14:paraId="6CBCBF2C" w14:textId="77777777" w:rsidR="005852E7" w:rsidRDefault="00000000">
      <w:pPr>
        <w:pStyle w:val="ListBullet"/>
        <w:spacing w:after="40"/>
      </w:pPr>
      <w:r>
        <w:rPr>
          <w:rFonts w:ascii="Arial" w:eastAsia="Arial" w:hAnsi="Arial" w:cs="Arial"/>
        </w:rPr>
        <w:t>SR1 applies to non-cancer diagnoses too (heart failure, COPD, dementia, MND etc.)</w:t>
      </w:r>
    </w:p>
    <w:p w14:paraId="1FFEE323" w14:textId="77777777" w:rsidR="005852E7" w:rsidRDefault="00000000">
      <w:pPr>
        <w:pStyle w:val="ListBullet"/>
        <w:spacing w:after="40"/>
      </w:pPr>
      <w:r>
        <w:rPr>
          <w:rFonts w:ascii="Arial" w:eastAsia="Arial" w:hAnsi="Arial" w:cs="Arial"/>
        </w:rPr>
        <w:t>No specific prognosis timeframe required — use clinical judgement</w:t>
      </w:r>
    </w:p>
    <w:p w14:paraId="105C7BC7" w14:textId="77777777" w:rsidR="005852E7" w:rsidRDefault="00000000">
      <w:pPr>
        <w:pStyle w:val="ListBullet"/>
        <w:spacing w:after="40"/>
      </w:pPr>
      <w:r>
        <w:rPr>
          <w:rFonts w:ascii="Arial" w:eastAsia="Arial" w:hAnsi="Arial" w:cs="Arial"/>
        </w:rPr>
        <w:t>Always consider Fast Track NHS Continuing Healthcare when completing the SR1</w:t>
      </w:r>
    </w:p>
    <w:p w14:paraId="288195C2" w14:textId="6777245E" w:rsidR="005852E7" w:rsidRDefault="00000000" w:rsidP="004D1CF3">
      <w:pPr>
        <w:pStyle w:val="ListBullet"/>
        <w:spacing w:after="40"/>
      </w:pPr>
      <w:r w:rsidRPr="004D1CF3">
        <w:rPr>
          <w:rFonts w:ascii="Arial" w:eastAsia="Arial" w:hAnsi="Arial" w:cs="Arial"/>
        </w:rPr>
        <w:t>Document SR1 completion in clinical records</w:t>
      </w:r>
    </w:p>
    <w:sectPr w:rsidR="005852E7" w:rsidSect="00034616">
      <w:footerReference w:type="default" r:id="rId8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BBEDF" w14:textId="77777777" w:rsidR="00A57947" w:rsidRDefault="00A57947">
      <w:pPr>
        <w:spacing w:after="0" w:line="240" w:lineRule="auto"/>
      </w:pPr>
      <w:r>
        <w:separator/>
      </w:r>
    </w:p>
  </w:endnote>
  <w:endnote w:type="continuationSeparator" w:id="0">
    <w:p w14:paraId="3206184A" w14:textId="77777777" w:rsidR="00A57947" w:rsidRDefault="00A5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F2B3F" w14:textId="77777777" w:rsidR="005852E7" w:rsidRDefault="00000000">
    <w:pPr>
      <w:pStyle w:val="Footer"/>
      <w:jc w:val="center"/>
    </w:pPr>
    <w:r>
      <w:rPr>
        <w:rFonts w:ascii="Arial" w:eastAsia="Arial" w:hAnsi="Arial" w:cs="Arial"/>
        <w:color w:val="666666"/>
        <w:sz w:val="16"/>
      </w:rPr>
      <w:t xml:space="preserve">Bradford </w:t>
    </w:r>
    <w:proofErr w:type="gramStart"/>
    <w:r>
      <w:rPr>
        <w:rFonts w:ascii="Arial" w:eastAsia="Arial" w:hAnsi="Arial" w:cs="Arial"/>
        <w:color w:val="666666"/>
        <w:sz w:val="16"/>
      </w:rPr>
      <w:t>VTS  |</w:t>
    </w:r>
    <w:proofErr w:type="gramEnd"/>
    <w:r>
      <w:rPr>
        <w:rFonts w:ascii="Arial" w:eastAsia="Arial" w:hAnsi="Arial" w:cs="Arial"/>
        <w:color w:val="666666"/>
        <w:sz w:val="16"/>
      </w:rPr>
      <w:t xml:space="preserve">  </w:t>
    </w:r>
    <w:proofErr w:type="gramStart"/>
    <w:r>
      <w:rPr>
        <w:rFonts w:ascii="Arial" w:eastAsia="Arial" w:hAnsi="Arial" w:cs="Arial"/>
        <w:color w:val="666666"/>
        <w:sz w:val="16"/>
      </w:rPr>
      <w:t>www.bradfordvts.co.uk  |</w:t>
    </w:r>
    <w:proofErr w:type="gramEnd"/>
    <w:r>
      <w:rPr>
        <w:rFonts w:ascii="Arial" w:eastAsia="Arial" w:hAnsi="Arial" w:cs="Arial"/>
        <w:color w:val="666666"/>
        <w:sz w:val="16"/>
      </w:rPr>
      <w:t xml:space="preserve">  Created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B36D9" w14:textId="77777777" w:rsidR="00A57947" w:rsidRDefault="00A57947">
      <w:pPr>
        <w:spacing w:after="0" w:line="240" w:lineRule="auto"/>
      </w:pPr>
      <w:r>
        <w:separator/>
      </w:r>
    </w:p>
  </w:footnote>
  <w:footnote w:type="continuationSeparator" w:id="0">
    <w:p w14:paraId="5721030C" w14:textId="77777777" w:rsidR="00A57947" w:rsidRDefault="00A57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8427965">
    <w:abstractNumId w:val="8"/>
  </w:num>
  <w:num w:numId="2" w16cid:durableId="49773583">
    <w:abstractNumId w:val="6"/>
  </w:num>
  <w:num w:numId="3" w16cid:durableId="1932738699">
    <w:abstractNumId w:val="5"/>
  </w:num>
  <w:num w:numId="4" w16cid:durableId="1243416473">
    <w:abstractNumId w:val="4"/>
  </w:num>
  <w:num w:numId="5" w16cid:durableId="15694180">
    <w:abstractNumId w:val="7"/>
  </w:num>
  <w:num w:numId="6" w16cid:durableId="906914973">
    <w:abstractNumId w:val="3"/>
  </w:num>
  <w:num w:numId="7" w16cid:durableId="515005315">
    <w:abstractNumId w:val="2"/>
  </w:num>
  <w:num w:numId="8" w16cid:durableId="1213541039">
    <w:abstractNumId w:val="1"/>
  </w:num>
  <w:num w:numId="9" w16cid:durableId="172216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1B0F"/>
    <w:rsid w:val="0015074B"/>
    <w:rsid w:val="0029512F"/>
    <w:rsid w:val="0029639D"/>
    <w:rsid w:val="00326F90"/>
    <w:rsid w:val="004D1CF3"/>
    <w:rsid w:val="005852E7"/>
    <w:rsid w:val="0085619A"/>
    <w:rsid w:val="00A57947"/>
    <w:rsid w:val="00AA1D8D"/>
    <w:rsid w:val="00AC56F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912F04"/>
  <w14:defaultImageDpi w14:val="300"/>
  <w15:docId w15:val="{A39B81CC-CB13-477F-95F3-730C0819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1812</Characters>
  <Application>Microsoft Office Word</Application>
  <DocSecurity>0</DocSecurity>
  <Lines>37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Ramesh Mehay</cp:lastModifiedBy>
  <cp:revision>5</cp:revision>
  <dcterms:created xsi:type="dcterms:W3CDTF">2013-12-23T23:15:00Z</dcterms:created>
  <dcterms:modified xsi:type="dcterms:W3CDTF">2026-07-01T13:54:00Z</dcterms:modified>
  <cp:category/>
</cp:coreProperties>
</file>