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941B63" w14:paraId="13F29D22" w14:textId="77777777">
        <w:tblPrEx>
          <w:tblCellMar>
            <w:top w:w="0" w:type="dxa"/>
            <w:bottom w:w="0" w:type="dxa"/>
          </w:tblCellMar>
        </w:tblPrEx>
        <w:tc>
          <w:tcPr>
            <w:tcW w:w="9746" w:type="dxa"/>
            <w:shd w:val="clear" w:color="auto" w:fill="E2711D"/>
            <w:tcMar>
              <w:top w:w="160" w:type="dxa"/>
              <w:left w:w="220" w:type="dxa"/>
              <w:bottom w:w="160" w:type="dxa"/>
              <w:right w:w="220" w:type="dxa"/>
            </w:tcMar>
          </w:tcPr>
          <w:p w14:paraId="0E4BFB41" w14:textId="77777777" w:rsidR="00941B63" w:rsidRDefault="00000000">
            <w:r>
              <w:rPr>
                <w:b/>
                <w:bCs/>
                <w:color w:val="FFFFFF"/>
                <w:sz w:val="30"/>
                <w:szCs w:val="30"/>
              </w:rPr>
              <w:t>BRADFORD VTS TEACHING AIDS</w:t>
            </w:r>
          </w:p>
        </w:tc>
      </w:tr>
    </w:tbl>
    <w:p w14:paraId="5D82D922" w14:textId="77777777" w:rsidR="00941B63" w:rsidRDefault="00000000">
      <w:pPr>
        <w:spacing w:before="140"/>
      </w:pPr>
      <w:r>
        <w:rPr>
          <w:b/>
          <w:bCs/>
          <w:color w:val="6B7681"/>
          <w:sz w:val="20"/>
          <w:szCs w:val="20"/>
        </w:rPr>
        <w:t>Date: June 2026</w:t>
      </w:r>
    </w:p>
    <w:p w14:paraId="7FD0E33F" w14:textId="77777777" w:rsidR="00941B63" w:rsidRDefault="00000000">
      <w:pPr>
        <w:spacing w:before="140" w:after="40"/>
      </w:pPr>
      <w:r>
        <w:rPr>
          <w:b/>
          <w:bCs/>
          <w:color w:val="1F2933"/>
          <w:sz w:val="42"/>
          <w:szCs w:val="42"/>
        </w:rPr>
        <w:t>Switching Oral Contraception</w:t>
      </w:r>
    </w:p>
    <w:p w14:paraId="0BAAF402" w14:textId="77777777" w:rsidR="00941B63" w:rsidRDefault="00000000">
      <w:pPr>
        <w:spacing w:after="40"/>
      </w:pPr>
      <w:r>
        <w:rPr>
          <w:b/>
          <w:bCs/>
          <w:color w:val="E2711D"/>
          <w:sz w:val="28"/>
          <w:szCs w:val="28"/>
        </w:rPr>
        <w:t>What to give, and when a problem arises</w:t>
      </w:r>
    </w:p>
    <w:p w14:paraId="385F979D" w14:textId="77777777" w:rsidR="00941B63" w:rsidRDefault="00000000">
      <w:pPr>
        <w:pBdr>
          <w:bottom w:val="single" w:sz="10" w:space="6" w:color="D9E0E6"/>
        </w:pBdr>
        <w:spacing w:after="160"/>
      </w:pPr>
      <w:r>
        <w:rPr>
          <w:i/>
          <w:iCs/>
          <w:color w:val="6B7681"/>
        </w:rPr>
        <w:t>A practical, up-to-date guide for GP trainees and international medical graduates in UK primary care.</w:t>
      </w:r>
    </w:p>
    <w:p w14:paraId="4648464A" w14:textId="77777777" w:rsidR="00941B63" w:rsidRDefault="00000000">
      <w:pPr>
        <w:pStyle w:val="Heading1"/>
        <w:keepNext/>
        <w:pBdr>
          <w:bottom w:val="single" w:sz="14" w:space="4" w:color="E2711D"/>
        </w:pBdr>
      </w:pPr>
      <w:r>
        <w:t>1. The big picture — two families of pill</w:t>
      </w:r>
    </w:p>
    <w:p w14:paraId="5DBD6012" w14:textId="77777777" w:rsidR="00941B63" w:rsidRDefault="00000000">
      <w:pPr>
        <w:spacing w:after="120" w:line="276" w:lineRule="auto"/>
      </w:pPr>
      <w:r>
        <w:t>Every oral contraceptive belongs to one of two families. Knowing the family tells you how it works, what can go wrong, and what to switch to.</w:t>
      </w:r>
    </w:p>
    <w:tbl>
      <w:tblPr>
        <w:tblW w:w="9746" w:type="dxa"/>
        <w:tblBorders>
          <w:top w:val="single" w:sz="2" w:space="0" w:color="D9E0E6"/>
          <w:left w:val="single" w:sz="2" w:space="0" w:color="D9E0E6"/>
          <w:bottom w:val="single" w:sz="2" w:space="0" w:color="D9E0E6"/>
          <w:right w:val="single" w:sz="2" w:space="0" w:color="D9E0E6"/>
          <w:insideH w:val="single" w:sz="2" w:space="0" w:color="D9E0E6"/>
          <w:insideV w:val="single" w:sz="2" w:space="0" w:color="D9E0E6"/>
        </w:tblBorders>
        <w:tblCellMar>
          <w:left w:w="10" w:type="dxa"/>
          <w:right w:w="10" w:type="dxa"/>
        </w:tblCellMar>
        <w:tblLook w:val="04A0" w:firstRow="1" w:lastRow="0" w:firstColumn="1" w:lastColumn="0" w:noHBand="0" w:noVBand="1"/>
      </w:tblPr>
      <w:tblGrid>
        <w:gridCol w:w="4873"/>
        <w:gridCol w:w="4873"/>
      </w:tblGrid>
      <w:tr w:rsidR="00941B63" w14:paraId="16B940DE" w14:textId="77777777">
        <w:tblPrEx>
          <w:tblCellMar>
            <w:top w:w="0" w:type="dxa"/>
            <w:bottom w:w="0" w:type="dxa"/>
          </w:tblCellMar>
        </w:tblPrEx>
        <w:trPr>
          <w:tblHeader/>
        </w:trPr>
        <w:tc>
          <w:tcPr>
            <w:tcW w:w="4873" w:type="dxa"/>
            <w:shd w:val="clear" w:color="auto" w:fill="0E5C6B"/>
            <w:tcMar>
              <w:top w:w="64" w:type="dxa"/>
              <w:left w:w="150" w:type="dxa"/>
              <w:bottom w:w="64" w:type="dxa"/>
              <w:right w:w="150" w:type="dxa"/>
            </w:tcMar>
            <w:vAlign w:val="center"/>
          </w:tcPr>
          <w:p w14:paraId="451B6E8D" w14:textId="77777777" w:rsidR="00941B63" w:rsidRDefault="00000000">
            <w:r>
              <w:rPr>
                <w:b/>
                <w:bCs/>
                <w:color w:val="FFFFFF"/>
                <w:sz w:val="20"/>
                <w:szCs w:val="20"/>
              </w:rPr>
              <w:t>Combined pill (COC)</w:t>
            </w:r>
          </w:p>
        </w:tc>
        <w:tc>
          <w:tcPr>
            <w:tcW w:w="4873" w:type="dxa"/>
            <w:shd w:val="clear" w:color="auto" w:fill="0E5C6B"/>
            <w:tcMar>
              <w:top w:w="64" w:type="dxa"/>
              <w:left w:w="150" w:type="dxa"/>
              <w:bottom w:w="64" w:type="dxa"/>
              <w:right w:w="150" w:type="dxa"/>
            </w:tcMar>
            <w:vAlign w:val="center"/>
          </w:tcPr>
          <w:p w14:paraId="486CF329" w14:textId="77777777" w:rsidR="00941B63" w:rsidRDefault="00000000">
            <w:r>
              <w:rPr>
                <w:b/>
                <w:bCs/>
                <w:color w:val="FFFFFF"/>
                <w:sz w:val="20"/>
                <w:szCs w:val="20"/>
              </w:rPr>
              <w:t>Mini-pill — progestogen-only (POP)</w:t>
            </w:r>
          </w:p>
        </w:tc>
      </w:tr>
      <w:tr w:rsidR="00941B63" w14:paraId="35E89749" w14:textId="77777777">
        <w:tblPrEx>
          <w:tblCellMar>
            <w:top w:w="0" w:type="dxa"/>
            <w:bottom w:w="0" w:type="dxa"/>
          </w:tblCellMar>
        </w:tblPrEx>
        <w:tc>
          <w:tcPr>
            <w:tcW w:w="4873" w:type="dxa"/>
            <w:tcMar>
              <w:top w:w="64" w:type="dxa"/>
              <w:left w:w="150" w:type="dxa"/>
              <w:bottom w:w="64" w:type="dxa"/>
              <w:right w:w="150" w:type="dxa"/>
            </w:tcMar>
            <w:vAlign w:val="center"/>
          </w:tcPr>
          <w:p w14:paraId="5BFA3760" w14:textId="77777777" w:rsidR="00941B63" w:rsidRDefault="00000000">
            <w:r>
              <w:rPr>
                <w:b/>
                <w:bCs/>
                <w:color w:val="1F2933"/>
                <w:sz w:val="20"/>
                <w:szCs w:val="20"/>
              </w:rPr>
              <w:t>Oestrogen + progestogen</w:t>
            </w:r>
          </w:p>
          <w:p w14:paraId="292B3698" w14:textId="77777777" w:rsidR="00941B63" w:rsidRDefault="00000000">
            <w:r>
              <w:rPr>
                <w:sz w:val="20"/>
                <w:szCs w:val="20"/>
              </w:rPr>
              <w:t>Stops ovulation reliably; controls the cycle.</w:t>
            </w:r>
          </w:p>
        </w:tc>
        <w:tc>
          <w:tcPr>
            <w:tcW w:w="4873" w:type="dxa"/>
            <w:tcMar>
              <w:top w:w="64" w:type="dxa"/>
              <w:left w:w="150" w:type="dxa"/>
              <w:bottom w:w="64" w:type="dxa"/>
              <w:right w:w="150" w:type="dxa"/>
            </w:tcMar>
            <w:vAlign w:val="center"/>
          </w:tcPr>
          <w:p w14:paraId="79DA1B17" w14:textId="77777777" w:rsidR="00941B63" w:rsidRDefault="00000000">
            <w:r>
              <w:rPr>
                <w:b/>
                <w:bCs/>
                <w:color w:val="1F2933"/>
                <w:sz w:val="20"/>
                <w:szCs w:val="20"/>
              </w:rPr>
              <w:t>Progestogen only</w:t>
            </w:r>
          </w:p>
          <w:p w14:paraId="3F4E3233" w14:textId="77777777" w:rsidR="00941B63" w:rsidRDefault="00000000">
            <w:r>
              <w:rPr>
                <w:sz w:val="20"/>
                <w:szCs w:val="20"/>
              </w:rPr>
              <w:t>Thickens cervical mucus; newer types also stop ovulation.</w:t>
            </w:r>
          </w:p>
        </w:tc>
      </w:tr>
      <w:tr w:rsidR="00941B63" w14:paraId="7435455B" w14:textId="77777777">
        <w:tblPrEx>
          <w:tblCellMar>
            <w:top w:w="0" w:type="dxa"/>
            <w:bottom w:w="0" w:type="dxa"/>
          </w:tblCellMar>
        </w:tblPrEx>
        <w:tc>
          <w:tcPr>
            <w:tcW w:w="4873" w:type="dxa"/>
            <w:shd w:val="clear" w:color="auto" w:fill="F7FAFB"/>
            <w:tcMar>
              <w:top w:w="64" w:type="dxa"/>
              <w:left w:w="150" w:type="dxa"/>
              <w:bottom w:w="64" w:type="dxa"/>
              <w:right w:w="150" w:type="dxa"/>
            </w:tcMar>
            <w:vAlign w:val="center"/>
          </w:tcPr>
          <w:p w14:paraId="37008D4F" w14:textId="77777777" w:rsidR="00941B63" w:rsidRDefault="00000000">
            <w:r>
              <w:rPr>
                <w:sz w:val="20"/>
                <w:szCs w:val="20"/>
              </w:rPr>
              <w:t>Carries a small blood-clot (VTE) risk.</w:t>
            </w:r>
          </w:p>
          <w:p w14:paraId="2B39D59C" w14:textId="77777777" w:rsidR="00941B63" w:rsidRDefault="00000000">
            <w:r>
              <w:rPr>
                <w:sz w:val="20"/>
                <w:szCs w:val="20"/>
              </w:rPr>
              <w:t>Not for those who must avoid oestrogen.</w:t>
            </w:r>
          </w:p>
        </w:tc>
        <w:tc>
          <w:tcPr>
            <w:tcW w:w="4873" w:type="dxa"/>
            <w:shd w:val="clear" w:color="auto" w:fill="F7FAFB"/>
            <w:tcMar>
              <w:top w:w="64" w:type="dxa"/>
              <w:left w:w="150" w:type="dxa"/>
              <w:bottom w:w="64" w:type="dxa"/>
              <w:right w:w="150" w:type="dxa"/>
            </w:tcMar>
            <w:vAlign w:val="center"/>
          </w:tcPr>
          <w:p w14:paraId="64C48734" w14:textId="77777777" w:rsidR="00941B63" w:rsidRDefault="00000000">
            <w:r>
              <w:rPr>
                <w:sz w:val="20"/>
                <w:szCs w:val="20"/>
              </w:rPr>
              <w:t>No extra clot risk.</w:t>
            </w:r>
          </w:p>
          <w:p w14:paraId="6283C54F" w14:textId="77777777" w:rsidR="00941B63" w:rsidRDefault="00000000">
            <w:r>
              <w:rPr>
                <w:sz w:val="20"/>
                <w:szCs w:val="20"/>
              </w:rPr>
              <w:t>Safe in breastfeeding, smokers over 35, migraine with aura, higher BMI.</w:t>
            </w:r>
          </w:p>
        </w:tc>
      </w:tr>
      <w:tr w:rsidR="00941B63" w14:paraId="14429E32" w14:textId="77777777">
        <w:tblPrEx>
          <w:tblCellMar>
            <w:top w:w="0" w:type="dxa"/>
            <w:bottom w:w="0" w:type="dxa"/>
          </w:tblCellMar>
        </w:tblPrEx>
        <w:tc>
          <w:tcPr>
            <w:tcW w:w="4873" w:type="dxa"/>
            <w:tcMar>
              <w:top w:w="64" w:type="dxa"/>
              <w:left w:w="150" w:type="dxa"/>
              <w:bottom w:w="64" w:type="dxa"/>
              <w:right w:w="150" w:type="dxa"/>
            </w:tcMar>
            <w:vAlign w:val="center"/>
          </w:tcPr>
          <w:p w14:paraId="3AB2B636" w14:textId="77777777" w:rsidR="00941B63" w:rsidRDefault="00000000">
            <w:r>
              <w:rPr>
                <w:b/>
                <w:bCs/>
                <w:color w:val="1E5E37"/>
                <w:sz w:val="20"/>
                <w:szCs w:val="20"/>
              </w:rPr>
              <w:t>First-line: a lower-clot-risk pill</w:t>
            </w:r>
          </w:p>
          <w:p w14:paraId="7504FCB9" w14:textId="77777777" w:rsidR="00941B63" w:rsidRPr="00A06BED" w:rsidRDefault="00000000">
            <w:pPr>
              <w:rPr>
                <w:lang w:val="it-IT"/>
              </w:rPr>
            </w:pPr>
            <w:r w:rsidRPr="00A06BED">
              <w:rPr>
                <w:sz w:val="20"/>
                <w:szCs w:val="20"/>
                <w:lang w:val="it-IT"/>
              </w:rPr>
              <w:t xml:space="preserve">e.g. </w:t>
            </w:r>
            <w:proofErr w:type="spellStart"/>
            <w:r w:rsidRPr="00A06BED">
              <w:rPr>
                <w:sz w:val="20"/>
                <w:szCs w:val="20"/>
                <w:lang w:val="it-IT"/>
              </w:rPr>
              <w:t>Microgynon</w:t>
            </w:r>
            <w:proofErr w:type="spellEnd"/>
            <w:r w:rsidRPr="00A06BED">
              <w:rPr>
                <w:sz w:val="20"/>
                <w:szCs w:val="20"/>
                <w:lang w:val="it-IT"/>
              </w:rPr>
              <w:t xml:space="preserve"> 30, </w:t>
            </w:r>
            <w:proofErr w:type="spellStart"/>
            <w:r w:rsidRPr="00A06BED">
              <w:rPr>
                <w:sz w:val="20"/>
                <w:szCs w:val="20"/>
                <w:lang w:val="it-IT"/>
              </w:rPr>
              <w:t>Rigevidon</w:t>
            </w:r>
            <w:proofErr w:type="spellEnd"/>
            <w:r w:rsidRPr="00A06BED">
              <w:rPr>
                <w:sz w:val="20"/>
                <w:szCs w:val="20"/>
                <w:lang w:val="it-IT"/>
              </w:rPr>
              <w:t xml:space="preserve">, </w:t>
            </w:r>
            <w:proofErr w:type="spellStart"/>
            <w:r w:rsidRPr="00A06BED">
              <w:rPr>
                <w:sz w:val="20"/>
                <w:szCs w:val="20"/>
                <w:lang w:val="it-IT"/>
              </w:rPr>
              <w:t>Levest</w:t>
            </w:r>
            <w:proofErr w:type="spellEnd"/>
            <w:r w:rsidRPr="00A06BED">
              <w:rPr>
                <w:sz w:val="20"/>
                <w:szCs w:val="20"/>
                <w:lang w:val="it-IT"/>
              </w:rPr>
              <w:t xml:space="preserve">, </w:t>
            </w:r>
            <w:proofErr w:type="spellStart"/>
            <w:r w:rsidRPr="00A06BED">
              <w:rPr>
                <w:sz w:val="20"/>
                <w:szCs w:val="20"/>
                <w:lang w:val="it-IT"/>
              </w:rPr>
              <w:t>Ovranette</w:t>
            </w:r>
            <w:proofErr w:type="spellEnd"/>
            <w:r w:rsidRPr="00A06BED">
              <w:rPr>
                <w:sz w:val="20"/>
                <w:szCs w:val="20"/>
                <w:lang w:val="it-IT"/>
              </w:rPr>
              <w:t>.</w:t>
            </w:r>
          </w:p>
        </w:tc>
        <w:tc>
          <w:tcPr>
            <w:tcW w:w="4873" w:type="dxa"/>
            <w:tcMar>
              <w:top w:w="64" w:type="dxa"/>
              <w:left w:w="150" w:type="dxa"/>
              <w:bottom w:w="64" w:type="dxa"/>
              <w:right w:w="150" w:type="dxa"/>
            </w:tcMar>
            <w:vAlign w:val="center"/>
          </w:tcPr>
          <w:p w14:paraId="5B602D82" w14:textId="77777777" w:rsidR="00941B63" w:rsidRDefault="00000000">
            <w:r>
              <w:rPr>
                <w:b/>
                <w:bCs/>
                <w:color w:val="1E5E37"/>
                <w:sz w:val="20"/>
                <w:szCs w:val="20"/>
              </w:rPr>
              <w:t>First-line: any POP by preference</w:t>
            </w:r>
          </w:p>
          <w:p w14:paraId="13BEA813" w14:textId="77777777" w:rsidR="00941B63" w:rsidRDefault="00000000">
            <w:proofErr w:type="spellStart"/>
            <w:r>
              <w:rPr>
                <w:sz w:val="20"/>
                <w:szCs w:val="20"/>
              </w:rPr>
              <w:t>desogestrel</w:t>
            </w:r>
            <w:proofErr w:type="spellEnd"/>
            <w:r>
              <w:rPr>
                <w:sz w:val="20"/>
                <w:szCs w:val="20"/>
              </w:rPr>
              <w:t xml:space="preserve"> is often chosen for its forgiving 12-hour window.</w:t>
            </w:r>
          </w:p>
        </w:tc>
      </w:tr>
    </w:tbl>
    <w:p w14:paraId="5ABBADF8" w14:textId="77777777" w:rsidR="00941B63" w:rsidRDefault="00941B63">
      <w:pPr>
        <w:spacing w:after="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941B63" w14:paraId="0B3BAB6C" w14:textId="77777777">
        <w:tblPrEx>
          <w:tblCellMar>
            <w:top w:w="0" w:type="dxa"/>
            <w:bottom w:w="0" w:type="dxa"/>
          </w:tblCellMar>
        </w:tblPrEx>
        <w:trPr>
          <w:cantSplit/>
        </w:trPr>
        <w:tc>
          <w:tcPr>
            <w:tcW w:w="9746" w:type="dxa"/>
            <w:tcBorders>
              <w:top w:val="single" w:sz="4" w:space="0" w:color="E7F0FA"/>
              <w:left w:val="single" w:sz="26" w:space="0" w:color="2E6FB0"/>
              <w:bottom w:val="single" w:sz="4" w:space="0" w:color="E7F0FA"/>
              <w:right w:val="single" w:sz="4" w:space="0" w:color="E7F0FA"/>
            </w:tcBorders>
            <w:shd w:val="clear" w:color="auto" w:fill="E7F0FA"/>
            <w:tcMar>
              <w:top w:w="130" w:type="dxa"/>
              <w:left w:w="200" w:type="dxa"/>
              <w:bottom w:w="130" w:type="dxa"/>
              <w:right w:w="180" w:type="dxa"/>
            </w:tcMar>
          </w:tcPr>
          <w:p w14:paraId="6D0DD9B5" w14:textId="77777777" w:rsidR="00941B63" w:rsidRDefault="00000000">
            <w:pPr>
              <w:spacing w:after="60"/>
            </w:pPr>
            <w:r>
              <w:rPr>
                <w:b/>
                <w:bCs/>
                <w:color w:val="1B4E7A"/>
              </w:rPr>
              <w:t>The one rule that runs through this whole guide</w:t>
            </w:r>
          </w:p>
          <w:p w14:paraId="4765F40F" w14:textId="77777777" w:rsidR="00941B63" w:rsidRDefault="00000000">
            <w:pPr>
              <w:spacing w:after="50" w:line="264" w:lineRule="auto"/>
            </w:pPr>
            <w:r>
              <w:rPr>
                <w:sz w:val="21"/>
                <w:szCs w:val="21"/>
              </w:rPr>
              <w:t xml:space="preserve">When a patient has a problem, work down in order: </w:t>
            </w:r>
            <w:r>
              <w:rPr>
                <w:b/>
                <w:bCs/>
                <w:color w:val="1B4E7A"/>
                <w:sz w:val="21"/>
                <w:szCs w:val="21"/>
              </w:rPr>
              <w:t>Danger → Time → Basics → Switch.</w:t>
            </w:r>
          </w:p>
          <w:p w14:paraId="2D50AE4E" w14:textId="77777777" w:rsidR="00941B63" w:rsidRDefault="00000000">
            <w:pPr>
              <w:spacing w:after="50" w:line="264" w:lineRule="auto"/>
            </w:pPr>
            <w:r>
              <w:rPr>
                <w:sz w:val="21"/>
                <w:szCs w:val="21"/>
              </w:rPr>
              <w:t>Rule out danger first, give minor effects time to settle, check the simple causes, and only then change the pill.</w:t>
            </w:r>
          </w:p>
        </w:tc>
      </w:tr>
    </w:tbl>
    <w:p w14:paraId="0B2C13D9" w14:textId="77777777" w:rsidR="00941B63" w:rsidRDefault="00000000">
      <w:pPr>
        <w:pStyle w:val="Heading1"/>
        <w:keepNext/>
        <w:pBdr>
          <w:bottom w:val="single" w:sz="14" w:space="4" w:color="E2711D"/>
        </w:pBdr>
      </w:pPr>
      <w:r>
        <w:t>2. Starting the combined pill — pick the lower tier first</w:t>
      </w:r>
    </w:p>
    <w:p w14:paraId="3502157E" w14:textId="77777777" w:rsidR="00941B63" w:rsidRDefault="00000000">
      <w:pPr>
        <w:spacing w:after="120" w:line="276" w:lineRule="auto"/>
      </w:pPr>
      <w:r>
        <w:t xml:space="preserve">Any combined pill may be offered according to a woman's preference. </w:t>
      </w:r>
      <w:r>
        <w:rPr>
          <w:b/>
          <w:bCs/>
          <w:color w:val="1F2933"/>
        </w:rPr>
        <w:t>However, you should start with a lower-clot-risk (“lower-tier”) pill</w:t>
      </w:r>
      <w:r>
        <w:t xml:space="preserve"> — a monophasic pill containing 30 micrograms of </w:t>
      </w:r>
      <w:proofErr w:type="spellStart"/>
      <w:r>
        <w:t>ethinylestradiol</w:t>
      </w:r>
      <w:proofErr w:type="spellEnd"/>
      <w:r>
        <w:t xml:space="preserve"> with levonorgestrel or norethisterone (NICE CKS; FSRH).</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941B63" w14:paraId="49B19845" w14:textId="77777777">
        <w:tblPrEx>
          <w:tblCellMar>
            <w:top w:w="0" w:type="dxa"/>
            <w:bottom w:w="0" w:type="dxa"/>
          </w:tblCellMar>
        </w:tblPrEx>
        <w:trPr>
          <w:cantSplit/>
        </w:trPr>
        <w:tc>
          <w:tcPr>
            <w:tcW w:w="9746" w:type="dxa"/>
            <w:tcBorders>
              <w:top w:val="single" w:sz="4" w:space="0" w:color="E6F4EA"/>
              <w:left w:val="single" w:sz="26" w:space="0" w:color="2E8B57"/>
              <w:bottom w:val="single" w:sz="4" w:space="0" w:color="E6F4EA"/>
              <w:right w:val="single" w:sz="4" w:space="0" w:color="E6F4EA"/>
            </w:tcBorders>
            <w:shd w:val="clear" w:color="auto" w:fill="E6F4EA"/>
            <w:tcMar>
              <w:top w:w="130" w:type="dxa"/>
              <w:left w:w="200" w:type="dxa"/>
              <w:bottom w:w="130" w:type="dxa"/>
              <w:right w:w="180" w:type="dxa"/>
            </w:tcMar>
          </w:tcPr>
          <w:p w14:paraId="2BFF5C50" w14:textId="77777777" w:rsidR="00941B63" w:rsidRDefault="00000000">
            <w:pPr>
              <w:spacing w:after="60"/>
            </w:pPr>
            <w:r>
              <w:rPr>
                <w:b/>
                <w:bCs/>
                <w:color w:val="1E5E37"/>
              </w:rPr>
              <w:t>First-line choice (do this)</w:t>
            </w:r>
          </w:p>
          <w:p w14:paraId="7E854539" w14:textId="77777777" w:rsidR="00941B63" w:rsidRDefault="00000000">
            <w:pPr>
              <w:pStyle w:val="ListParagraph"/>
              <w:numPr>
                <w:ilvl w:val="0"/>
                <w:numId w:val="2"/>
              </w:numPr>
              <w:spacing w:after="40" w:line="264" w:lineRule="auto"/>
            </w:pPr>
            <w:r>
              <w:rPr>
                <w:b/>
                <w:bCs/>
                <w:color w:val="1E5E37"/>
                <w:sz w:val="21"/>
                <w:szCs w:val="21"/>
              </w:rPr>
              <w:t xml:space="preserve">Examples of lower-tier pills: </w:t>
            </w:r>
            <w:proofErr w:type="spellStart"/>
            <w:r>
              <w:rPr>
                <w:sz w:val="21"/>
                <w:szCs w:val="21"/>
              </w:rPr>
              <w:t>Microgynon</w:t>
            </w:r>
            <w:proofErr w:type="spellEnd"/>
            <w:r>
              <w:rPr>
                <w:sz w:val="21"/>
                <w:szCs w:val="21"/>
              </w:rPr>
              <w:t xml:space="preserve"> 30, </w:t>
            </w:r>
            <w:proofErr w:type="spellStart"/>
            <w:r>
              <w:rPr>
                <w:sz w:val="21"/>
                <w:szCs w:val="21"/>
              </w:rPr>
              <w:t>Rigevidon</w:t>
            </w:r>
            <w:proofErr w:type="spellEnd"/>
            <w:r>
              <w:rPr>
                <w:sz w:val="21"/>
                <w:szCs w:val="21"/>
              </w:rPr>
              <w:t xml:space="preserve">, </w:t>
            </w:r>
            <w:proofErr w:type="spellStart"/>
            <w:r>
              <w:rPr>
                <w:sz w:val="21"/>
                <w:szCs w:val="21"/>
              </w:rPr>
              <w:t>Levest</w:t>
            </w:r>
            <w:proofErr w:type="spellEnd"/>
            <w:r>
              <w:rPr>
                <w:sz w:val="21"/>
                <w:szCs w:val="21"/>
              </w:rPr>
              <w:t xml:space="preserve">, </w:t>
            </w:r>
            <w:proofErr w:type="spellStart"/>
            <w:r>
              <w:rPr>
                <w:sz w:val="21"/>
                <w:szCs w:val="21"/>
              </w:rPr>
              <w:t>Ovranette</w:t>
            </w:r>
            <w:proofErr w:type="spellEnd"/>
            <w:r>
              <w:rPr>
                <w:sz w:val="21"/>
                <w:szCs w:val="21"/>
              </w:rPr>
              <w:t xml:space="preserve"> (levonorgestrel); norethisterone-containing pills such as </w:t>
            </w:r>
            <w:proofErr w:type="spellStart"/>
            <w:r>
              <w:rPr>
                <w:sz w:val="21"/>
                <w:szCs w:val="21"/>
              </w:rPr>
              <w:t>Norimin</w:t>
            </w:r>
            <w:proofErr w:type="spellEnd"/>
            <w:r>
              <w:rPr>
                <w:sz w:val="21"/>
                <w:szCs w:val="21"/>
              </w:rPr>
              <w:t>.</w:t>
            </w:r>
          </w:p>
          <w:p w14:paraId="59BD8594" w14:textId="77777777" w:rsidR="00941B63" w:rsidRDefault="00000000">
            <w:pPr>
              <w:pStyle w:val="ListParagraph"/>
              <w:numPr>
                <w:ilvl w:val="0"/>
                <w:numId w:val="2"/>
              </w:numPr>
              <w:spacing w:after="40" w:line="264" w:lineRule="auto"/>
            </w:pPr>
            <w:r>
              <w:rPr>
                <w:sz w:val="21"/>
                <w:szCs w:val="21"/>
              </w:rPr>
              <w:t>Higher-tier pills (</w:t>
            </w:r>
            <w:proofErr w:type="spellStart"/>
            <w:r>
              <w:rPr>
                <w:sz w:val="21"/>
                <w:szCs w:val="21"/>
              </w:rPr>
              <w:t>desogestrel</w:t>
            </w:r>
            <w:proofErr w:type="spellEnd"/>
            <w:r>
              <w:rPr>
                <w:sz w:val="21"/>
                <w:szCs w:val="21"/>
              </w:rPr>
              <w:t xml:space="preserve">, </w:t>
            </w:r>
            <w:proofErr w:type="spellStart"/>
            <w:r>
              <w:rPr>
                <w:sz w:val="21"/>
                <w:szCs w:val="21"/>
              </w:rPr>
              <w:t>gestodene</w:t>
            </w:r>
            <w:proofErr w:type="spellEnd"/>
            <w:r>
              <w:rPr>
                <w:sz w:val="21"/>
                <w:szCs w:val="21"/>
              </w:rPr>
              <w:t xml:space="preserve"> or </w:t>
            </w:r>
            <w:proofErr w:type="spellStart"/>
            <w:r>
              <w:rPr>
                <w:sz w:val="21"/>
                <w:szCs w:val="21"/>
              </w:rPr>
              <w:t>drospirenone</w:t>
            </w:r>
            <w:proofErr w:type="spellEnd"/>
            <w:r>
              <w:rPr>
                <w:sz w:val="21"/>
                <w:szCs w:val="21"/>
              </w:rPr>
              <w:t>) carry roughly double the clot risk. Keep them for a specific reason or a clear patient preference, not as a default.</w:t>
            </w:r>
          </w:p>
          <w:p w14:paraId="56BA71EE" w14:textId="77777777" w:rsidR="00941B63" w:rsidRDefault="00000000">
            <w:pPr>
              <w:spacing w:after="50" w:line="264" w:lineRule="auto"/>
            </w:pPr>
            <w:r>
              <w:rPr>
                <w:i/>
                <w:iCs/>
                <w:sz w:val="21"/>
                <w:szCs w:val="21"/>
              </w:rPr>
              <w:t>Always weigh this against pregnancy itself, which carries a far higher clot risk than any pill.</w:t>
            </w:r>
          </w:p>
        </w:tc>
      </w:tr>
    </w:tbl>
    <w:p w14:paraId="3D2B5C9E" w14:textId="77777777" w:rsidR="00941B63" w:rsidRDefault="00000000">
      <w:pPr>
        <w:spacing w:before="60" w:after="100"/>
        <w:jc w:val="center"/>
      </w:pPr>
      <w:r>
        <w:rPr>
          <w:noProof/>
        </w:rPr>
        <w:lastRenderedPageBreak/>
        <w:drawing>
          <wp:inline distT="0" distB="0" distL="0" distR="0" wp14:anchorId="6CB6E040" wp14:editId="3EC5ED90">
            <wp:extent cx="5715000" cy="2981325"/>
            <wp:effectExtent l="0" t="0" r="0" b="0"/>
            <wp:docPr id="1" name="Blood_clot_risk_by_contraceptive_type" descr="Blood clot risk by contraceptive type" title="Blood clot risk by contraceptive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15000" cy="2981325"/>
                    </a:xfrm>
                    <a:prstGeom prst="rect">
                      <a:avLst/>
                    </a:prstGeom>
                  </pic:spPr>
                </pic:pic>
              </a:graphicData>
            </a:graphic>
          </wp:inline>
        </w:drawing>
      </w:r>
    </w:p>
    <w:p w14:paraId="438CF32A" w14:textId="77777777" w:rsidR="00941B63" w:rsidRDefault="00000000">
      <w:pPr>
        <w:pStyle w:val="Heading1"/>
        <w:keepNext/>
        <w:pBdr>
          <w:bottom w:val="single" w:sz="14" w:space="4" w:color="E2711D"/>
        </w:pBdr>
      </w:pPr>
      <w:r>
        <w:t>3. A problem on the combined pill — the modern approach</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941B63" w14:paraId="19F05397" w14:textId="77777777">
        <w:tblPrEx>
          <w:tblCellMar>
            <w:top w:w="0" w:type="dxa"/>
            <w:bottom w:w="0" w:type="dxa"/>
          </w:tblCellMar>
        </w:tblPrEx>
        <w:trPr>
          <w:cantSplit/>
        </w:trPr>
        <w:tc>
          <w:tcPr>
            <w:tcW w:w="9746" w:type="dxa"/>
            <w:tcBorders>
              <w:top w:val="single" w:sz="4" w:space="0" w:color="FCEFD4"/>
              <w:left w:val="single" w:sz="26" w:space="0" w:color="C97B0C"/>
              <w:bottom w:val="single" w:sz="4" w:space="0" w:color="FCEFD4"/>
              <w:right w:val="single" w:sz="4" w:space="0" w:color="FCEFD4"/>
            </w:tcBorders>
            <w:shd w:val="clear" w:color="auto" w:fill="FCEFD4"/>
            <w:tcMar>
              <w:top w:w="130" w:type="dxa"/>
              <w:left w:w="200" w:type="dxa"/>
              <w:bottom w:w="130" w:type="dxa"/>
              <w:right w:w="180" w:type="dxa"/>
            </w:tcMar>
          </w:tcPr>
          <w:p w14:paraId="11595CF7" w14:textId="77777777" w:rsidR="00941B63" w:rsidRDefault="00000000">
            <w:pPr>
              <w:spacing w:after="60"/>
            </w:pPr>
            <w:r>
              <w:rPr>
                <w:b/>
                <w:bCs/>
                <w:color w:val="8A5A00"/>
              </w:rPr>
              <w:t>Bust the old myth</w:t>
            </w:r>
          </w:p>
          <w:p w14:paraId="2C5026E1" w14:textId="77777777" w:rsidR="00941B63" w:rsidRDefault="00000000">
            <w:pPr>
              <w:spacing w:after="50" w:line="264" w:lineRule="auto"/>
            </w:pPr>
            <w:r>
              <w:rPr>
                <w:b/>
                <w:bCs/>
                <w:color w:val="8A5A00"/>
                <w:sz w:val="21"/>
                <w:szCs w:val="21"/>
              </w:rPr>
              <w:t xml:space="preserve">There is no single “perfect” pill with the fewest side effects for everyone (FSRH). </w:t>
            </w:r>
            <w:r>
              <w:rPr>
                <w:sz w:val="21"/>
                <w:szCs w:val="21"/>
              </w:rPr>
              <w:t>The old habit of finely “balancing oestrogen against progestogen” is not well supported by evidence. Switching is largely trial and error — so do it sensibly, not endlessly.</w:t>
            </w:r>
          </w:p>
        </w:tc>
      </w:tr>
    </w:tbl>
    <w:p w14:paraId="33C39721" w14:textId="77777777" w:rsidR="00941B63" w:rsidRDefault="00000000">
      <w:pPr>
        <w:spacing w:before="60" w:after="100"/>
        <w:jc w:val="center"/>
      </w:pPr>
      <w:r>
        <w:rPr>
          <w:noProof/>
        </w:rPr>
        <w:drawing>
          <wp:inline distT="0" distB="0" distL="0" distR="0" wp14:anchorId="4A377FF5" wp14:editId="2260AF3A">
            <wp:extent cx="5938938" cy="4295775"/>
            <wp:effectExtent l="0" t="0" r="5080" b="0"/>
            <wp:docPr id="393696134" name="Decision_ladder_for_a_problem_on_the_combined_pill" descr="Decision ladder for a problem on the combined pill" title="Decision ladder for a problem on the combined p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r="2162" b="11539"/>
                    <a:stretch>
                      <a:fillRect/>
                    </a:stretch>
                  </pic:blipFill>
                  <pic:spPr bwMode="auto">
                    <a:xfrm>
                      <a:off x="0" y="0"/>
                      <a:ext cx="5993138" cy="4334979"/>
                    </a:xfrm>
                    <a:prstGeom prst="rect">
                      <a:avLst/>
                    </a:prstGeom>
                    <a:ln>
                      <a:noFill/>
                    </a:ln>
                    <a:extLst>
                      <a:ext uri="{53640926-AAD7-44D8-BBD7-CCE9431645EC}">
                        <a14:shadowObscured xmlns:a14="http://schemas.microsoft.com/office/drawing/2010/main"/>
                      </a:ext>
                    </a:extLst>
                  </pic:spPr>
                </pic:pic>
              </a:graphicData>
            </a:graphic>
          </wp:inline>
        </w:drawing>
      </w:r>
    </w:p>
    <w:p w14:paraId="7189AD91" w14:textId="77777777" w:rsidR="00941B63" w:rsidRPr="00A06BED" w:rsidRDefault="00000000" w:rsidP="00A06BED">
      <w:pPr>
        <w:spacing w:after="120" w:line="276" w:lineRule="auto"/>
        <w:jc w:val="center"/>
        <w:rPr>
          <w:sz w:val="20"/>
          <w:szCs w:val="20"/>
        </w:rPr>
      </w:pPr>
      <w:r w:rsidRPr="00A06BED">
        <w:rPr>
          <w:i/>
          <w:iCs/>
          <w:sz w:val="20"/>
          <w:szCs w:val="20"/>
        </w:rPr>
        <w:t xml:space="preserve">Think of side effects like a new pair of shoes: </w:t>
      </w:r>
      <w:r w:rsidRPr="00A06BED">
        <w:rPr>
          <w:i/>
          <w:iCs/>
          <w:color w:val="1F2933"/>
          <w:sz w:val="20"/>
          <w:szCs w:val="20"/>
        </w:rPr>
        <w:t>most rubbing settles once they are worn in.</w:t>
      </w:r>
      <w:r w:rsidRPr="00A06BED">
        <w:rPr>
          <w:sz w:val="20"/>
          <w:szCs w:val="20"/>
        </w:rPr>
        <w:t xml:space="preserve"> Encourage persisting with minor effects for about three months before changing, as they usually settle (NICE CKS).</w:t>
      </w:r>
    </w:p>
    <w:p w14:paraId="49D4990C" w14:textId="77777777" w:rsidR="00941B63" w:rsidRDefault="00000000">
      <w:pPr>
        <w:pStyle w:val="Heading1"/>
        <w:keepNext/>
        <w:pBdr>
          <w:bottom w:val="single" w:sz="14" w:space="4" w:color="E2711D"/>
        </w:pBdr>
      </w:pPr>
      <w:r>
        <w:lastRenderedPageBreak/>
        <w:t>4. Problem-to-pill — a practical switching table</w:t>
      </w:r>
    </w:p>
    <w:p w14:paraId="7C00477C" w14:textId="77777777" w:rsidR="00941B63" w:rsidRDefault="00000000">
      <w:pPr>
        <w:spacing w:after="120" w:line="276" w:lineRule="auto"/>
      </w:pPr>
      <w:r>
        <w:t>Use this once danger is excluded and the basics are checked. The evidence behind switching for side effects is limited, so review the result after three months.</w:t>
      </w:r>
    </w:p>
    <w:tbl>
      <w:tblPr>
        <w:tblW w:w="9746" w:type="dxa"/>
        <w:tblBorders>
          <w:top w:val="single" w:sz="2" w:space="0" w:color="D9E0E6"/>
          <w:left w:val="single" w:sz="2" w:space="0" w:color="D9E0E6"/>
          <w:bottom w:val="single" w:sz="2" w:space="0" w:color="D9E0E6"/>
          <w:right w:val="single" w:sz="2" w:space="0" w:color="D9E0E6"/>
          <w:insideH w:val="single" w:sz="2" w:space="0" w:color="D9E0E6"/>
          <w:insideV w:val="single" w:sz="2" w:space="0" w:color="D9E0E6"/>
        </w:tblBorders>
        <w:tblCellMar>
          <w:left w:w="10" w:type="dxa"/>
          <w:right w:w="10" w:type="dxa"/>
        </w:tblCellMar>
        <w:tblLook w:val="04A0" w:firstRow="1" w:lastRow="0" w:firstColumn="1" w:lastColumn="0" w:noHBand="0" w:noVBand="1"/>
      </w:tblPr>
      <w:tblGrid>
        <w:gridCol w:w="3050"/>
        <w:gridCol w:w="3348"/>
        <w:gridCol w:w="3348"/>
      </w:tblGrid>
      <w:tr w:rsidR="00941B63" w14:paraId="57CCF4A1" w14:textId="77777777">
        <w:tblPrEx>
          <w:tblCellMar>
            <w:top w:w="0" w:type="dxa"/>
            <w:bottom w:w="0" w:type="dxa"/>
          </w:tblCellMar>
        </w:tblPrEx>
        <w:trPr>
          <w:tblHeader/>
        </w:trPr>
        <w:tc>
          <w:tcPr>
            <w:tcW w:w="3050" w:type="dxa"/>
            <w:shd w:val="clear" w:color="auto" w:fill="0E5C6B"/>
            <w:tcMar>
              <w:top w:w="64" w:type="dxa"/>
              <w:left w:w="150" w:type="dxa"/>
              <w:bottom w:w="64" w:type="dxa"/>
              <w:right w:w="150" w:type="dxa"/>
            </w:tcMar>
            <w:vAlign w:val="center"/>
          </w:tcPr>
          <w:p w14:paraId="31C34FFE" w14:textId="77777777" w:rsidR="00941B63" w:rsidRDefault="00000000">
            <w:r>
              <w:rPr>
                <w:b/>
                <w:bCs/>
                <w:color w:val="FFFFFF"/>
                <w:sz w:val="20"/>
                <w:szCs w:val="20"/>
              </w:rPr>
              <w:t>Main complaint</w:t>
            </w:r>
          </w:p>
        </w:tc>
        <w:tc>
          <w:tcPr>
            <w:tcW w:w="3348" w:type="dxa"/>
            <w:shd w:val="clear" w:color="auto" w:fill="0E5C6B"/>
            <w:tcMar>
              <w:top w:w="64" w:type="dxa"/>
              <w:left w:w="150" w:type="dxa"/>
              <w:bottom w:w="64" w:type="dxa"/>
              <w:right w:w="150" w:type="dxa"/>
            </w:tcMar>
            <w:vAlign w:val="center"/>
          </w:tcPr>
          <w:p w14:paraId="2CE08523" w14:textId="77777777" w:rsidR="00941B63" w:rsidRDefault="00000000">
            <w:r>
              <w:rPr>
                <w:b/>
                <w:bCs/>
                <w:color w:val="FFFFFF"/>
                <w:sz w:val="20"/>
                <w:szCs w:val="20"/>
              </w:rPr>
              <w:t>Reasonable switch</w:t>
            </w:r>
          </w:p>
        </w:tc>
        <w:tc>
          <w:tcPr>
            <w:tcW w:w="3348" w:type="dxa"/>
            <w:shd w:val="clear" w:color="auto" w:fill="0E5C6B"/>
            <w:tcMar>
              <w:top w:w="64" w:type="dxa"/>
              <w:left w:w="150" w:type="dxa"/>
              <w:bottom w:w="64" w:type="dxa"/>
              <w:right w:w="150" w:type="dxa"/>
            </w:tcMar>
            <w:vAlign w:val="center"/>
          </w:tcPr>
          <w:p w14:paraId="3C605C98" w14:textId="77777777" w:rsidR="00941B63" w:rsidRDefault="00000000">
            <w:r>
              <w:rPr>
                <w:b/>
                <w:bCs/>
                <w:color w:val="FFFFFF"/>
                <w:sz w:val="20"/>
                <w:szCs w:val="20"/>
              </w:rPr>
              <w:t>Why / cautions</w:t>
            </w:r>
          </w:p>
        </w:tc>
      </w:tr>
      <w:tr w:rsidR="00941B63" w14:paraId="6F8D9E85" w14:textId="77777777">
        <w:tblPrEx>
          <w:tblCellMar>
            <w:top w:w="0" w:type="dxa"/>
            <w:bottom w:w="0" w:type="dxa"/>
          </w:tblCellMar>
        </w:tblPrEx>
        <w:tc>
          <w:tcPr>
            <w:tcW w:w="3050" w:type="dxa"/>
            <w:tcMar>
              <w:top w:w="64" w:type="dxa"/>
              <w:left w:w="150" w:type="dxa"/>
              <w:bottom w:w="64" w:type="dxa"/>
              <w:right w:w="150" w:type="dxa"/>
            </w:tcMar>
            <w:vAlign w:val="center"/>
          </w:tcPr>
          <w:p w14:paraId="6CD1B447" w14:textId="77777777" w:rsidR="00941B63" w:rsidRDefault="00000000">
            <w:r>
              <w:rPr>
                <w:b/>
                <w:bCs/>
                <w:color w:val="1F2933"/>
                <w:sz w:val="20"/>
                <w:szCs w:val="20"/>
              </w:rPr>
              <w:t>Persistent spotting / breakthrough bleeding</w:t>
            </w:r>
          </w:p>
        </w:tc>
        <w:tc>
          <w:tcPr>
            <w:tcW w:w="3348" w:type="dxa"/>
            <w:tcMar>
              <w:top w:w="64" w:type="dxa"/>
              <w:left w:w="150" w:type="dxa"/>
              <w:bottom w:w="64" w:type="dxa"/>
              <w:right w:w="150" w:type="dxa"/>
            </w:tcMar>
            <w:vAlign w:val="center"/>
          </w:tcPr>
          <w:p w14:paraId="43FE084C" w14:textId="77777777" w:rsidR="00941B63" w:rsidRDefault="00000000">
            <w:r>
              <w:rPr>
                <w:sz w:val="20"/>
                <w:szCs w:val="20"/>
              </w:rPr>
              <w:t>Use the lowest oestrogen dose that gives good cycle control; the dose may be raised up to a maximum of 35 micrograms.</w:t>
            </w:r>
          </w:p>
        </w:tc>
        <w:tc>
          <w:tcPr>
            <w:tcW w:w="3348" w:type="dxa"/>
            <w:shd w:val="clear" w:color="auto" w:fill="F7FAFB"/>
            <w:tcMar>
              <w:top w:w="64" w:type="dxa"/>
              <w:left w:w="150" w:type="dxa"/>
              <w:bottom w:w="64" w:type="dxa"/>
              <w:right w:w="150" w:type="dxa"/>
            </w:tcMar>
            <w:vAlign w:val="center"/>
          </w:tcPr>
          <w:p w14:paraId="039112DF" w14:textId="77777777" w:rsidR="00941B63" w:rsidRDefault="00000000">
            <w:r>
              <w:rPr>
                <w:sz w:val="20"/>
                <w:szCs w:val="20"/>
              </w:rPr>
              <w:t>Changing the progestogen may help some women. The old 50-microgram pill is no longer used (FSRH Problematic Bleeding).</w:t>
            </w:r>
          </w:p>
        </w:tc>
      </w:tr>
      <w:tr w:rsidR="00941B63" w14:paraId="349BAD90" w14:textId="77777777">
        <w:tblPrEx>
          <w:tblCellMar>
            <w:top w:w="0" w:type="dxa"/>
            <w:bottom w:w="0" w:type="dxa"/>
          </w:tblCellMar>
        </w:tblPrEx>
        <w:tc>
          <w:tcPr>
            <w:tcW w:w="3050" w:type="dxa"/>
            <w:tcMar>
              <w:top w:w="64" w:type="dxa"/>
              <w:left w:w="150" w:type="dxa"/>
              <w:bottom w:w="64" w:type="dxa"/>
              <w:right w:w="150" w:type="dxa"/>
            </w:tcMar>
            <w:vAlign w:val="center"/>
          </w:tcPr>
          <w:p w14:paraId="27074649" w14:textId="77777777" w:rsidR="00941B63" w:rsidRDefault="00000000">
            <w:r>
              <w:rPr>
                <w:b/>
                <w:bCs/>
                <w:color w:val="1F2933"/>
                <w:sz w:val="20"/>
                <w:szCs w:val="20"/>
              </w:rPr>
              <w:t>Oestrogen-type effects: nausea, breast tenderness, bloating, fluid</w:t>
            </w:r>
          </w:p>
        </w:tc>
        <w:tc>
          <w:tcPr>
            <w:tcW w:w="3348" w:type="dxa"/>
            <w:tcMar>
              <w:top w:w="64" w:type="dxa"/>
              <w:left w:w="150" w:type="dxa"/>
              <w:bottom w:w="64" w:type="dxa"/>
              <w:right w:w="150" w:type="dxa"/>
            </w:tcMar>
            <w:vAlign w:val="center"/>
          </w:tcPr>
          <w:p w14:paraId="5D201CA2" w14:textId="77777777" w:rsidR="00941B63" w:rsidRDefault="00000000">
            <w:r>
              <w:rPr>
                <w:sz w:val="20"/>
                <w:szCs w:val="20"/>
              </w:rPr>
              <w:t xml:space="preserve">Try a lower-oestrogen pill (20 micrograms), e.g. </w:t>
            </w:r>
            <w:proofErr w:type="spellStart"/>
            <w:r>
              <w:rPr>
                <w:sz w:val="20"/>
                <w:szCs w:val="20"/>
              </w:rPr>
              <w:t>Gedarel</w:t>
            </w:r>
            <w:proofErr w:type="spellEnd"/>
            <w:r>
              <w:rPr>
                <w:sz w:val="20"/>
                <w:szCs w:val="20"/>
              </w:rPr>
              <w:t xml:space="preserve"> 20/150, </w:t>
            </w:r>
            <w:proofErr w:type="spellStart"/>
            <w:r>
              <w:rPr>
                <w:sz w:val="20"/>
                <w:szCs w:val="20"/>
              </w:rPr>
              <w:t>Mercilon</w:t>
            </w:r>
            <w:proofErr w:type="spellEnd"/>
            <w:r>
              <w:rPr>
                <w:sz w:val="20"/>
                <w:szCs w:val="20"/>
              </w:rPr>
              <w:t xml:space="preserve">, </w:t>
            </w:r>
            <w:proofErr w:type="spellStart"/>
            <w:r>
              <w:rPr>
                <w:sz w:val="20"/>
                <w:szCs w:val="20"/>
              </w:rPr>
              <w:t>Loestrin</w:t>
            </w:r>
            <w:proofErr w:type="spellEnd"/>
            <w:r>
              <w:rPr>
                <w:sz w:val="20"/>
                <w:szCs w:val="20"/>
              </w:rPr>
              <w:t xml:space="preserve"> 20.</w:t>
            </w:r>
          </w:p>
        </w:tc>
        <w:tc>
          <w:tcPr>
            <w:tcW w:w="3348" w:type="dxa"/>
            <w:tcMar>
              <w:top w:w="64" w:type="dxa"/>
              <w:left w:w="150" w:type="dxa"/>
              <w:bottom w:w="64" w:type="dxa"/>
              <w:right w:w="150" w:type="dxa"/>
            </w:tcMar>
            <w:vAlign w:val="center"/>
          </w:tcPr>
          <w:p w14:paraId="33F762F2" w14:textId="77777777" w:rsidR="00941B63" w:rsidRDefault="00000000">
            <w:r>
              <w:rPr>
                <w:sz w:val="20"/>
                <w:szCs w:val="20"/>
              </w:rPr>
              <w:t>Lower oestrogen tends to ease these. Spotting can increase at lower doses.</w:t>
            </w:r>
          </w:p>
        </w:tc>
      </w:tr>
      <w:tr w:rsidR="00941B63" w14:paraId="25919015" w14:textId="77777777">
        <w:tblPrEx>
          <w:tblCellMar>
            <w:top w:w="0" w:type="dxa"/>
            <w:bottom w:w="0" w:type="dxa"/>
          </w:tblCellMar>
        </w:tblPrEx>
        <w:tc>
          <w:tcPr>
            <w:tcW w:w="3050" w:type="dxa"/>
            <w:tcMar>
              <w:top w:w="64" w:type="dxa"/>
              <w:left w:w="150" w:type="dxa"/>
              <w:bottom w:w="64" w:type="dxa"/>
              <w:right w:w="150" w:type="dxa"/>
            </w:tcMar>
            <w:vAlign w:val="center"/>
          </w:tcPr>
          <w:p w14:paraId="535E4A5F" w14:textId="77777777" w:rsidR="00941B63" w:rsidRDefault="00000000">
            <w:r>
              <w:rPr>
                <w:b/>
                <w:bCs/>
                <w:color w:val="1F2933"/>
                <w:sz w:val="20"/>
                <w:szCs w:val="20"/>
              </w:rPr>
              <w:t>Acne or greasy skin</w:t>
            </w:r>
          </w:p>
        </w:tc>
        <w:tc>
          <w:tcPr>
            <w:tcW w:w="3348" w:type="dxa"/>
            <w:tcMar>
              <w:top w:w="64" w:type="dxa"/>
              <w:left w:w="150" w:type="dxa"/>
              <w:bottom w:w="64" w:type="dxa"/>
              <w:right w:w="150" w:type="dxa"/>
            </w:tcMar>
            <w:vAlign w:val="center"/>
          </w:tcPr>
          <w:p w14:paraId="63580F47" w14:textId="77777777" w:rsidR="00941B63" w:rsidRDefault="00000000">
            <w:r>
              <w:rPr>
                <w:sz w:val="20"/>
                <w:szCs w:val="20"/>
              </w:rPr>
              <w:t xml:space="preserve">Switch to an anti-androgenic / less androgenic pill: </w:t>
            </w:r>
            <w:proofErr w:type="spellStart"/>
            <w:r>
              <w:rPr>
                <w:sz w:val="20"/>
                <w:szCs w:val="20"/>
              </w:rPr>
              <w:t>desogestrel</w:t>
            </w:r>
            <w:proofErr w:type="spellEnd"/>
            <w:r>
              <w:rPr>
                <w:sz w:val="20"/>
                <w:szCs w:val="20"/>
              </w:rPr>
              <w:t xml:space="preserve">, </w:t>
            </w:r>
            <w:proofErr w:type="spellStart"/>
            <w:r>
              <w:rPr>
                <w:sz w:val="20"/>
                <w:szCs w:val="20"/>
              </w:rPr>
              <w:t>norgestimate</w:t>
            </w:r>
            <w:proofErr w:type="spellEnd"/>
            <w:r>
              <w:rPr>
                <w:sz w:val="20"/>
                <w:szCs w:val="20"/>
              </w:rPr>
              <w:t xml:space="preserve"> or </w:t>
            </w:r>
            <w:proofErr w:type="spellStart"/>
            <w:r>
              <w:rPr>
                <w:sz w:val="20"/>
                <w:szCs w:val="20"/>
              </w:rPr>
              <w:t>drospirenone</w:t>
            </w:r>
            <w:proofErr w:type="spellEnd"/>
            <w:r>
              <w:rPr>
                <w:sz w:val="20"/>
                <w:szCs w:val="20"/>
              </w:rPr>
              <w:t xml:space="preserve"> (all </w:t>
            </w:r>
            <w:proofErr w:type="gramStart"/>
            <w:r>
              <w:rPr>
                <w:sz w:val="20"/>
                <w:szCs w:val="20"/>
              </w:rPr>
              <w:t>off-label</w:t>
            </w:r>
            <w:proofErr w:type="gramEnd"/>
            <w:r>
              <w:rPr>
                <w:sz w:val="20"/>
                <w:szCs w:val="20"/>
              </w:rPr>
              <w:t xml:space="preserve"> for acne).</w:t>
            </w:r>
          </w:p>
        </w:tc>
        <w:tc>
          <w:tcPr>
            <w:tcW w:w="3348" w:type="dxa"/>
            <w:shd w:val="clear" w:color="auto" w:fill="F7FAFB"/>
            <w:tcMar>
              <w:top w:w="64" w:type="dxa"/>
              <w:left w:w="150" w:type="dxa"/>
              <w:bottom w:w="64" w:type="dxa"/>
              <w:right w:w="150" w:type="dxa"/>
            </w:tcMar>
            <w:vAlign w:val="center"/>
          </w:tcPr>
          <w:p w14:paraId="444EFECB" w14:textId="77777777" w:rsidR="00941B63" w:rsidRDefault="00000000">
            <w:r>
              <w:rPr>
                <w:sz w:val="20"/>
                <w:szCs w:val="20"/>
              </w:rPr>
              <w:t>These reduce androgen effect on skin (NICE CKS Acne). They sit in the higher clot tier — counsel accordingly.</w:t>
            </w:r>
          </w:p>
        </w:tc>
      </w:tr>
      <w:tr w:rsidR="00941B63" w14:paraId="36C3184D" w14:textId="77777777">
        <w:tblPrEx>
          <w:tblCellMar>
            <w:top w:w="0" w:type="dxa"/>
            <w:bottom w:w="0" w:type="dxa"/>
          </w:tblCellMar>
        </w:tblPrEx>
        <w:tc>
          <w:tcPr>
            <w:tcW w:w="3050" w:type="dxa"/>
            <w:tcMar>
              <w:top w:w="64" w:type="dxa"/>
              <w:left w:w="150" w:type="dxa"/>
              <w:bottom w:w="64" w:type="dxa"/>
              <w:right w:w="150" w:type="dxa"/>
            </w:tcMar>
            <w:vAlign w:val="center"/>
          </w:tcPr>
          <w:p w14:paraId="5C514367" w14:textId="77777777" w:rsidR="00941B63" w:rsidRDefault="00000000">
            <w:r>
              <w:rPr>
                <w:b/>
                <w:bCs/>
                <w:color w:val="1F2933"/>
                <w:sz w:val="20"/>
                <w:szCs w:val="20"/>
              </w:rPr>
              <w:t>Severe acne not responding to antibiotics, or marked hirsutism</w:t>
            </w:r>
          </w:p>
        </w:tc>
        <w:tc>
          <w:tcPr>
            <w:tcW w:w="3348" w:type="dxa"/>
            <w:tcMar>
              <w:top w:w="64" w:type="dxa"/>
              <w:left w:w="150" w:type="dxa"/>
              <w:bottom w:w="64" w:type="dxa"/>
              <w:right w:w="150" w:type="dxa"/>
            </w:tcMar>
            <w:vAlign w:val="center"/>
          </w:tcPr>
          <w:p w14:paraId="3493B517" w14:textId="77777777" w:rsidR="00941B63" w:rsidRDefault="00000000">
            <w:r>
              <w:rPr>
                <w:sz w:val="20"/>
                <w:szCs w:val="20"/>
              </w:rPr>
              <w:t>Co-</w:t>
            </w:r>
            <w:proofErr w:type="spellStart"/>
            <w:r>
              <w:rPr>
                <w:sz w:val="20"/>
                <w:szCs w:val="20"/>
              </w:rPr>
              <w:t>cyprindiol</w:t>
            </w:r>
            <w:proofErr w:type="spellEnd"/>
            <w:r>
              <w:rPr>
                <w:sz w:val="20"/>
                <w:szCs w:val="20"/>
              </w:rPr>
              <w:t xml:space="preserve"> (Dianette) may be used — under clear conditions.</w:t>
            </w:r>
          </w:p>
        </w:tc>
        <w:tc>
          <w:tcPr>
            <w:tcW w:w="3348" w:type="dxa"/>
            <w:tcMar>
              <w:top w:w="64" w:type="dxa"/>
              <w:left w:w="150" w:type="dxa"/>
              <w:bottom w:w="64" w:type="dxa"/>
              <w:right w:w="150" w:type="dxa"/>
            </w:tcMar>
            <w:vAlign w:val="center"/>
          </w:tcPr>
          <w:p w14:paraId="2196F1B3" w14:textId="77777777" w:rsidR="00941B63" w:rsidRDefault="00000000">
            <w:r>
              <w:rPr>
                <w:color w:val="942011"/>
                <w:sz w:val="20"/>
                <w:szCs w:val="20"/>
              </w:rPr>
              <w:t>You must NOT use it for contraception alone. Stop 3–4 cycles after the skin clears. Higher clot risk; do not combine with another hormonal contraceptive (BNF; MHRA).</w:t>
            </w:r>
          </w:p>
        </w:tc>
      </w:tr>
      <w:tr w:rsidR="00941B63" w14:paraId="4348D993" w14:textId="77777777">
        <w:tblPrEx>
          <w:tblCellMar>
            <w:top w:w="0" w:type="dxa"/>
            <w:bottom w:w="0" w:type="dxa"/>
          </w:tblCellMar>
        </w:tblPrEx>
        <w:tc>
          <w:tcPr>
            <w:tcW w:w="3050" w:type="dxa"/>
            <w:tcMar>
              <w:top w:w="64" w:type="dxa"/>
              <w:left w:w="150" w:type="dxa"/>
              <w:bottom w:w="64" w:type="dxa"/>
              <w:right w:w="150" w:type="dxa"/>
            </w:tcMar>
            <w:vAlign w:val="center"/>
          </w:tcPr>
          <w:p w14:paraId="75880541" w14:textId="77777777" w:rsidR="00941B63" w:rsidRDefault="00000000">
            <w:r>
              <w:rPr>
                <w:b/>
                <w:bCs/>
                <w:color w:val="1F2933"/>
                <w:sz w:val="20"/>
                <w:szCs w:val="20"/>
              </w:rPr>
              <w:t>Premenstrual mood / bloating</w:t>
            </w:r>
          </w:p>
        </w:tc>
        <w:tc>
          <w:tcPr>
            <w:tcW w:w="3348" w:type="dxa"/>
            <w:tcMar>
              <w:top w:w="64" w:type="dxa"/>
              <w:left w:w="150" w:type="dxa"/>
              <w:bottom w:w="64" w:type="dxa"/>
              <w:right w:w="150" w:type="dxa"/>
            </w:tcMar>
            <w:vAlign w:val="center"/>
          </w:tcPr>
          <w:p w14:paraId="7E3E9328" w14:textId="77777777" w:rsidR="00941B63" w:rsidRDefault="00000000">
            <w:r>
              <w:rPr>
                <w:sz w:val="20"/>
                <w:szCs w:val="20"/>
              </w:rPr>
              <w:t xml:space="preserve">A </w:t>
            </w:r>
            <w:proofErr w:type="spellStart"/>
            <w:r>
              <w:rPr>
                <w:sz w:val="20"/>
                <w:szCs w:val="20"/>
              </w:rPr>
              <w:t>drospirenone</w:t>
            </w:r>
            <w:proofErr w:type="spellEnd"/>
            <w:r>
              <w:rPr>
                <w:sz w:val="20"/>
                <w:szCs w:val="20"/>
              </w:rPr>
              <w:t>-containing pill (e.g. Yasmin), often taken continuously, may help.</w:t>
            </w:r>
          </w:p>
        </w:tc>
        <w:tc>
          <w:tcPr>
            <w:tcW w:w="3348" w:type="dxa"/>
            <w:shd w:val="clear" w:color="auto" w:fill="F7FAFB"/>
            <w:tcMar>
              <w:top w:w="64" w:type="dxa"/>
              <w:left w:w="150" w:type="dxa"/>
              <w:bottom w:w="64" w:type="dxa"/>
              <w:right w:w="150" w:type="dxa"/>
            </w:tcMar>
            <w:vAlign w:val="center"/>
          </w:tcPr>
          <w:p w14:paraId="41A0722C" w14:textId="77777777" w:rsidR="00941B63" w:rsidRDefault="00000000">
            <w:r>
              <w:rPr>
                <w:sz w:val="20"/>
                <w:szCs w:val="20"/>
              </w:rPr>
              <w:t>Most useful for severe (PMDD) symptoms; evidence is modest (NICE CKS PMS).</w:t>
            </w:r>
          </w:p>
        </w:tc>
      </w:tr>
      <w:tr w:rsidR="00941B63" w14:paraId="44486DE4" w14:textId="77777777">
        <w:tblPrEx>
          <w:tblCellMar>
            <w:top w:w="0" w:type="dxa"/>
            <w:bottom w:w="0" w:type="dxa"/>
          </w:tblCellMar>
        </w:tblPrEx>
        <w:tc>
          <w:tcPr>
            <w:tcW w:w="3050" w:type="dxa"/>
            <w:tcMar>
              <w:top w:w="64" w:type="dxa"/>
              <w:left w:w="150" w:type="dxa"/>
              <w:bottom w:w="64" w:type="dxa"/>
              <w:right w:w="150" w:type="dxa"/>
            </w:tcMar>
            <w:vAlign w:val="center"/>
          </w:tcPr>
          <w:p w14:paraId="5CCFC334" w14:textId="77777777" w:rsidR="00941B63" w:rsidRDefault="00000000">
            <w:r>
              <w:rPr>
                <w:b/>
                <w:bCs/>
                <w:color w:val="1F2933"/>
                <w:sz w:val="20"/>
                <w:szCs w:val="20"/>
              </w:rPr>
              <w:t>Headache only in the 7-day break</w:t>
            </w:r>
          </w:p>
        </w:tc>
        <w:tc>
          <w:tcPr>
            <w:tcW w:w="3348" w:type="dxa"/>
            <w:tcMar>
              <w:top w:w="64" w:type="dxa"/>
              <w:left w:w="150" w:type="dxa"/>
              <w:bottom w:w="64" w:type="dxa"/>
              <w:right w:w="150" w:type="dxa"/>
            </w:tcMar>
            <w:vAlign w:val="center"/>
          </w:tcPr>
          <w:p w14:paraId="298083D3" w14:textId="77777777" w:rsidR="00941B63" w:rsidRDefault="00000000">
            <w:r>
              <w:rPr>
                <w:sz w:val="20"/>
                <w:szCs w:val="20"/>
              </w:rPr>
              <w:t>Run packets together (tailored or continuous use) to shorten or drop the break.</w:t>
            </w:r>
          </w:p>
        </w:tc>
        <w:tc>
          <w:tcPr>
            <w:tcW w:w="3348" w:type="dxa"/>
            <w:tcMar>
              <w:top w:w="64" w:type="dxa"/>
              <w:left w:w="150" w:type="dxa"/>
              <w:bottom w:w="64" w:type="dxa"/>
              <w:right w:w="150" w:type="dxa"/>
            </w:tcMar>
            <w:vAlign w:val="center"/>
          </w:tcPr>
          <w:p w14:paraId="424DF8A3" w14:textId="77777777" w:rsidR="00941B63" w:rsidRDefault="00000000">
            <w:r>
              <w:rPr>
                <w:sz w:val="20"/>
                <w:szCs w:val="20"/>
              </w:rPr>
              <w:t>The 7-day break has no health benefit (FSRH). New migraine with aura means STOP — see red flags.</w:t>
            </w:r>
          </w:p>
        </w:tc>
      </w:tr>
    </w:tbl>
    <w:p w14:paraId="29AC9427" w14:textId="77777777" w:rsidR="00941B63" w:rsidRDefault="00000000">
      <w:pPr>
        <w:pStyle w:val="Heading1"/>
        <w:keepNext/>
        <w:pBdr>
          <w:bottom w:val="single" w:sz="14" w:space="4" w:color="E2711D"/>
        </w:pBdr>
      </w:pPr>
      <w:r>
        <w:t>5. Breakthrough bleeding — check, don’t just re-prescribe</w:t>
      </w:r>
    </w:p>
    <w:p w14:paraId="5CBC6B37" w14:textId="77777777" w:rsidR="00941B63" w:rsidRDefault="00000000">
      <w:pPr>
        <w:spacing w:after="120" w:line="276" w:lineRule="auto"/>
      </w:pPr>
      <w:r>
        <w:t xml:space="preserve">Some bleeding in the first three months is normal and usually settles. If it persists, or starts after a </w:t>
      </w:r>
      <w:proofErr w:type="gramStart"/>
      <w:r>
        <w:t>long settled</w:t>
      </w:r>
      <w:proofErr w:type="gramEnd"/>
      <w:r>
        <w:t xml:space="preserve"> spell, look for a cause before changing the pill.</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941B63" w14:paraId="37FF34A5" w14:textId="77777777">
        <w:tblPrEx>
          <w:tblCellMar>
            <w:top w:w="0" w:type="dxa"/>
            <w:bottom w:w="0" w:type="dxa"/>
          </w:tblCellMar>
        </w:tblPrEx>
        <w:trPr>
          <w:cantSplit/>
        </w:trPr>
        <w:tc>
          <w:tcPr>
            <w:tcW w:w="9746" w:type="dxa"/>
            <w:tcBorders>
              <w:top w:val="single" w:sz="4" w:space="0" w:color="EFE9F8"/>
              <w:left w:val="single" w:sz="26" w:space="0" w:color="6F4FB0"/>
              <w:bottom w:val="single" w:sz="4" w:space="0" w:color="EFE9F8"/>
              <w:right w:val="single" w:sz="4" w:space="0" w:color="EFE9F8"/>
            </w:tcBorders>
            <w:shd w:val="clear" w:color="auto" w:fill="EFE9F8"/>
            <w:tcMar>
              <w:top w:w="130" w:type="dxa"/>
              <w:left w:w="200" w:type="dxa"/>
              <w:bottom w:w="130" w:type="dxa"/>
              <w:right w:w="180" w:type="dxa"/>
            </w:tcMar>
          </w:tcPr>
          <w:p w14:paraId="436A0F05" w14:textId="77777777" w:rsidR="00941B63" w:rsidRDefault="00000000">
            <w:pPr>
              <w:spacing w:after="60"/>
            </w:pPr>
            <w:r>
              <w:rPr>
                <w:b/>
                <w:bCs/>
                <w:color w:val="4A2E84"/>
              </w:rPr>
              <w:t>BLEED — the history check (memory aid)</w:t>
            </w:r>
          </w:p>
          <w:p w14:paraId="56CF1E30" w14:textId="77777777" w:rsidR="00941B63" w:rsidRDefault="00000000">
            <w:pPr>
              <w:pStyle w:val="ListParagraph"/>
              <w:numPr>
                <w:ilvl w:val="0"/>
                <w:numId w:val="2"/>
              </w:numPr>
              <w:spacing w:after="40" w:line="264" w:lineRule="auto"/>
            </w:pPr>
            <w:r>
              <w:rPr>
                <w:b/>
                <w:bCs/>
                <w:color w:val="4A2E84"/>
                <w:sz w:val="21"/>
                <w:szCs w:val="21"/>
              </w:rPr>
              <w:t>B</w:t>
            </w:r>
            <w:r>
              <w:rPr>
                <w:sz w:val="21"/>
                <w:szCs w:val="21"/>
              </w:rPr>
              <w:t xml:space="preserve"> — </w:t>
            </w:r>
            <w:r>
              <w:rPr>
                <w:b/>
                <w:bCs/>
                <w:color w:val="1F2933"/>
                <w:sz w:val="21"/>
                <w:szCs w:val="21"/>
              </w:rPr>
              <w:t xml:space="preserve">Behaviour of pills: </w:t>
            </w:r>
            <w:r>
              <w:rPr>
                <w:sz w:val="21"/>
                <w:szCs w:val="21"/>
              </w:rPr>
              <w:t>missed or late pills? (the commonest cause)</w:t>
            </w:r>
          </w:p>
          <w:p w14:paraId="62C5FC70" w14:textId="77777777" w:rsidR="00941B63" w:rsidRDefault="00000000">
            <w:pPr>
              <w:pStyle w:val="ListParagraph"/>
              <w:numPr>
                <w:ilvl w:val="0"/>
                <w:numId w:val="2"/>
              </w:numPr>
              <w:spacing w:after="40" w:line="264" w:lineRule="auto"/>
            </w:pPr>
            <w:r>
              <w:rPr>
                <w:b/>
                <w:bCs/>
                <w:color w:val="4A2E84"/>
                <w:sz w:val="21"/>
                <w:szCs w:val="21"/>
              </w:rPr>
              <w:t>L</w:t>
            </w:r>
            <w:r>
              <w:rPr>
                <w:sz w:val="21"/>
                <w:szCs w:val="21"/>
              </w:rPr>
              <w:t xml:space="preserve"> — </w:t>
            </w:r>
            <w:r>
              <w:rPr>
                <w:b/>
                <w:bCs/>
                <w:color w:val="1F2933"/>
                <w:sz w:val="21"/>
                <w:szCs w:val="21"/>
              </w:rPr>
              <w:t xml:space="preserve">Lost from the gut: </w:t>
            </w:r>
            <w:r>
              <w:rPr>
                <w:sz w:val="21"/>
                <w:szCs w:val="21"/>
              </w:rPr>
              <w:t>vomiting, diarrhoea or absorption problems?</w:t>
            </w:r>
          </w:p>
          <w:p w14:paraId="60724F32" w14:textId="77777777" w:rsidR="00941B63" w:rsidRDefault="00000000">
            <w:pPr>
              <w:pStyle w:val="ListParagraph"/>
              <w:numPr>
                <w:ilvl w:val="0"/>
                <w:numId w:val="2"/>
              </w:numPr>
              <w:spacing w:after="40" w:line="264" w:lineRule="auto"/>
            </w:pPr>
            <w:r>
              <w:rPr>
                <w:b/>
                <w:bCs/>
                <w:color w:val="4A2E84"/>
                <w:sz w:val="21"/>
                <w:szCs w:val="21"/>
              </w:rPr>
              <w:t>E</w:t>
            </w:r>
            <w:r>
              <w:rPr>
                <w:sz w:val="21"/>
                <w:szCs w:val="21"/>
              </w:rPr>
              <w:t xml:space="preserve"> — </w:t>
            </w:r>
            <w:r>
              <w:rPr>
                <w:b/>
                <w:bCs/>
                <w:color w:val="1F2933"/>
                <w:sz w:val="21"/>
                <w:szCs w:val="21"/>
              </w:rPr>
              <w:t xml:space="preserve">Enzyme inducers: </w:t>
            </w:r>
            <w:r>
              <w:rPr>
                <w:sz w:val="21"/>
                <w:szCs w:val="21"/>
              </w:rPr>
              <w:t>rifampicin, some anti-epileptics, St John’s wort? (ordinary antibiotics do NOT count)</w:t>
            </w:r>
          </w:p>
          <w:p w14:paraId="1C550A55" w14:textId="77777777" w:rsidR="00941B63" w:rsidRDefault="00000000">
            <w:pPr>
              <w:pStyle w:val="ListParagraph"/>
              <w:numPr>
                <w:ilvl w:val="0"/>
                <w:numId w:val="2"/>
              </w:numPr>
              <w:spacing w:after="40" w:line="264" w:lineRule="auto"/>
            </w:pPr>
            <w:r>
              <w:rPr>
                <w:b/>
                <w:bCs/>
                <w:color w:val="4A2E84"/>
                <w:sz w:val="21"/>
                <w:szCs w:val="21"/>
              </w:rPr>
              <w:t>E</w:t>
            </w:r>
            <w:r>
              <w:rPr>
                <w:sz w:val="21"/>
                <w:szCs w:val="21"/>
              </w:rPr>
              <w:t xml:space="preserve"> — </w:t>
            </w:r>
            <w:r>
              <w:rPr>
                <w:b/>
                <w:bCs/>
                <w:color w:val="1F2933"/>
                <w:sz w:val="21"/>
                <w:szCs w:val="21"/>
              </w:rPr>
              <w:t xml:space="preserve">Expecting? </w:t>
            </w:r>
            <w:r>
              <w:rPr>
                <w:sz w:val="21"/>
                <w:szCs w:val="21"/>
              </w:rPr>
              <w:t>could she be pregnant? Always exclude it.</w:t>
            </w:r>
          </w:p>
          <w:p w14:paraId="057A1834" w14:textId="77777777" w:rsidR="00941B63" w:rsidRDefault="00000000">
            <w:pPr>
              <w:pStyle w:val="ListParagraph"/>
              <w:numPr>
                <w:ilvl w:val="0"/>
                <w:numId w:val="2"/>
              </w:numPr>
              <w:spacing w:after="40" w:line="264" w:lineRule="auto"/>
            </w:pPr>
            <w:r>
              <w:rPr>
                <w:b/>
                <w:bCs/>
                <w:color w:val="4A2E84"/>
                <w:sz w:val="21"/>
                <w:szCs w:val="21"/>
              </w:rPr>
              <w:t>D</w:t>
            </w:r>
            <w:r>
              <w:rPr>
                <w:sz w:val="21"/>
                <w:szCs w:val="21"/>
              </w:rPr>
              <w:t xml:space="preserve"> — </w:t>
            </w:r>
            <w:r>
              <w:rPr>
                <w:b/>
                <w:bCs/>
                <w:color w:val="1F2933"/>
                <w:sz w:val="21"/>
                <w:szCs w:val="21"/>
              </w:rPr>
              <w:t xml:space="preserve">Disease: </w:t>
            </w:r>
            <w:r>
              <w:rPr>
                <w:sz w:val="21"/>
                <w:szCs w:val="21"/>
              </w:rPr>
              <w:t>infection (chlamydia), bleeding after sex, or cervical changes? Is her smear up to date?</w:t>
            </w:r>
          </w:p>
        </w:tc>
      </w:tr>
    </w:tbl>
    <w:p w14:paraId="549368CB" w14:textId="77777777" w:rsidR="00941B63" w:rsidRDefault="00941B63">
      <w:pPr>
        <w:spacing w:after="36"/>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941B63" w14:paraId="323E1C09" w14:textId="77777777">
        <w:tblPrEx>
          <w:tblCellMar>
            <w:top w:w="0" w:type="dxa"/>
            <w:bottom w:w="0" w:type="dxa"/>
          </w:tblCellMar>
        </w:tblPrEx>
        <w:trPr>
          <w:cantSplit/>
        </w:trPr>
        <w:tc>
          <w:tcPr>
            <w:tcW w:w="9746" w:type="dxa"/>
            <w:tcBorders>
              <w:top w:val="single" w:sz="4" w:space="0" w:color="FCEFD4"/>
              <w:left w:val="single" w:sz="26" w:space="0" w:color="C97B0C"/>
              <w:bottom w:val="single" w:sz="4" w:space="0" w:color="FCEFD4"/>
              <w:right w:val="single" w:sz="4" w:space="0" w:color="FCEFD4"/>
            </w:tcBorders>
            <w:shd w:val="clear" w:color="auto" w:fill="FCEFD4"/>
            <w:tcMar>
              <w:top w:w="130" w:type="dxa"/>
              <w:left w:w="200" w:type="dxa"/>
              <w:bottom w:w="130" w:type="dxa"/>
              <w:right w:w="180" w:type="dxa"/>
            </w:tcMar>
          </w:tcPr>
          <w:p w14:paraId="36281F32" w14:textId="77777777" w:rsidR="00941B63" w:rsidRDefault="00000000">
            <w:pPr>
              <w:spacing w:after="60"/>
            </w:pPr>
            <w:r>
              <w:rPr>
                <w:b/>
                <w:bCs/>
                <w:color w:val="8A5A00"/>
              </w:rPr>
              <w:lastRenderedPageBreak/>
              <w:t>Examine and investigate — you MUST when</w:t>
            </w:r>
          </w:p>
          <w:p w14:paraId="3C4186C6" w14:textId="77777777" w:rsidR="00941B63" w:rsidRDefault="00000000">
            <w:pPr>
              <w:pStyle w:val="ListParagraph"/>
              <w:numPr>
                <w:ilvl w:val="0"/>
                <w:numId w:val="2"/>
              </w:numPr>
              <w:spacing w:after="40" w:line="264" w:lineRule="auto"/>
            </w:pPr>
            <w:r>
              <w:rPr>
                <w:sz w:val="21"/>
                <w:szCs w:val="21"/>
              </w:rPr>
              <w:t>Bleeding persists beyond 3 months despite correct, consistent use; or</w:t>
            </w:r>
          </w:p>
          <w:p w14:paraId="38DC29F4" w14:textId="77777777" w:rsidR="00941B63" w:rsidRDefault="00000000">
            <w:pPr>
              <w:pStyle w:val="ListParagraph"/>
              <w:numPr>
                <w:ilvl w:val="0"/>
                <w:numId w:val="2"/>
              </w:numPr>
              <w:spacing w:after="40" w:line="264" w:lineRule="auto"/>
            </w:pPr>
            <w:r>
              <w:rPr>
                <w:sz w:val="21"/>
                <w:szCs w:val="21"/>
              </w:rPr>
              <w:t xml:space="preserve">Bleeding is new after a </w:t>
            </w:r>
            <w:proofErr w:type="gramStart"/>
            <w:r>
              <w:rPr>
                <w:sz w:val="21"/>
                <w:szCs w:val="21"/>
              </w:rPr>
              <w:t>long settled</w:t>
            </w:r>
            <w:proofErr w:type="gramEnd"/>
            <w:r>
              <w:rPr>
                <w:sz w:val="21"/>
                <w:szCs w:val="21"/>
              </w:rPr>
              <w:t xml:space="preserve"> pattern; or</w:t>
            </w:r>
          </w:p>
          <w:p w14:paraId="71424F2D" w14:textId="77777777" w:rsidR="00941B63" w:rsidRDefault="00000000">
            <w:pPr>
              <w:pStyle w:val="ListParagraph"/>
              <w:numPr>
                <w:ilvl w:val="0"/>
                <w:numId w:val="2"/>
              </w:numPr>
              <w:spacing w:after="40" w:line="264" w:lineRule="auto"/>
            </w:pPr>
            <w:r>
              <w:rPr>
                <w:sz w:val="21"/>
                <w:szCs w:val="21"/>
              </w:rPr>
              <w:t>There is bleeding after sex, pain during sex, or abnormal discharge.</w:t>
            </w:r>
          </w:p>
          <w:p w14:paraId="17E473E0" w14:textId="77777777" w:rsidR="00941B63" w:rsidRDefault="00000000">
            <w:pPr>
              <w:spacing w:after="50" w:line="264" w:lineRule="auto"/>
            </w:pPr>
            <w:r>
              <w:rPr>
                <w:b/>
                <w:bCs/>
                <w:color w:val="8A5A00"/>
                <w:sz w:val="21"/>
                <w:szCs w:val="21"/>
              </w:rPr>
              <w:t xml:space="preserve">Then: </w:t>
            </w:r>
            <w:r>
              <w:rPr>
                <w:sz w:val="21"/>
                <w:szCs w:val="21"/>
              </w:rPr>
              <w:t>perform a speculum examination, take infection swabs, ensure cervical screening is up to date, exclude pregnancy, and refer for ultrasound or gynaecology if pathology is suspected (FSRH; NICE CKS).</w:t>
            </w:r>
          </w:p>
        </w:tc>
      </w:tr>
    </w:tbl>
    <w:p w14:paraId="13C65FF0" w14:textId="77777777" w:rsidR="00941B63" w:rsidRDefault="00941B63">
      <w:pPr>
        <w:spacing w:after="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941B63" w14:paraId="6FF5799D" w14:textId="77777777">
        <w:tblPrEx>
          <w:tblCellMar>
            <w:top w:w="0" w:type="dxa"/>
            <w:bottom w:w="0" w:type="dxa"/>
          </w:tblCellMar>
        </w:tblPrEx>
        <w:trPr>
          <w:cantSplit/>
        </w:trPr>
        <w:tc>
          <w:tcPr>
            <w:tcW w:w="9746" w:type="dxa"/>
            <w:tcBorders>
              <w:top w:val="single" w:sz="4" w:space="0" w:color="FCEAE8"/>
              <w:left w:val="single" w:sz="26" w:space="0" w:color="C0392B"/>
              <w:bottom w:val="single" w:sz="4" w:space="0" w:color="FCEAE8"/>
              <w:right w:val="single" w:sz="4" w:space="0" w:color="FCEAE8"/>
            </w:tcBorders>
            <w:shd w:val="clear" w:color="auto" w:fill="FCEAE8"/>
            <w:tcMar>
              <w:top w:w="130" w:type="dxa"/>
              <w:left w:w="200" w:type="dxa"/>
              <w:bottom w:w="130" w:type="dxa"/>
              <w:right w:w="180" w:type="dxa"/>
            </w:tcMar>
          </w:tcPr>
          <w:p w14:paraId="3C5B256C" w14:textId="77777777" w:rsidR="00941B63" w:rsidRDefault="00000000">
            <w:pPr>
              <w:spacing w:after="60"/>
            </w:pPr>
            <w:r>
              <w:rPr>
                <w:b/>
                <w:bCs/>
                <w:color w:val="942011"/>
              </w:rPr>
              <w:t>Red flags — STOP the combined pill and act urgently</w:t>
            </w:r>
          </w:p>
          <w:p w14:paraId="0FB772A9" w14:textId="77777777" w:rsidR="00941B63" w:rsidRDefault="00000000">
            <w:pPr>
              <w:spacing w:after="50" w:line="264" w:lineRule="auto"/>
            </w:pPr>
            <w:r>
              <w:rPr>
                <w:sz w:val="21"/>
                <w:szCs w:val="21"/>
              </w:rPr>
              <w:t>Chest pain or breathlessness; a swollen, painful calf; sudden severe or one-sided headache; weakness, slurred speech or visual loss; or new migraine with aura.</w:t>
            </w:r>
          </w:p>
          <w:p w14:paraId="0BB66962" w14:textId="77777777" w:rsidR="00941B63" w:rsidRDefault="00000000">
            <w:pPr>
              <w:spacing w:after="50" w:line="264" w:lineRule="auto"/>
            </w:pPr>
            <w:r>
              <w:rPr>
                <w:b/>
                <w:bCs/>
                <w:color w:val="942011"/>
                <w:sz w:val="21"/>
                <w:szCs w:val="21"/>
              </w:rPr>
              <w:t>These suggest a clot or stroke. Urgent assessment is required.</w:t>
            </w:r>
          </w:p>
        </w:tc>
      </w:tr>
    </w:tbl>
    <w:p w14:paraId="374771E6" w14:textId="77777777" w:rsidR="00941B63" w:rsidRDefault="00000000">
      <w:pPr>
        <w:pStyle w:val="Heading1"/>
        <w:keepNext/>
        <w:pBdr>
          <w:bottom w:val="single" w:sz="14" w:space="4" w:color="E2711D"/>
        </w:pBdr>
      </w:pPr>
      <w:r>
        <w:t>6. Drug interactions — bust the antibiotic myth</w:t>
      </w:r>
    </w:p>
    <w:tbl>
      <w:tblPr>
        <w:tblW w:w="9746" w:type="dxa"/>
        <w:tblBorders>
          <w:top w:val="single" w:sz="2" w:space="0" w:color="D9E0E6"/>
          <w:left w:val="single" w:sz="2" w:space="0" w:color="D9E0E6"/>
          <w:bottom w:val="single" w:sz="2" w:space="0" w:color="D9E0E6"/>
          <w:right w:val="single" w:sz="2" w:space="0" w:color="D9E0E6"/>
          <w:insideH w:val="single" w:sz="2" w:space="0" w:color="D9E0E6"/>
          <w:insideV w:val="single" w:sz="2" w:space="0" w:color="D9E0E6"/>
        </w:tblBorders>
        <w:tblCellMar>
          <w:left w:w="10" w:type="dxa"/>
          <w:right w:w="10" w:type="dxa"/>
        </w:tblCellMar>
        <w:tblLook w:val="04A0" w:firstRow="1" w:lastRow="0" w:firstColumn="1" w:lastColumn="0" w:noHBand="0" w:noVBand="1"/>
      </w:tblPr>
      <w:tblGrid>
        <w:gridCol w:w="4873"/>
        <w:gridCol w:w="4873"/>
      </w:tblGrid>
      <w:tr w:rsidR="00941B63" w14:paraId="2D0C7EB4" w14:textId="77777777">
        <w:tblPrEx>
          <w:tblCellMar>
            <w:top w:w="0" w:type="dxa"/>
            <w:bottom w:w="0" w:type="dxa"/>
          </w:tblCellMar>
        </w:tblPrEx>
        <w:trPr>
          <w:tblHeader/>
        </w:trPr>
        <w:tc>
          <w:tcPr>
            <w:tcW w:w="4873" w:type="dxa"/>
            <w:shd w:val="clear" w:color="auto" w:fill="0E5C6B"/>
            <w:tcMar>
              <w:top w:w="64" w:type="dxa"/>
              <w:left w:w="150" w:type="dxa"/>
              <w:bottom w:w="64" w:type="dxa"/>
              <w:right w:w="150" w:type="dxa"/>
            </w:tcMar>
            <w:vAlign w:val="center"/>
          </w:tcPr>
          <w:p w14:paraId="4AE953C1" w14:textId="77777777" w:rsidR="00941B63" w:rsidRDefault="00000000">
            <w:r>
              <w:rPr>
                <w:b/>
                <w:bCs/>
                <w:color w:val="FFFFFF"/>
                <w:sz w:val="20"/>
                <w:szCs w:val="20"/>
              </w:rPr>
              <w:t>MYTH</w:t>
            </w:r>
          </w:p>
        </w:tc>
        <w:tc>
          <w:tcPr>
            <w:tcW w:w="4873" w:type="dxa"/>
            <w:shd w:val="clear" w:color="auto" w:fill="0E5C6B"/>
            <w:tcMar>
              <w:top w:w="64" w:type="dxa"/>
              <w:left w:w="150" w:type="dxa"/>
              <w:bottom w:w="64" w:type="dxa"/>
              <w:right w:w="150" w:type="dxa"/>
            </w:tcMar>
            <w:vAlign w:val="center"/>
          </w:tcPr>
          <w:p w14:paraId="743EECBA" w14:textId="77777777" w:rsidR="00941B63" w:rsidRDefault="00000000">
            <w:r>
              <w:rPr>
                <w:b/>
                <w:bCs/>
                <w:color w:val="FFFFFF"/>
                <w:sz w:val="20"/>
                <w:szCs w:val="20"/>
              </w:rPr>
              <w:t>FACT (current UK guidance)</w:t>
            </w:r>
          </w:p>
        </w:tc>
      </w:tr>
      <w:tr w:rsidR="00941B63" w14:paraId="2BEDD1B0" w14:textId="77777777">
        <w:tblPrEx>
          <w:tblCellMar>
            <w:top w:w="0" w:type="dxa"/>
            <w:bottom w:w="0" w:type="dxa"/>
          </w:tblCellMar>
        </w:tblPrEx>
        <w:tc>
          <w:tcPr>
            <w:tcW w:w="4873" w:type="dxa"/>
            <w:shd w:val="clear" w:color="auto" w:fill="FCEAE8"/>
            <w:tcMar>
              <w:top w:w="64" w:type="dxa"/>
              <w:left w:w="150" w:type="dxa"/>
              <w:bottom w:w="64" w:type="dxa"/>
              <w:right w:w="150" w:type="dxa"/>
            </w:tcMar>
            <w:vAlign w:val="center"/>
          </w:tcPr>
          <w:p w14:paraId="53657EDB" w14:textId="77777777" w:rsidR="00941B63" w:rsidRDefault="00000000">
            <w:r>
              <w:rPr>
                <w:i/>
                <w:iCs/>
                <w:color w:val="942011"/>
                <w:sz w:val="20"/>
                <w:szCs w:val="20"/>
              </w:rPr>
              <w:t>“All antibiotics stop the pill working, so use condoms.”</w:t>
            </w:r>
          </w:p>
        </w:tc>
        <w:tc>
          <w:tcPr>
            <w:tcW w:w="4873" w:type="dxa"/>
            <w:shd w:val="clear" w:color="auto" w:fill="E6F4EA"/>
            <w:tcMar>
              <w:top w:w="64" w:type="dxa"/>
              <w:left w:w="150" w:type="dxa"/>
              <w:bottom w:w="64" w:type="dxa"/>
              <w:right w:w="150" w:type="dxa"/>
            </w:tcMar>
            <w:vAlign w:val="center"/>
          </w:tcPr>
          <w:p w14:paraId="77C06BA0" w14:textId="77777777" w:rsidR="00941B63" w:rsidRDefault="00000000">
            <w:r>
              <w:rPr>
                <w:color w:val="1E5E37"/>
                <w:sz w:val="20"/>
                <w:szCs w:val="20"/>
              </w:rPr>
              <w:t>Ordinary (non-enzyme-inducing) antibiotics do NOT reduce the pill’s effect. No extra precautions are needed — unless the illness or drug causes vomiting or diarrhoea (FSRH 2022).</w:t>
            </w:r>
          </w:p>
        </w:tc>
      </w:tr>
    </w:tbl>
    <w:p w14:paraId="5D920A74" w14:textId="77777777" w:rsidR="00941B63" w:rsidRDefault="00941B63">
      <w:pPr>
        <w:spacing w:after="80"/>
      </w:pPr>
    </w:p>
    <w:p w14:paraId="46A7E2DA" w14:textId="77777777" w:rsidR="00941B63" w:rsidRDefault="00000000">
      <w:pPr>
        <w:spacing w:after="120" w:line="276" w:lineRule="auto"/>
      </w:pPr>
      <w:r>
        <w:rPr>
          <w:b/>
          <w:bCs/>
          <w:color w:val="1F2933"/>
        </w:rPr>
        <w:t xml:space="preserve">What DOES matter — enzyme inducers. </w:t>
      </w:r>
      <w:r>
        <w:t xml:space="preserve">Drugs such as rifampicin and rifabutin, some anti-epileptics (e.g. carbamazepine, phenytoin), some HIV medicines, and St John’s wort speed up hormone breakdown. They reduce the effectiveness of all combined pills, all </w:t>
      </w:r>
      <w:proofErr w:type="gramStart"/>
      <w:r>
        <w:t>mini-pills</w:t>
      </w:r>
      <w:proofErr w:type="gramEnd"/>
      <w:r>
        <w:t>, the implant and oral emergency contraception (FSRH 2022).</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941B63" w14:paraId="4D67349A" w14:textId="77777777">
        <w:tblPrEx>
          <w:tblCellMar>
            <w:top w:w="0" w:type="dxa"/>
            <w:bottom w:w="0" w:type="dxa"/>
          </w:tblCellMar>
        </w:tblPrEx>
        <w:trPr>
          <w:cantSplit/>
        </w:trPr>
        <w:tc>
          <w:tcPr>
            <w:tcW w:w="9746" w:type="dxa"/>
            <w:tcBorders>
              <w:top w:val="single" w:sz="4" w:space="0" w:color="E7F0FA"/>
              <w:left w:val="single" w:sz="26" w:space="0" w:color="2E6FB0"/>
              <w:bottom w:val="single" w:sz="4" w:space="0" w:color="E7F0FA"/>
              <w:right w:val="single" w:sz="4" w:space="0" w:color="E7F0FA"/>
            </w:tcBorders>
            <w:shd w:val="clear" w:color="auto" w:fill="E7F0FA"/>
            <w:tcMar>
              <w:top w:w="130" w:type="dxa"/>
              <w:left w:w="200" w:type="dxa"/>
              <w:bottom w:w="130" w:type="dxa"/>
              <w:right w:w="180" w:type="dxa"/>
            </w:tcMar>
          </w:tcPr>
          <w:p w14:paraId="31B68F73" w14:textId="77777777" w:rsidR="00941B63" w:rsidRDefault="00000000">
            <w:pPr>
              <w:spacing w:after="60"/>
            </w:pPr>
            <w:r>
              <w:rPr>
                <w:b/>
                <w:bCs/>
                <w:color w:val="1B4E7A"/>
              </w:rPr>
              <w:t>If an enzyme inducer is needed</w:t>
            </w:r>
          </w:p>
          <w:p w14:paraId="43AA08D7" w14:textId="77777777" w:rsidR="00941B63" w:rsidRDefault="00000000">
            <w:pPr>
              <w:pStyle w:val="ListParagraph"/>
              <w:numPr>
                <w:ilvl w:val="0"/>
                <w:numId w:val="2"/>
              </w:numPr>
              <w:spacing w:after="40" w:line="264" w:lineRule="auto"/>
            </w:pPr>
            <w:r>
              <w:rPr>
                <w:sz w:val="21"/>
                <w:szCs w:val="21"/>
              </w:rPr>
              <w:t>Short-term use: continue the method and add reliable condoms during treatment and for 4 weeks after stopping.</w:t>
            </w:r>
          </w:p>
          <w:p w14:paraId="6D2206AE" w14:textId="77777777" w:rsidR="00941B63" w:rsidRDefault="00000000">
            <w:pPr>
              <w:pStyle w:val="ListParagraph"/>
              <w:numPr>
                <w:ilvl w:val="0"/>
                <w:numId w:val="2"/>
              </w:numPr>
              <w:spacing w:after="40" w:line="264" w:lineRule="auto"/>
            </w:pPr>
            <w:r>
              <w:rPr>
                <w:sz w:val="21"/>
                <w:szCs w:val="21"/>
              </w:rPr>
              <w:t>Long-term use: you must switch to a method that is not affected — the copper coil, the progestogen injection, or the levonorgestrel intrauterine system (FSRH).</w:t>
            </w:r>
          </w:p>
        </w:tc>
      </w:tr>
    </w:tbl>
    <w:p w14:paraId="0FCCFCAC" w14:textId="77777777" w:rsidR="00A06BED" w:rsidRDefault="00A06BED">
      <w:pPr>
        <w:pStyle w:val="Heading1"/>
        <w:keepNext/>
        <w:pBdr>
          <w:bottom w:val="single" w:sz="14" w:space="4" w:color="E2711D"/>
        </w:pBdr>
      </w:pPr>
    </w:p>
    <w:p w14:paraId="6FF1821B" w14:textId="77777777" w:rsidR="00A06BED" w:rsidRDefault="00A06BED">
      <w:pPr>
        <w:rPr>
          <w:b/>
          <w:bCs/>
          <w:color w:val="0E5C6B"/>
          <w:sz w:val="30"/>
          <w:szCs w:val="30"/>
        </w:rPr>
      </w:pPr>
      <w:r>
        <w:br w:type="page"/>
      </w:r>
    </w:p>
    <w:p w14:paraId="0B59C74C" w14:textId="460604C3" w:rsidR="00941B63" w:rsidRDefault="00000000">
      <w:pPr>
        <w:pStyle w:val="Heading1"/>
        <w:keepNext/>
        <w:pBdr>
          <w:bottom w:val="single" w:sz="14" w:space="4" w:color="E2711D"/>
        </w:pBdr>
      </w:pPr>
      <w:r>
        <w:lastRenderedPageBreak/>
        <w:t>7. The mini-pill (progestogen-only pill)</w:t>
      </w:r>
    </w:p>
    <w:p w14:paraId="0E3F6FCD" w14:textId="77777777" w:rsidR="00941B63" w:rsidRDefault="00000000">
      <w:pPr>
        <w:spacing w:after="120" w:line="276" w:lineRule="auto"/>
      </w:pPr>
      <w:r>
        <w:t xml:space="preserve">Any </w:t>
      </w:r>
      <w:proofErr w:type="gramStart"/>
      <w:r>
        <w:t>mini-pill</w:t>
      </w:r>
      <w:proofErr w:type="gramEnd"/>
      <w:r>
        <w:t xml:space="preserve"> can be offered by preference. </w:t>
      </w:r>
      <w:proofErr w:type="spellStart"/>
      <w:r>
        <w:t>Desogestrel</w:t>
      </w:r>
      <w:proofErr w:type="spellEnd"/>
      <w:r>
        <w:t xml:space="preserve"> is commonly chosen first because of its forgiving 12-hour window. The longer the window, the more forgiving the pill.</w:t>
      </w:r>
    </w:p>
    <w:p w14:paraId="32B0C000" w14:textId="77777777" w:rsidR="00941B63" w:rsidRDefault="00000000">
      <w:pPr>
        <w:spacing w:before="60" w:after="100"/>
        <w:jc w:val="center"/>
      </w:pPr>
      <w:r>
        <w:rPr>
          <w:noProof/>
        </w:rPr>
        <w:drawing>
          <wp:inline distT="0" distB="0" distL="0" distR="0" wp14:anchorId="58E6BFFD" wp14:editId="276043E6">
            <wp:extent cx="5715000" cy="2733675"/>
            <wp:effectExtent l="0" t="0" r="0" b="0"/>
            <wp:docPr id="593183755" name="Mini-pill_late_windows_compared" descr="Mini-pill late windows compared" title="Mini-pill late windows comp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715000" cy="2733675"/>
                    </a:xfrm>
                    <a:prstGeom prst="rect">
                      <a:avLst/>
                    </a:prstGeom>
                  </pic:spPr>
                </pic:pic>
              </a:graphicData>
            </a:graphic>
          </wp:inline>
        </w:drawing>
      </w:r>
    </w:p>
    <w:tbl>
      <w:tblPr>
        <w:tblW w:w="9746" w:type="dxa"/>
        <w:tblBorders>
          <w:top w:val="single" w:sz="2" w:space="0" w:color="D9E0E6"/>
          <w:left w:val="single" w:sz="2" w:space="0" w:color="D9E0E6"/>
          <w:bottom w:val="single" w:sz="2" w:space="0" w:color="D9E0E6"/>
          <w:right w:val="single" w:sz="2" w:space="0" w:color="D9E0E6"/>
          <w:insideH w:val="single" w:sz="2" w:space="0" w:color="D9E0E6"/>
          <w:insideV w:val="single" w:sz="2" w:space="0" w:color="D9E0E6"/>
        </w:tblBorders>
        <w:tblCellMar>
          <w:left w:w="10" w:type="dxa"/>
          <w:right w:w="10" w:type="dxa"/>
        </w:tblCellMar>
        <w:tblLook w:val="04A0" w:firstRow="1" w:lastRow="0" w:firstColumn="1" w:lastColumn="0" w:noHBand="0" w:noVBand="1"/>
      </w:tblPr>
      <w:tblGrid>
        <w:gridCol w:w="2600"/>
        <w:gridCol w:w="1500"/>
        <w:gridCol w:w="3000"/>
        <w:gridCol w:w="2646"/>
      </w:tblGrid>
      <w:tr w:rsidR="00941B63" w14:paraId="08F8D8AA" w14:textId="77777777">
        <w:tblPrEx>
          <w:tblCellMar>
            <w:top w:w="0" w:type="dxa"/>
            <w:bottom w:w="0" w:type="dxa"/>
          </w:tblCellMar>
        </w:tblPrEx>
        <w:trPr>
          <w:tblHeader/>
        </w:trPr>
        <w:tc>
          <w:tcPr>
            <w:tcW w:w="2600" w:type="dxa"/>
            <w:shd w:val="clear" w:color="auto" w:fill="0E5C6B"/>
            <w:tcMar>
              <w:top w:w="64" w:type="dxa"/>
              <w:left w:w="150" w:type="dxa"/>
              <w:bottom w:w="64" w:type="dxa"/>
              <w:right w:w="150" w:type="dxa"/>
            </w:tcMar>
            <w:vAlign w:val="center"/>
          </w:tcPr>
          <w:p w14:paraId="41C28024" w14:textId="77777777" w:rsidR="00941B63" w:rsidRDefault="00000000">
            <w:r>
              <w:rPr>
                <w:b/>
                <w:bCs/>
                <w:color w:val="FFFFFF"/>
                <w:sz w:val="20"/>
                <w:szCs w:val="20"/>
              </w:rPr>
              <w:t>Type (examples)</w:t>
            </w:r>
          </w:p>
        </w:tc>
        <w:tc>
          <w:tcPr>
            <w:tcW w:w="1500" w:type="dxa"/>
            <w:shd w:val="clear" w:color="auto" w:fill="0E5C6B"/>
            <w:tcMar>
              <w:top w:w="64" w:type="dxa"/>
              <w:left w:w="150" w:type="dxa"/>
              <w:bottom w:w="64" w:type="dxa"/>
              <w:right w:w="150" w:type="dxa"/>
            </w:tcMar>
            <w:vAlign w:val="center"/>
          </w:tcPr>
          <w:p w14:paraId="5DBAAB22" w14:textId="77777777" w:rsidR="00941B63" w:rsidRDefault="00000000">
            <w:r>
              <w:rPr>
                <w:b/>
                <w:bCs/>
                <w:color w:val="FFFFFF"/>
                <w:sz w:val="20"/>
                <w:szCs w:val="20"/>
              </w:rPr>
              <w:t>Late window</w:t>
            </w:r>
          </w:p>
        </w:tc>
        <w:tc>
          <w:tcPr>
            <w:tcW w:w="3000" w:type="dxa"/>
            <w:shd w:val="clear" w:color="auto" w:fill="0E5C6B"/>
            <w:tcMar>
              <w:top w:w="64" w:type="dxa"/>
              <w:left w:w="150" w:type="dxa"/>
              <w:bottom w:w="64" w:type="dxa"/>
              <w:right w:w="150" w:type="dxa"/>
            </w:tcMar>
            <w:vAlign w:val="center"/>
          </w:tcPr>
          <w:p w14:paraId="5D44312F" w14:textId="77777777" w:rsidR="00941B63" w:rsidRDefault="00000000">
            <w:r>
              <w:rPr>
                <w:b/>
                <w:bCs/>
                <w:color w:val="FFFFFF"/>
                <w:sz w:val="20"/>
                <w:szCs w:val="20"/>
              </w:rPr>
              <w:t>How it works</w:t>
            </w:r>
          </w:p>
        </w:tc>
        <w:tc>
          <w:tcPr>
            <w:tcW w:w="2646" w:type="dxa"/>
            <w:shd w:val="clear" w:color="auto" w:fill="0E5C6B"/>
            <w:tcMar>
              <w:top w:w="64" w:type="dxa"/>
              <w:left w:w="150" w:type="dxa"/>
              <w:bottom w:w="64" w:type="dxa"/>
              <w:right w:w="150" w:type="dxa"/>
            </w:tcMar>
            <w:vAlign w:val="center"/>
          </w:tcPr>
          <w:p w14:paraId="1C1FBF41" w14:textId="77777777" w:rsidR="00941B63" w:rsidRDefault="00000000">
            <w:r>
              <w:rPr>
                <w:b/>
                <w:bCs/>
                <w:color w:val="FFFFFF"/>
                <w:sz w:val="20"/>
                <w:szCs w:val="20"/>
              </w:rPr>
              <w:t>Notes</w:t>
            </w:r>
          </w:p>
        </w:tc>
      </w:tr>
      <w:tr w:rsidR="00941B63" w14:paraId="26792398" w14:textId="77777777">
        <w:tblPrEx>
          <w:tblCellMar>
            <w:top w:w="0" w:type="dxa"/>
            <w:bottom w:w="0" w:type="dxa"/>
          </w:tblCellMar>
        </w:tblPrEx>
        <w:tc>
          <w:tcPr>
            <w:tcW w:w="2600" w:type="dxa"/>
            <w:tcMar>
              <w:top w:w="64" w:type="dxa"/>
              <w:left w:w="150" w:type="dxa"/>
              <w:bottom w:w="64" w:type="dxa"/>
              <w:right w:w="150" w:type="dxa"/>
            </w:tcMar>
            <w:vAlign w:val="center"/>
          </w:tcPr>
          <w:p w14:paraId="4D9CA023" w14:textId="77777777" w:rsidR="00941B63" w:rsidRDefault="00000000">
            <w:r>
              <w:rPr>
                <w:b/>
                <w:bCs/>
                <w:color w:val="1F2933"/>
                <w:sz w:val="20"/>
                <w:szCs w:val="20"/>
              </w:rPr>
              <w:t>Traditional — levonorgestrel or norethisterone (</w:t>
            </w:r>
            <w:proofErr w:type="spellStart"/>
            <w:r>
              <w:rPr>
                <w:b/>
                <w:bCs/>
                <w:color w:val="1F2933"/>
                <w:sz w:val="20"/>
                <w:szCs w:val="20"/>
              </w:rPr>
              <w:t>Norgeston</w:t>
            </w:r>
            <w:proofErr w:type="spellEnd"/>
            <w:r>
              <w:rPr>
                <w:b/>
                <w:bCs/>
                <w:color w:val="1F2933"/>
                <w:sz w:val="20"/>
                <w:szCs w:val="20"/>
              </w:rPr>
              <w:t xml:space="preserve">, </w:t>
            </w:r>
            <w:proofErr w:type="spellStart"/>
            <w:r>
              <w:rPr>
                <w:b/>
                <w:bCs/>
                <w:color w:val="1F2933"/>
                <w:sz w:val="20"/>
                <w:szCs w:val="20"/>
              </w:rPr>
              <w:t>Noriday</w:t>
            </w:r>
            <w:proofErr w:type="spellEnd"/>
            <w:r>
              <w:rPr>
                <w:b/>
                <w:bCs/>
                <w:color w:val="1F2933"/>
                <w:sz w:val="20"/>
                <w:szCs w:val="20"/>
              </w:rPr>
              <w:t>)</w:t>
            </w:r>
          </w:p>
        </w:tc>
        <w:tc>
          <w:tcPr>
            <w:tcW w:w="1500" w:type="dxa"/>
            <w:tcMar>
              <w:top w:w="64" w:type="dxa"/>
              <w:left w:w="150" w:type="dxa"/>
              <w:bottom w:w="64" w:type="dxa"/>
              <w:right w:w="150" w:type="dxa"/>
            </w:tcMar>
            <w:vAlign w:val="center"/>
          </w:tcPr>
          <w:p w14:paraId="0CB84944" w14:textId="77777777" w:rsidR="00941B63" w:rsidRDefault="00000000">
            <w:r>
              <w:rPr>
                <w:b/>
                <w:bCs/>
                <w:color w:val="942011"/>
                <w:sz w:val="20"/>
                <w:szCs w:val="20"/>
              </w:rPr>
              <w:t>3 hours</w:t>
            </w:r>
          </w:p>
        </w:tc>
        <w:tc>
          <w:tcPr>
            <w:tcW w:w="3000" w:type="dxa"/>
            <w:tcMar>
              <w:top w:w="64" w:type="dxa"/>
              <w:left w:w="150" w:type="dxa"/>
              <w:bottom w:w="64" w:type="dxa"/>
              <w:right w:w="150" w:type="dxa"/>
            </w:tcMar>
            <w:vAlign w:val="center"/>
          </w:tcPr>
          <w:p w14:paraId="14DF746C" w14:textId="77777777" w:rsidR="00941B63" w:rsidRDefault="00000000">
            <w:r>
              <w:rPr>
                <w:sz w:val="20"/>
                <w:szCs w:val="20"/>
              </w:rPr>
              <w:t>Mainly thickens mucus; stops ovulation in only about half of cycles.</w:t>
            </w:r>
          </w:p>
        </w:tc>
        <w:tc>
          <w:tcPr>
            <w:tcW w:w="2646" w:type="dxa"/>
            <w:shd w:val="clear" w:color="auto" w:fill="F7FAFB"/>
            <w:tcMar>
              <w:top w:w="64" w:type="dxa"/>
              <w:left w:w="150" w:type="dxa"/>
              <w:bottom w:w="64" w:type="dxa"/>
              <w:right w:w="150" w:type="dxa"/>
            </w:tcMar>
            <w:vAlign w:val="center"/>
          </w:tcPr>
          <w:p w14:paraId="5B8207FC" w14:textId="77777777" w:rsidR="00941B63" w:rsidRDefault="00000000">
            <w:r>
              <w:rPr>
                <w:sz w:val="20"/>
                <w:szCs w:val="20"/>
              </w:rPr>
              <w:t>Least forgiving — needs strict timing.</w:t>
            </w:r>
          </w:p>
        </w:tc>
      </w:tr>
      <w:tr w:rsidR="00941B63" w14:paraId="71E852A4" w14:textId="77777777">
        <w:tblPrEx>
          <w:tblCellMar>
            <w:top w:w="0" w:type="dxa"/>
            <w:bottom w:w="0" w:type="dxa"/>
          </w:tblCellMar>
        </w:tblPrEx>
        <w:tc>
          <w:tcPr>
            <w:tcW w:w="2600" w:type="dxa"/>
            <w:tcMar>
              <w:top w:w="64" w:type="dxa"/>
              <w:left w:w="150" w:type="dxa"/>
              <w:bottom w:w="64" w:type="dxa"/>
              <w:right w:w="150" w:type="dxa"/>
            </w:tcMar>
            <w:vAlign w:val="center"/>
          </w:tcPr>
          <w:p w14:paraId="105737EB" w14:textId="77777777" w:rsidR="00941B63" w:rsidRPr="00A06BED" w:rsidRDefault="00000000">
            <w:pPr>
              <w:rPr>
                <w:lang w:val="it-IT"/>
              </w:rPr>
            </w:pPr>
            <w:proofErr w:type="spellStart"/>
            <w:r w:rsidRPr="00A06BED">
              <w:rPr>
                <w:b/>
                <w:bCs/>
                <w:color w:val="1F2933"/>
                <w:sz w:val="20"/>
                <w:szCs w:val="20"/>
                <w:lang w:val="it-IT"/>
              </w:rPr>
              <w:t>Desogestrel</w:t>
            </w:r>
            <w:proofErr w:type="spellEnd"/>
            <w:r w:rsidRPr="00A06BED">
              <w:rPr>
                <w:b/>
                <w:bCs/>
                <w:color w:val="1F2933"/>
                <w:sz w:val="20"/>
                <w:szCs w:val="20"/>
                <w:lang w:val="it-IT"/>
              </w:rPr>
              <w:t xml:space="preserve"> 75 </w:t>
            </w:r>
            <w:proofErr w:type="spellStart"/>
            <w:r w:rsidRPr="00A06BED">
              <w:rPr>
                <w:b/>
                <w:bCs/>
                <w:color w:val="1F2933"/>
                <w:sz w:val="20"/>
                <w:szCs w:val="20"/>
                <w:lang w:val="it-IT"/>
              </w:rPr>
              <w:t>mcg</w:t>
            </w:r>
            <w:proofErr w:type="spellEnd"/>
            <w:r w:rsidRPr="00A06BED">
              <w:rPr>
                <w:b/>
                <w:bCs/>
                <w:color w:val="1F2933"/>
                <w:sz w:val="20"/>
                <w:szCs w:val="20"/>
                <w:lang w:val="it-IT"/>
              </w:rPr>
              <w:t xml:space="preserve"> (Cerazette, </w:t>
            </w:r>
            <w:proofErr w:type="spellStart"/>
            <w:r w:rsidRPr="00A06BED">
              <w:rPr>
                <w:b/>
                <w:bCs/>
                <w:color w:val="1F2933"/>
                <w:sz w:val="20"/>
                <w:szCs w:val="20"/>
                <w:lang w:val="it-IT"/>
              </w:rPr>
              <w:t>Cerelle</w:t>
            </w:r>
            <w:proofErr w:type="spellEnd"/>
            <w:r w:rsidRPr="00A06BED">
              <w:rPr>
                <w:b/>
                <w:bCs/>
                <w:color w:val="1F2933"/>
                <w:sz w:val="20"/>
                <w:szCs w:val="20"/>
                <w:lang w:val="it-IT"/>
              </w:rPr>
              <w:t>, Lovima, Hana)</w:t>
            </w:r>
          </w:p>
        </w:tc>
        <w:tc>
          <w:tcPr>
            <w:tcW w:w="1500" w:type="dxa"/>
            <w:tcMar>
              <w:top w:w="64" w:type="dxa"/>
              <w:left w:w="150" w:type="dxa"/>
              <w:bottom w:w="64" w:type="dxa"/>
              <w:right w:w="150" w:type="dxa"/>
            </w:tcMar>
            <w:vAlign w:val="center"/>
          </w:tcPr>
          <w:p w14:paraId="7D08E099" w14:textId="77777777" w:rsidR="00941B63" w:rsidRDefault="00000000">
            <w:r>
              <w:rPr>
                <w:b/>
                <w:bCs/>
                <w:color w:val="8A5A00"/>
                <w:sz w:val="20"/>
                <w:szCs w:val="20"/>
              </w:rPr>
              <w:t>12 hours</w:t>
            </w:r>
          </w:p>
        </w:tc>
        <w:tc>
          <w:tcPr>
            <w:tcW w:w="3000" w:type="dxa"/>
            <w:tcMar>
              <w:top w:w="64" w:type="dxa"/>
              <w:left w:w="150" w:type="dxa"/>
              <w:bottom w:w="64" w:type="dxa"/>
              <w:right w:w="150" w:type="dxa"/>
            </w:tcMar>
            <w:vAlign w:val="center"/>
          </w:tcPr>
          <w:p w14:paraId="589D508E" w14:textId="77777777" w:rsidR="00941B63" w:rsidRDefault="00000000">
            <w:r>
              <w:rPr>
                <w:sz w:val="20"/>
                <w:szCs w:val="20"/>
              </w:rPr>
              <w:t>Reliably stops ovulation.</w:t>
            </w:r>
          </w:p>
        </w:tc>
        <w:tc>
          <w:tcPr>
            <w:tcW w:w="2646" w:type="dxa"/>
            <w:tcMar>
              <w:top w:w="64" w:type="dxa"/>
              <w:left w:w="150" w:type="dxa"/>
              <w:bottom w:w="64" w:type="dxa"/>
              <w:right w:w="150" w:type="dxa"/>
            </w:tcMar>
            <w:vAlign w:val="center"/>
          </w:tcPr>
          <w:p w14:paraId="262844E9" w14:textId="77777777" w:rsidR="00941B63" w:rsidRDefault="00000000">
            <w:r>
              <w:rPr>
                <w:sz w:val="20"/>
                <w:szCs w:val="20"/>
              </w:rPr>
              <w:t>Sold over the counter (Lovima, Hana) since 2021. Lovima contains soya — avoid in soya/peanut allergy; Hana does not.</w:t>
            </w:r>
          </w:p>
        </w:tc>
      </w:tr>
      <w:tr w:rsidR="00941B63" w14:paraId="0A2F4E25" w14:textId="77777777">
        <w:tblPrEx>
          <w:tblCellMar>
            <w:top w:w="0" w:type="dxa"/>
            <w:bottom w:w="0" w:type="dxa"/>
          </w:tblCellMar>
        </w:tblPrEx>
        <w:tc>
          <w:tcPr>
            <w:tcW w:w="2600" w:type="dxa"/>
            <w:tcMar>
              <w:top w:w="64" w:type="dxa"/>
              <w:left w:w="150" w:type="dxa"/>
              <w:bottom w:w="64" w:type="dxa"/>
              <w:right w:w="150" w:type="dxa"/>
            </w:tcMar>
            <w:vAlign w:val="center"/>
          </w:tcPr>
          <w:p w14:paraId="78B76006" w14:textId="77777777" w:rsidR="00941B63" w:rsidRDefault="00000000">
            <w:proofErr w:type="spellStart"/>
            <w:r>
              <w:rPr>
                <w:b/>
                <w:bCs/>
                <w:color w:val="1F2933"/>
                <w:sz w:val="20"/>
                <w:szCs w:val="20"/>
              </w:rPr>
              <w:t>Drospirenone</w:t>
            </w:r>
            <w:proofErr w:type="spellEnd"/>
            <w:r>
              <w:rPr>
                <w:b/>
                <w:bCs/>
                <w:color w:val="1F2933"/>
                <w:sz w:val="20"/>
                <w:szCs w:val="20"/>
              </w:rPr>
              <w:t xml:space="preserve"> 4 mg (</w:t>
            </w:r>
            <w:proofErr w:type="spellStart"/>
            <w:r>
              <w:rPr>
                <w:b/>
                <w:bCs/>
                <w:color w:val="1F2933"/>
                <w:sz w:val="20"/>
                <w:szCs w:val="20"/>
              </w:rPr>
              <w:t>Slynd</w:t>
            </w:r>
            <w:proofErr w:type="spellEnd"/>
            <w:r>
              <w:rPr>
                <w:b/>
                <w:bCs/>
                <w:color w:val="1F2933"/>
                <w:sz w:val="20"/>
                <w:szCs w:val="20"/>
              </w:rPr>
              <w:t>)</w:t>
            </w:r>
          </w:p>
        </w:tc>
        <w:tc>
          <w:tcPr>
            <w:tcW w:w="1500" w:type="dxa"/>
            <w:tcMar>
              <w:top w:w="64" w:type="dxa"/>
              <w:left w:w="150" w:type="dxa"/>
              <w:bottom w:w="64" w:type="dxa"/>
              <w:right w:w="150" w:type="dxa"/>
            </w:tcMar>
            <w:vAlign w:val="center"/>
          </w:tcPr>
          <w:p w14:paraId="2DEBCF86" w14:textId="77777777" w:rsidR="00941B63" w:rsidRDefault="00000000">
            <w:r>
              <w:rPr>
                <w:b/>
                <w:bCs/>
                <w:color w:val="1E5E37"/>
                <w:sz w:val="20"/>
                <w:szCs w:val="20"/>
              </w:rPr>
              <w:t>24 hours</w:t>
            </w:r>
          </w:p>
        </w:tc>
        <w:tc>
          <w:tcPr>
            <w:tcW w:w="3000" w:type="dxa"/>
            <w:tcMar>
              <w:top w:w="64" w:type="dxa"/>
              <w:left w:w="150" w:type="dxa"/>
              <w:bottom w:w="64" w:type="dxa"/>
              <w:right w:w="150" w:type="dxa"/>
            </w:tcMar>
            <w:vAlign w:val="center"/>
          </w:tcPr>
          <w:p w14:paraId="4A851F92" w14:textId="77777777" w:rsidR="00941B63" w:rsidRDefault="00000000">
            <w:r>
              <w:rPr>
                <w:sz w:val="20"/>
                <w:szCs w:val="20"/>
              </w:rPr>
              <w:t xml:space="preserve">Reliably stops ovulation; 24 </w:t>
            </w:r>
            <w:proofErr w:type="gramStart"/>
            <w:r>
              <w:rPr>
                <w:sz w:val="20"/>
                <w:szCs w:val="20"/>
              </w:rPr>
              <w:t>active</w:t>
            </w:r>
            <w:proofErr w:type="gramEnd"/>
            <w:r>
              <w:rPr>
                <w:sz w:val="20"/>
                <w:szCs w:val="20"/>
              </w:rPr>
              <w:t xml:space="preserve"> + 4 inactive pills.</w:t>
            </w:r>
          </w:p>
        </w:tc>
        <w:tc>
          <w:tcPr>
            <w:tcW w:w="2646" w:type="dxa"/>
            <w:shd w:val="clear" w:color="auto" w:fill="F7FAFB"/>
            <w:tcMar>
              <w:top w:w="64" w:type="dxa"/>
              <w:left w:w="150" w:type="dxa"/>
              <w:bottom w:w="64" w:type="dxa"/>
              <w:right w:w="150" w:type="dxa"/>
            </w:tcMar>
            <w:vAlign w:val="center"/>
          </w:tcPr>
          <w:p w14:paraId="70190059" w14:textId="77777777" w:rsidR="00941B63" w:rsidRDefault="00000000">
            <w:r>
              <w:rPr>
                <w:sz w:val="20"/>
                <w:szCs w:val="20"/>
              </w:rPr>
              <w:t>Most forgiving window; the short break aims for more regular bleeding (available in UK from 2024).</w:t>
            </w:r>
          </w:p>
        </w:tc>
      </w:tr>
    </w:tbl>
    <w:p w14:paraId="53D5A600" w14:textId="77777777" w:rsidR="00941B63" w:rsidRDefault="00941B63">
      <w:pPr>
        <w:spacing w:after="6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941B63" w14:paraId="3140FD3C" w14:textId="77777777">
        <w:tblPrEx>
          <w:tblCellMar>
            <w:top w:w="0" w:type="dxa"/>
            <w:bottom w:w="0" w:type="dxa"/>
          </w:tblCellMar>
        </w:tblPrEx>
        <w:trPr>
          <w:cantSplit/>
        </w:trPr>
        <w:tc>
          <w:tcPr>
            <w:tcW w:w="9746" w:type="dxa"/>
            <w:tcBorders>
              <w:top w:val="single" w:sz="4" w:space="0" w:color="E7F0FA"/>
              <w:left w:val="single" w:sz="26" w:space="0" w:color="2E6FB0"/>
              <w:bottom w:val="single" w:sz="4" w:space="0" w:color="E7F0FA"/>
              <w:right w:val="single" w:sz="4" w:space="0" w:color="E7F0FA"/>
            </w:tcBorders>
            <w:shd w:val="clear" w:color="auto" w:fill="E7F0FA"/>
            <w:tcMar>
              <w:top w:w="130" w:type="dxa"/>
              <w:left w:w="200" w:type="dxa"/>
              <w:bottom w:w="130" w:type="dxa"/>
              <w:right w:w="180" w:type="dxa"/>
            </w:tcMar>
          </w:tcPr>
          <w:p w14:paraId="464E2F8E" w14:textId="77777777" w:rsidR="00941B63" w:rsidRDefault="00000000">
            <w:pPr>
              <w:spacing w:after="60"/>
            </w:pPr>
            <w:r>
              <w:rPr>
                <w:b/>
                <w:bCs/>
                <w:color w:val="1B4E7A"/>
              </w:rPr>
              <w:t>Mini-pill practical points</w:t>
            </w:r>
          </w:p>
          <w:p w14:paraId="40834775" w14:textId="77777777" w:rsidR="00941B63" w:rsidRDefault="00000000">
            <w:pPr>
              <w:pStyle w:val="ListParagraph"/>
              <w:numPr>
                <w:ilvl w:val="0"/>
                <w:numId w:val="2"/>
              </w:numPr>
              <w:spacing w:after="40" w:line="264" w:lineRule="auto"/>
            </w:pPr>
            <w:r>
              <w:rPr>
                <w:b/>
                <w:bCs/>
                <w:color w:val="1F2933"/>
                <w:sz w:val="21"/>
                <w:szCs w:val="21"/>
              </w:rPr>
              <w:t xml:space="preserve">Missed (late) pill: </w:t>
            </w:r>
            <w:r>
              <w:rPr>
                <w:sz w:val="21"/>
                <w:szCs w:val="21"/>
              </w:rPr>
              <w:t>take one as soon as remembered, continue daily, use condoms for 48 hours, and consider emergency contraception if there has been unprotected sex (FSRH).</w:t>
            </w:r>
          </w:p>
          <w:p w14:paraId="07592A6D" w14:textId="77777777" w:rsidR="00941B63" w:rsidRDefault="00000000">
            <w:pPr>
              <w:pStyle w:val="ListParagraph"/>
              <w:numPr>
                <w:ilvl w:val="0"/>
                <w:numId w:val="2"/>
              </w:numPr>
              <w:spacing w:after="40" w:line="264" w:lineRule="auto"/>
            </w:pPr>
            <w:r>
              <w:rPr>
                <w:sz w:val="21"/>
                <w:szCs w:val="21"/>
              </w:rPr>
              <w:t>Irregular bleeding is common, especially early. There is no strong evidence that changing the mini-pill type improves bleeding, though it helps some women.</w:t>
            </w:r>
          </w:p>
          <w:p w14:paraId="02BD3FB0" w14:textId="77777777" w:rsidR="00941B63" w:rsidRDefault="00000000">
            <w:pPr>
              <w:pStyle w:val="ListParagraph"/>
              <w:numPr>
                <w:ilvl w:val="0"/>
                <w:numId w:val="2"/>
              </w:numPr>
              <w:spacing w:after="40" w:line="264" w:lineRule="auto"/>
            </w:pPr>
            <w:r>
              <w:rPr>
                <w:sz w:val="21"/>
                <w:szCs w:val="21"/>
              </w:rPr>
              <w:t>Switching from combined to mini-pill: a mini-pill can usually start the day after the last active combined pill, with no gap, for continuous cover.</w:t>
            </w:r>
          </w:p>
        </w:tc>
      </w:tr>
    </w:tbl>
    <w:p w14:paraId="25F0863D" w14:textId="77777777" w:rsidR="00A06BED" w:rsidRDefault="00A06BED">
      <w:pPr>
        <w:pStyle w:val="Heading1"/>
        <w:keepNext/>
        <w:pBdr>
          <w:bottom w:val="single" w:sz="14" w:space="4" w:color="E2711D"/>
        </w:pBdr>
      </w:pPr>
    </w:p>
    <w:p w14:paraId="08665D23" w14:textId="77777777" w:rsidR="00A06BED" w:rsidRDefault="00A06BED">
      <w:pPr>
        <w:rPr>
          <w:b/>
          <w:bCs/>
          <w:color w:val="0E5C6B"/>
          <w:sz w:val="30"/>
          <w:szCs w:val="30"/>
        </w:rPr>
      </w:pPr>
      <w:r>
        <w:br w:type="page"/>
      </w:r>
    </w:p>
    <w:p w14:paraId="253FA66A" w14:textId="175A9081" w:rsidR="00941B63" w:rsidRDefault="00000000">
      <w:pPr>
        <w:pStyle w:val="Heading1"/>
        <w:keepNext/>
        <w:pBdr>
          <w:bottom w:val="single" w:sz="14" w:space="4" w:color="E2711D"/>
        </w:pBdr>
      </w:pPr>
      <w:r>
        <w:lastRenderedPageBreak/>
        <w:t>8. One-minute summary</w:t>
      </w:r>
    </w:p>
    <w:tbl>
      <w:tblPr>
        <w:tblW w:w="9746" w:type="dxa"/>
        <w:tblBorders>
          <w:top w:val="single" w:sz="2" w:space="0" w:color="D9E0E6"/>
          <w:left w:val="single" w:sz="2" w:space="0" w:color="D9E0E6"/>
          <w:bottom w:val="single" w:sz="2" w:space="0" w:color="D9E0E6"/>
          <w:right w:val="single" w:sz="2" w:space="0" w:color="D9E0E6"/>
          <w:insideH w:val="single" w:sz="2" w:space="0" w:color="D9E0E6"/>
          <w:insideV w:val="single" w:sz="2" w:space="0" w:color="D9E0E6"/>
        </w:tblBorders>
        <w:tblCellMar>
          <w:left w:w="10" w:type="dxa"/>
          <w:right w:w="10" w:type="dxa"/>
        </w:tblCellMar>
        <w:tblLook w:val="04A0" w:firstRow="1" w:lastRow="0" w:firstColumn="1" w:lastColumn="0" w:noHBand="0" w:noVBand="1"/>
      </w:tblPr>
      <w:tblGrid>
        <w:gridCol w:w="3249"/>
        <w:gridCol w:w="6497"/>
      </w:tblGrid>
      <w:tr w:rsidR="00941B63" w14:paraId="055FAC41" w14:textId="77777777">
        <w:tblPrEx>
          <w:tblCellMar>
            <w:top w:w="0" w:type="dxa"/>
            <w:bottom w:w="0" w:type="dxa"/>
          </w:tblCellMar>
        </w:tblPrEx>
        <w:tc>
          <w:tcPr>
            <w:tcW w:w="3249" w:type="dxa"/>
            <w:shd w:val="clear" w:color="auto" w:fill="EEF4F6"/>
            <w:tcMar>
              <w:top w:w="64" w:type="dxa"/>
              <w:left w:w="150" w:type="dxa"/>
              <w:bottom w:w="64" w:type="dxa"/>
              <w:right w:w="150" w:type="dxa"/>
            </w:tcMar>
            <w:vAlign w:val="center"/>
          </w:tcPr>
          <w:p w14:paraId="15E00328" w14:textId="77777777" w:rsidR="00941B63" w:rsidRDefault="00000000">
            <w:r>
              <w:rPr>
                <w:b/>
                <w:bCs/>
                <w:color w:val="0E5C6B"/>
                <w:sz w:val="20"/>
                <w:szCs w:val="20"/>
              </w:rPr>
              <w:t>Start the COC with</w:t>
            </w:r>
          </w:p>
        </w:tc>
        <w:tc>
          <w:tcPr>
            <w:tcW w:w="6497" w:type="dxa"/>
            <w:tcMar>
              <w:top w:w="64" w:type="dxa"/>
              <w:left w:w="150" w:type="dxa"/>
              <w:bottom w:w="64" w:type="dxa"/>
              <w:right w:w="150" w:type="dxa"/>
            </w:tcMar>
            <w:vAlign w:val="center"/>
          </w:tcPr>
          <w:p w14:paraId="4DE5D66B" w14:textId="77777777" w:rsidR="00941B63" w:rsidRDefault="00000000">
            <w:r>
              <w:rPr>
                <w:sz w:val="20"/>
                <w:szCs w:val="20"/>
              </w:rPr>
              <w:t xml:space="preserve">A lower-clot-tier pill — 30 mcg </w:t>
            </w:r>
            <w:proofErr w:type="spellStart"/>
            <w:r>
              <w:rPr>
                <w:sz w:val="20"/>
                <w:szCs w:val="20"/>
              </w:rPr>
              <w:t>ethinylestradiol</w:t>
            </w:r>
            <w:proofErr w:type="spellEnd"/>
            <w:r>
              <w:rPr>
                <w:sz w:val="20"/>
                <w:szCs w:val="20"/>
              </w:rPr>
              <w:t xml:space="preserve"> + levonorgestrel or norethisterone (e.g. </w:t>
            </w:r>
            <w:proofErr w:type="spellStart"/>
            <w:r>
              <w:rPr>
                <w:sz w:val="20"/>
                <w:szCs w:val="20"/>
              </w:rPr>
              <w:t>Microgynon</w:t>
            </w:r>
            <w:proofErr w:type="spellEnd"/>
            <w:r>
              <w:rPr>
                <w:sz w:val="20"/>
                <w:szCs w:val="20"/>
              </w:rPr>
              <w:t xml:space="preserve"> 30).</w:t>
            </w:r>
          </w:p>
        </w:tc>
      </w:tr>
      <w:tr w:rsidR="00941B63" w14:paraId="2083CE62" w14:textId="77777777">
        <w:tblPrEx>
          <w:tblCellMar>
            <w:top w:w="0" w:type="dxa"/>
            <w:bottom w:w="0" w:type="dxa"/>
          </w:tblCellMar>
        </w:tblPrEx>
        <w:tc>
          <w:tcPr>
            <w:tcW w:w="3249" w:type="dxa"/>
            <w:shd w:val="clear" w:color="auto" w:fill="EEF4F6"/>
            <w:tcMar>
              <w:top w:w="64" w:type="dxa"/>
              <w:left w:w="150" w:type="dxa"/>
              <w:bottom w:w="64" w:type="dxa"/>
              <w:right w:w="150" w:type="dxa"/>
            </w:tcMar>
            <w:vAlign w:val="center"/>
          </w:tcPr>
          <w:p w14:paraId="425FE3DF" w14:textId="77777777" w:rsidR="00941B63" w:rsidRDefault="00000000">
            <w:r>
              <w:rPr>
                <w:b/>
                <w:bCs/>
                <w:color w:val="0E5C6B"/>
                <w:sz w:val="20"/>
                <w:szCs w:val="20"/>
              </w:rPr>
              <w:t>Problem on the COC</w:t>
            </w:r>
          </w:p>
        </w:tc>
        <w:tc>
          <w:tcPr>
            <w:tcW w:w="6497" w:type="dxa"/>
            <w:tcMar>
              <w:top w:w="64" w:type="dxa"/>
              <w:left w:w="150" w:type="dxa"/>
              <w:bottom w:w="64" w:type="dxa"/>
              <w:right w:w="150" w:type="dxa"/>
            </w:tcMar>
            <w:vAlign w:val="center"/>
          </w:tcPr>
          <w:p w14:paraId="73B5CCEE" w14:textId="77777777" w:rsidR="00941B63" w:rsidRDefault="00000000">
            <w:r>
              <w:rPr>
                <w:sz w:val="20"/>
                <w:szCs w:val="20"/>
              </w:rPr>
              <w:t>Danger → Time (3 months) → Basics → Switch. There is no perfect pill.</w:t>
            </w:r>
          </w:p>
        </w:tc>
      </w:tr>
      <w:tr w:rsidR="00941B63" w14:paraId="525405BC" w14:textId="77777777">
        <w:tblPrEx>
          <w:tblCellMar>
            <w:top w:w="0" w:type="dxa"/>
            <w:bottom w:w="0" w:type="dxa"/>
          </w:tblCellMar>
        </w:tblPrEx>
        <w:tc>
          <w:tcPr>
            <w:tcW w:w="3249" w:type="dxa"/>
            <w:shd w:val="clear" w:color="auto" w:fill="EEF4F6"/>
            <w:tcMar>
              <w:top w:w="64" w:type="dxa"/>
              <w:left w:w="150" w:type="dxa"/>
              <w:bottom w:w="64" w:type="dxa"/>
              <w:right w:w="150" w:type="dxa"/>
            </w:tcMar>
            <w:vAlign w:val="center"/>
          </w:tcPr>
          <w:p w14:paraId="7B914C41" w14:textId="77777777" w:rsidR="00941B63" w:rsidRDefault="00000000">
            <w:r>
              <w:rPr>
                <w:b/>
                <w:bCs/>
                <w:color w:val="0E5C6B"/>
                <w:sz w:val="20"/>
                <w:szCs w:val="20"/>
              </w:rPr>
              <w:t>Breakthrough bleeding</w:t>
            </w:r>
          </w:p>
        </w:tc>
        <w:tc>
          <w:tcPr>
            <w:tcW w:w="6497" w:type="dxa"/>
            <w:tcMar>
              <w:top w:w="64" w:type="dxa"/>
              <w:left w:w="150" w:type="dxa"/>
              <w:bottom w:w="64" w:type="dxa"/>
              <w:right w:w="150" w:type="dxa"/>
            </w:tcMar>
            <w:vAlign w:val="center"/>
          </w:tcPr>
          <w:p w14:paraId="102764D5" w14:textId="77777777" w:rsidR="00941B63" w:rsidRDefault="00000000">
            <w:r>
              <w:rPr>
                <w:sz w:val="20"/>
                <w:szCs w:val="20"/>
              </w:rPr>
              <w:t>Run the BLEED check. Examine and investigate if it persists past 3 months, is new, or follows sex.</w:t>
            </w:r>
          </w:p>
        </w:tc>
      </w:tr>
      <w:tr w:rsidR="00941B63" w14:paraId="352C050D" w14:textId="77777777">
        <w:tblPrEx>
          <w:tblCellMar>
            <w:top w:w="0" w:type="dxa"/>
            <w:bottom w:w="0" w:type="dxa"/>
          </w:tblCellMar>
        </w:tblPrEx>
        <w:tc>
          <w:tcPr>
            <w:tcW w:w="3249" w:type="dxa"/>
            <w:shd w:val="clear" w:color="auto" w:fill="EEF4F6"/>
            <w:tcMar>
              <w:top w:w="64" w:type="dxa"/>
              <w:left w:w="150" w:type="dxa"/>
              <w:bottom w:w="64" w:type="dxa"/>
              <w:right w:w="150" w:type="dxa"/>
            </w:tcMar>
            <w:vAlign w:val="center"/>
          </w:tcPr>
          <w:p w14:paraId="7C6CECA3" w14:textId="77777777" w:rsidR="00941B63" w:rsidRDefault="00000000">
            <w:r>
              <w:rPr>
                <w:b/>
                <w:bCs/>
                <w:color w:val="0E5C6B"/>
                <w:sz w:val="20"/>
                <w:szCs w:val="20"/>
              </w:rPr>
              <w:t>Antibiotics</w:t>
            </w:r>
          </w:p>
        </w:tc>
        <w:tc>
          <w:tcPr>
            <w:tcW w:w="6497" w:type="dxa"/>
            <w:tcMar>
              <w:top w:w="64" w:type="dxa"/>
              <w:left w:w="150" w:type="dxa"/>
              <w:bottom w:w="64" w:type="dxa"/>
              <w:right w:w="150" w:type="dxa"/>
            </w:tcMar>
            <w:vAlign w:val="center"/>
          </w:tcPr>
          <w:p w14:paraId="79BF2644" w14:textId="77777777" w:rsidR="00941B63" w:rsidRDefault="00000000">
            <w:r>
              <w:rPr>
                <w:sz w:val="20"/>
                <w:szCs w:val="20"/>
              </w:rPr>
              <w:t>Ordinary antibiotics need NO extra precautions. Only enzyme inducers (and vomiting/diarrhoea) matter.</w:t>
            </w:r>
          </w:p>
        </w:tc>
      </w:tr>
      <w:tr w:rsidR="00941B63" w14:paraId="351E90A6" w14:textId="77777777">
        <w:tblPrEx>
          <w:tblCellMar>
            <w:top w:w="0" w:type="dxa"/>
            <w:bottom w:w="0" w:type="dxa"/>
          </w:tblCellMar>
        </w:tblPrEx>
        <w:tc>
          <w:tcPr>
            <w:tcW w:w="3249" w:type="dxa"/>
            <w:shd w:val="clear" w:color="auto" w:fill="EEF4F6"/>
            <w:tcMar>
              <w:top w:w="64" w:type="dxa"/>
              <w:left w:w="150" w:type="dxa"/>
              <w:bottom w:w="64" w:type="dxa"/>
              <w:right w:w="150" w:type="dxa"/>
            </w:tcMar>
            <w:vAlign w:val="center"/>
          </w:tcPr>
          <w:p w14:paraId="74CA916C" w14:textId="77777777" w:rsidR="00941B63" w:rsidRDefault="00000000">
            <w:r>
              <w:rPr>
                <w:b/>
                <w:bCs/>
                <w:color w:val="0E5C6B"/>
                <w:sz w:val="20"/>
                <w:szCs w:val="20"/>
              </w:rPr>
              <w:t>Avoid oestrogen?</w:t>
            </w:r>
          </w:p>
        </w:tc>
        <w:tc>
          <w:tcPr>
            <w:tcW w:w="6497" w:type="dxa"/>
            <w:tcMar>
              <w:top w:w="64" w:type="dxa"/>
              <w:left w:w="150" w:type="dxa"/>
              <w:bottom w:w="64" w:type="dxa"/>
              <w:right w:w="150" w:type="dxa"/>
            </w:tcMar>
            <w:vAlign w:val="center"/>
          </w:tcPr>
          <w:p w14:paraId="1A39C3F0" w14:textId="77777777" w:rsidR="00941B63" w:rsidRDefault="00000000">
            <w:r>
              <w:rPr>
                <w:sz w:val="20"/>
                <w:szCs w:val="20"/>
              </w:rPr>
              <w:t xml:space="preserve">Use a </w:t>
            </w:r>
            <w:proofErr w:type="gramStart"/>
            <w:r>
              <w:rPr>
                <w:sz w:val="20"/>
                <w:szCs w:val="20"/>
              </w:rPr>
              <w:t>mini-pill</w:t>
            </w:r>
            <w:proofErr w:type="gramEnd"/>
            <w:r>
              <w:rPr>
                <w:sz w:val="20"/>
                <w:szCs w:val="20"/>
              </w:rPr>
              <w:t xml:space="preserve">. </w:t>
            </w:r>
            <w:proofErr w:type="spellStart"/>
            <w:r>
              <w:rPr>
                <w:sz w:val="20"/>
                <w:szCs w:val="20"/>
              </w:rPr>
              <w:t>Desogestrel</w:t>
            </w:r>
            <w:proofErr w:type="spellEnd"/>
            <w:r>
              <w:rPr>
                <w:sz w:val="20"/>
                <w:szCs w:val="20"/>
              </w:rPr>
              <w:t xml:space="preserve"> (12-hour window) is a sensible first choice.</w:t>
            </w:r>
          </w:p>
        </w:tc>
      </w:tr>
      <w:tr w:rsidR="00941B63" w14:paraId="1FCF3C8D" w14:textId="77777777">
        <w:tblPrEx>
          <w:tblCellMar>
            <w:top w:w="0" w:type="dxa"/>
            <w:bottom w:w="0" w:type="dxa"/>
          </w:tblCellMar>
        </w:tblPrEx>
        <w:tc>
          <w:tcPr>
            <w:tcW w:w="3249" w:type="dxa"/>
            <w:shd w:val="clear" w:color="auto" w:fill="FBEFEC"/>
            <w:tcMar>
              <w:top w:w="64" w:type="dxa"/>
              <w:left w:w="150" w:type="dxa"/>
              <w:bottom w:w="64" w:type="dxa"/>
              <w:right w:w="150" w:type="dxa"/>
            </w:tcMar>
            <w:vAlign w:val="center"/>
          </w:tcPr>
          <w:p w14:paraId="70A00E90" w14:textId="77777777" w:rsidR="00941B63" w:rsidRDefault="00000000">
            <w:r>
              <w:rPr>
                <w:b/>
                <w:bCs/>
                <w:color w:val="942011"/>
                <w:sz w:val="20"/>
                <w:szCs w:val="20"/>
              </w:rPr>
              <w:t>Red flags</w:t>
            </w:r>
          </w:p>
        </w:tc>
        <w:tc>
          <w:tcPr>
            <w:tcW w:w="6497" w:type="dxa"/>
            <w:tcMar>
              <w:top w:w="64" w:type="dxa"/>
              <w:left w:w="150" w:type="dxa"/>
              <w:bottom w:w="64" w:type="dxa"/>
              <w:right w:w="150" w:type="dxa"/>
            </w:tcMar>
            <w:vAlign w:val="center"/>
          </w:tcPr>
          <w:p w14:paraId="475B977C" w14:textId="77777777" w:rsidR="00941B63" w:rsidRDefault="00000000">
            <w:r>
              <w:rPr>
                <w:color w:val="942011"/>
                <w:sz w:val="20"/>
                <w:szCs w:val="20"/>
              </w:rPr>
              <w:t>Clot or stroke symptoms, or new migraine with aura → STOP the combined pill and assess urgently.</w:t>
            </w:r>
          </w:p>
        </w:tc>
      </w:tr>
    </w:tbl>
    <w:p w14:paraId="6C52B228" w14:textId="77777777" w:rsidR="00941B63" w:rsidRDefault="00000000">
      <w:pPr>
        <w:pStyle w:val="Heading2"/>
        <w:keepNext/>
      </w:pPr>
      <w:r>
        <w:t>Sources used to verify this guide</w:t>
      </w:r>
    </w:p>
    <w:p w14:paraId="3B898691" w14:textId="77777777" w:rsidR="00941B63" w:rsidRDefault="00000000">
      <w:pPr>
        <w:pStyle w:val="ListParagraph"/>
        <w:numPr>
          <w:ilvl w:val="0"/>
          <w:numId w:val="3"/>
        </w:numPr>
        <w:spacing w:after="50" w:line="264" w:lineRule="auto"/>
      </w:pPr>
      <w:hyperlink r:id="rId10" w:history="1">
        <w:r>
          <w:rPr>
            <w:color w:val="1B4E7A"/>
            <w:sz w:val="18"/>
            <w:szCs w:val="18"/>
            <w:u w:val="single"/>
          </w:rPr>
          <w:t>NICE CKS — Contraception: combined hormonal methods</w:t>
        </w:r>
      </w:hyperlink>
    </w:p>
    <w:p w14:paraId="25FC4105" w14:textId="77777777" w:rsidR="00941B63" w:rsidRDefault="00000000">
      <w:pPr>
        <w:pStyle w:val="ListParagraph"/>
        <w:numPr>
          <w:ilvl w:val="0"/>
          <w:numId w:val="3"/>
        </w:numPr>
        <w:spacing w:after="50" w:line="264" w:lineRule="auto"/>
      </w:pPr>
      <w:hyperlink r:id="rId11" w:history="1">
        <w:r>
          <w:rPr>
            <w:color w:val="1B4E7A"/>
            <w:sz w:val="18"/>
            <w:szCs w:val="18"/>
            <w:u w:val="single"/>
          </w:rPr>
          <w:t>NICE CKS — Contraception: progestogen-only methods</w:t>
        </w:r>
      </w:hyperlink>
    </w:p>
    <w:p w14:paraId="59571636" w14:textId="77777777" w:rsidR="00941B63" w:rsidRDefault="00000000">
      <w:pPr>
        <w:pStyle w:val="ListParagraph"/>
        <w:numPr>
          <w:ilvl w:val="0"/>
          <w:numId w:val="3"/>
        </w:numPr>
        <w:spacing w:after="50" w:line="264" w:lineRule="auto"/>
      </w:pPr>
      <w:hyperlink r:id="rId12" w:history="1">
        <w:r>
          <w:rPr>
            <w:color w:val="1B4E7A"/>
            <w:sz w:val="18"/>
            <w:szCs w:val="18"/>
            <w:u w:val="single"/>
          </w:rPr>
          <w:t>NICE CKS — Acne vulgaris</w:t>
        </w:r>
      </w:hyperlink>
    </w:p>
    <w:p w14:paraId="7CFBF4B3" w14:textId="77777777" w:rsidR="00941B63" w:rsidRDefault="00000000">
      <w:pPr>
        <w:pStyle w:val="ListParagraph"/>
        <w:numPr>
          <w:ilvl w:val="0"/>
          <w:numId w:val="3"/>
        </w:numPr>
        <w:spacing w:after="50" w:line="264" w:lineRule="auto"/>
      </w:pPr>
      <w:hyperlink r:id="rId13" w:history="1">
        <w:r>
          <w:rPr>
            <w:color w:val="1B4E7A"/>
            <w:sz w:val="18"/>
            <w:szCs w:val="18"/>
            <w:u w:val="single"/>
          </w:rPr>
          <w:t>NICE CKS — Premenstrual syndrome</w:t>
        </w:r>
      </w:hyperlink>
    </w:p>
    <w:p w14:paraId="68E7641F" w14:textId="77777777" w:rsidR="00941B63" w:rsidRDefault="00000000">
      <w:pPr>
        <w:pStyle w:val="ListParagraph"/>
        <w:numPr>
          <w:ilvl w:val="0"/>
          <w:numId w:val="3"/>
        </w:numPr>
        <w:spacing w:after="50" w:line="264" w:lineRule="auto"/>
      </w:pPr>
      <w:hyperlink r:id="rId14" w:history="1">
        <w:r>
          <w:rPr>
            <w:color w:val="1B4E7A"/>
            <w:sz w:val="18"/>
            <w:szCs w:val="18"/>
            <w:u w:val="single"/>
          </w:rPr>
          <w:t>FSRH — Combined Hormonal Contraception (Jan 2019, amended Oct 2023)</w:t>
        </w:r>
      </w:hyperlink>
    </w:p>
    <w:p w14:paraId="0FF8E516" w14:textId="77777777" w:rsidR="00941B63" w:rsidRDefault="00000000">
      <w:pPr>
        <w:pStyle w:val="ListParagraph"/>
        <w:numPr>
          <w:ilvl w:val="0"/>
          <w:numId w:val="3"/>
        </w:numPr>
        <w:spacing w:after="50" w:line="264" w:lineRule="auto"/>
      </w:pPr>
      <w:hyperlink r:id="rId15" w:history="1">
        <w:r>
          <w:rPr>
            <w:color w:val="1B4E7A"/>
            <w:sz w:val="18"/>
            <w:szCs w:val="18"/>
            <w:u w:val="single"/>
          </w:rPr>
          <w:t>FSRH — Progestogen-only Pills (Aug 2022, amended)</w:t>
        </w:r>
      </w:hyperlink>
    </w:p>
    <w:p w14:paraId="5A793F14" w14:textId="77777777" w:rsidR="00941B63" w:rsidRDefault="00000000">
      <w:pPr>
        <w:pStyle w:val="ListParagraph"/>
        <w:numPr>
          <w:ilvl w:val="0"/>
          <w:numId w:val="3"/>
        </w:numPr>
        <w:spacing w:after="50" w:line="264" w:lineRule="auto"/>
      </w:pPr>
      <w:hyperlink r:id="rId16" w:history="1">
        <w:r>
          <w:rPr>
            <w:color w:val="1B4E7A"/>
            <w:sz w:val="18"/>
            <w:szCs w:val="18"/>
            <w:u w:val="single"/>
          </w:rPr>
          <w:t>FSRH — Problematic Bleeding with Hormonal Contraception (2015)</w:t>
        </w:r>
      </w:hyperlink>
    </w:p>
    <w:p w14:paraId="7875C40B" w14:textId="77777777" w:rsidR="00941B63" w:rsidRDefault="00000000">
      <w:pPr>
        <w:pStyle w:val="ListParagraph"/>
        <w:numPr>
          <w:ilvl w:val="0"/>
          <w:numId w:val="3"/>
        </w:numPr>
        <w:spacing w:after="50" w:line="264" w:lineRule="auto"/>
      </w:pPr>
      <w:hyperlink r:id="rId17" w:history="1">
        <w:r>
          <w:rPr>
            <w:color w:val="1B4E7A"/>
            <w:sz w:val="18"/>
            <w:szCs w:val="18"/>
            <w:u w:val="single"/>
          </w:rPr>
          <w:t>FSRH — Drug Interactions with Hormonal Contraception (2022)</w:t>
        </w:r>
      </w:hyperlink>
    </w:p>
    <w:p w14:paraId="58EEDBC5" w14:textId="77777777" w:rsidR="00941B63" w:rsidRDefault="00000000">
      <w:pPr>
        <w:pStyle w:val="ListParagraph"/>
        <w:numPr>
          <w:ilvl w:val="0"/>
          <w:numId w:val="3"/>
        </w:numPr>
        <w:spacing w:after="50" w:line="264" w:lineRule="auto"/>
      </w:pPr>
      <w:hyperlink r:id="rId18" w:history="1">
        <w:r>
          <w:rPr>
            <w:color w:val="1B4E7A"/>
            <w:sz w:val="18"/>
            <w:szCs w:val="18"/>
            <w:u w:val="single"/>
          </w:rPr>
          <w:t>FSRH — UK Medical Eligibility Criteria (UKMEC)</w:t>
        </w:r>
      </w:hyperlink>
    </w:p>
    <w:p w14:paraId="5E72057B" w14:textId="77777777" w:rsidR="00941B63" w:rsidRDefault="00000000">
      <w:pPr>
        <w:pStyle w:val="ListParagraph"/>
        <w:numPr>
          <w:ilvl w:val="0"/>
          <w:numId w:val="3"/>
        </w:numPr>
        <w:spacing w:after="50" w:line="264" w:lineRule="auto"/>
      </w:pPr>
      <w:hyperlink r:id="rId19" w:history="1">
        <w:r>
          <w:rPr>
            <w:color w:val="1B4E7A"/>
            <w:sz w:val="18"/>
            <w:szCs w:val="18"/>
            <w:u w:val="single"/>
          </w:rPr>
          <w:t>BNF / NICE — Contraceptives, hormonal</w:t>
        </w:r>
      </w:hyperlink>
    </w:p>
    <w:p w14:paraId="5749359F" w14:textId="77777777" w:rsidR="00941B63" w:rsidRDefault="00000000">
      <w:pPr>
        <w:pStyle w:val="ListParagraph"/>
        <w:numPr>
          <w:ilvl w:val="0"/>
          <w:numId w:val="3"/>
        </w:numPr>
        <w:spacing w:after="50" w:line="264" w:lineRule="auto"/>
      </w:pPr>
      <w:hyperlink r:id="rId20" w:history="1">
        <w:r>
          <w:rPr>
            <w:color w:val="1B4E7A"/>
            <w:sz w:val="18"/>
            <w:szCs w:val="18"/>
            <w:u w:val="single"/>
          </w:rPr>
          <w:t xml:space="preserve">MHRA — </w:t>
        </w:r>
        <w:proofErr w:type="spellStart"/>
        <w:r>
          <w:rPr>
            <w:color w:val="1B4E7A"/>
            <w:sz w:val="18"/>
            <w:szCs w:val="18"/>
            <w:u w:val="single"/>
          </w:rPr>
          <w:t>Desogestrel</w:t>
        </w:r>
        <w:proofErr w:type="spellEnd"/>
        <w:r>
          <w:rPr>
            <w:color w:val="1B4E7A"/>
            <w:sz w:val="18"/>
            <w:szCs w:val="18"/>
            <w:u w:val="single"/>
          </w:rPr>
          <w:t xml:space="preserve"> POP reclassified to pharmacy sale (Lovima, Hana), 2021</w:t>
        </w:r>
      </w:hyperlink>
    </w:p>
    <w:p w14:paraId="2E9AEADB" w14:textId="77777777" w:rsidR="00941B63" w:rsidRDefault="00941B63">
      <w:pPr>
        <w:spacing w:after="80"/>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46"/>
      </w:tblGrid>
      <w:tr w:rsidR="00941B63" w14:paraId="05A28A79" w14:textId="77777777">
        <w:tblPrEx>
          <w:tblCellMar>
            <w:top w:w="0" w:type="dxa"/>
            <w:bottom w:w="0" w:type="dxa"/>
          </w:tblCellMar>
        </w:tblPrEx>
        <w:trPr>
          <w:cantSplit/>
        </w:trPr>
        <w:tc>
          <w:tcPr>
            <w:tcW w:w="9746" w:type="dxa"/>
            <w:tcBorders>
              <w:top w:val="single" w:sz="4" w:space="0" w:color="F2F4F6"/>
              <w:left w:val="single" w:sz="26" w:space="0" w:color="6B7681"/>
              <w:bottom w:val="single" w:sz="4" w:space="0" w:color="F2F4F6"/>
              <w:right w:val="single" w:sz="4" w:space="0" w:color="F2F4F6"/>
            </w:tcBorders>
            <w:shd w:val="clear" w:color="auto" w:fill="F2F4F6"/>
            <w:tcMar>
              <w:top w:w="130" w:type="dxa"/>
              <w:left w:w="200" w:type="dxa"/>
              <w:bottom w:w="130" w:type="dxa"/>
              <w:right w:w="180" w:type="dxa"/>
            </w:tcMar>
          </w:tcPr>
          <w:p w14:paraId="0830A216" w14:textId="77777777" w:rsidR="00941B63" w:rsidRDefault="00000000">
            <w:pPr>
              <w:spacing w:after="60"/>
            </w:pPr>
            <w:r>
              <w:rPr>
                <w:b/>
                <w:bCs/>
                <w:color w:val="1F2933"/>
              </w:rPr>
              <w:t>Disclaimer</w:t>
            </w:r>
          </w:p>
          <w:p w14:paraId="4CC6E741" w14:textId="77777777" w:rsidR="00941B63" w:rsidRDefault="00000000">
            <w:pPr>
              <w:spacing w:after="50" w:line="264" w:lineRule="auto"/>
            </w:pPr>
            <w:r>
              <w:rPr>
                <w:i/>
                <w:iCs/>
                <w:sz w:val="19"/>
                <w:szCs w:val="19"/>
              </w:rPr>
              <w:t>This document is provided exclusively for educational and training purposes as a teaching aid. It does not constitute formal clinical guidance. Clinicians must independently verify all medical information, prescribing guidance, procedural protocols, and legal requirements against current national guidance (NICE, FSRH, BNF), local policies, and relevant regulatory bodies before applying in practice.</w:t>
            </w:r>
          </w:p>
        </w:tc>
      </w:tr>
    </w:tbl>
    <w:p w14:paraId="47A6FFF9" w14:textId="77777777" w:rsidR="008E1BDE" w:rsidRDefault="008E1BDE"/>
    <w:sectPr w:rsidR="008E1BDE">
      <w:footerReference w:type="default" r:id="rId21"/>
      <w:pgSz w:w="11906" w:h="16838"/>
      <w:pgMar w:top="1080" w:right="1080" w:bottom="11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0D355" w14:textId="77777777" w:rsidR="008E1BDE" w:rsidRDefault="008E1BDE">
      <w:r>
        <w:separator/>
      </w:r>
    </w:p>
  </w:endnote>
  <w:endnote w:type="continuationSeparator" w:id="0">
    <w:p w14:paraId="533B3B9C" w14:textId="77777777" w:rsidR="008E1BDE" w:rsidRDefault="008E1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4F01" w14:textId="77777777" w:rsidR="00941B63" w:rsidRDefault="00000000">
    <w:pPr>
      <w:pBdr>
        <w:top w:val="single" w:sz="6" w:space="6" w:color="D9E0E6"/>
      </w:pBdr>
      <w:tabs>
        <w:tab w:val="right" w:pos="9746"/>
      </w:tabs>
      <w:spacing w:before="60"/>
    </w:pPr>
    <w:r>
      <w:rPr>
        <w:color w:val="6B7681"/>
        <w:sz w:val="14"/>
        <w:szCs w:val="14"/>
      </w:rPr>
      <w:t>Bradford VTS Teaching Aids — educational use only; verify against current NICE, FSRH and BNF guidance and local policy.</w:t>
    </w:r>
    <w:r>
      <w:rPr>
        <w:color w:val="6B7681"/>
        <w:sz w:val="14"/>
        <w:szCs w:val="14"/>
      </w:rPr>
      <w:tab/>
      <w:t xml:space="preserve">Page </w:t>
    </w:r>
    <w:r>
      <w:rPr>
        <w:color w:val="6B7681"/>
        <w:sz w:val="14"/>
        <w:szCs w:val="14"/>
      </w:rPr>
      <w:fldChar w:fldCharType="begin"/>
    </w:r>
    <w:r>
      <w:rPr>
        <w:color w:val="6B7681"/>
        <w:sz w:val="14"/>
        <w:szCs w:val="14"/>
      </w:rPr>
      <w:instrText>PAGE</w:instrText>
    </w:r>
    <w:r>
      <w:rPr>
        <w:color w:val="6B7681"/>
        <w:sz w:val="14"/>
        <w:szCs w:val="14"/>
      </w:rPr>
      <w:fldChar w:fldCharType="separate"/>
    </w:r>
    <w:r w:rsidR="00A06BED">
      <w:rPr>
        <w:noProof/>
        <w:color w:val="6B7681"/>
        <w:sz w:val="14"/>
        <w:szCs w:val="14"/>
      </w:rPr>
      <w:t>1</w:t>
    </w:r>
    <w:r>
      <w:rPr>
        <w:color w:val="6B768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9230F" w14:textId="77777777" w:rsidR="008E1BDE" w:rsidRDefault="008E1BDE">
      <w:r>
        <w:separator/>
      </w:r>
    </w:p>
  </w:footnote>
  <w:footnote w:type="continuationSeparator" w:id="0">
    <w:p w14:paraId="36F6948C" w14:textId="77777777" w:rsidR="008E1BDE" w:rsidRDefault="008E1B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363A"/>
    <w:multiLevelType w:val="hybridMultilevel"/>
    <w:tmpl w:val="32AAFFD2"/>
    <w:lvl w:ilvl="0" w:tplc="BB369C4E">
      <w:start w:val="1"/>
      <w:numFmt w:val="bullet"/>
      <w:lvlText w:val="•"/>
      <w:lvlJc w:val="left"/>
      <w:pPr>
        <w:ind w:left="420" w:hanging="240"/>
      </w:pPr>
      <w:rPr>
        <w:color w:val="0E5C6B"/>
      </w:rPr>
    </w:lvl>
    <w:lvl w:ilvl="1" w:tplc="0DAA9222">
      <w:numFmt w:val="decimal"/>
      <w:lvlText w:val=""/>
      <w:lvlJc w:val="left"/>
    </w:lvl>
    <w:lvl w:ilvl="2" w:tplc="C68CA198">
      <w:numFmt w:val="decimal"/>
      <w:lvlText w:val=""/>
      <w:lvlJc w:val="left"/>
    </w:lvl>
    <w:lvl w:ilvl="3" w:tplc="F300DF52">
      <w:numFmt w:val="decimal"/>
      <w:lvlText w:val=""/>
      <w:lvlJc w:val="left"/>
    </w:lvl>
    <w:lvl w:ilvl="4" w:tplc="E8D024F6">
      <w:numFmt w:val="decimal"/>
      <w:lvlText w:val=""/>
      <w:lvlJc w:val="left"/>
    </w:lvl>
    <w:lvl w:ilvl="5" w:tplc="4E2E9DA0">
      <w:numFmt w:val="decimal"/>
      <w:lvlText w:val=""/>
      <w:lvlJc w:val="left"/>
    </w:lvl>
    <w:lvl w:ilvl="6" w:tplc="9CCCA90C">
      <w:numFmt w:val="decimal"/>
      <w:lvlText w:val=""/>
      <w:lvlJc w:val="left"/>
    </w:lvl>
    <w:lvl w:ilvl="7" w:tplc="D01696A6">
      <w:numFmt w:val="decimal"/>
      <w:lvlText w:val=""/>
      <w:lvlJc w:val="left"/>
    </w:lvl>
    <w:lvl w:ilvl="8" w:tplc="C28E7CF2">
      <w:numFmt w:val="decimal"/>
      <w:lvlText w:val=""/>
      <w:lvlJc w:val="left"/>
    </w:lvl>
  </w:abstractNum>
  <w:abstractNum w:abstractNumId="1" w15:restartNumberingAfterBreak="0">
    <w:nsid w:val="0F1A0499"/>
    <w:multiLevelType w:val="hybridMultilevel"/>
    <w:tmpl w:val="46129FEA"/>
    <w:lvl w:ilvl="0" w:tplc="5226CF38">
      <w:start w:val="1"/>
      <w:numFmt w:val="bullet"/>
      <w:lvlText w:val="●"/>
      <w:lvlJc w:val="left"/>
      <w:pPr>
        <w:ind w:left="720" w:hanging="360"/>
      </w:pPr>
    </w:lvl>
    <w:lvl w:ilvl="1" w:tplc="4DFC4230">
      <w:start w:val="1"/>
      <w:numFmt w:val="bullet"/>
      <w:lvlText w:val="○"/>
      <w:lvlJc w:val="left"/>
      <w:pPr>
        <w:ind w:left="1440" w:hanging="360"/>
      </w:pPr>
    </w:lvl>
    <w:lvl w:ilvl="2" w:tplc="A6660348">
      <w:start w:val="1"/>
      <w:numFmt w:val="bullet"/>
      <w:lvlText w:val="■"/>
      <w:lvlJc w:val="left"/>
      <w:pPr>
        <w:ind w:left="2160" w:hanging="360"/>
      </w:pPr>
    </w:lvl>
    <w:lvl w:ilvl="3" w:tplc="1EBEBB64">
      <w:start w:val="1"/>
      <w:numFmt w:val="bullet"/>
      <w:lvlText w:val="●"/>
      <w:lvlJc w:val="left"/>
      <w:pPr>
        <w:ind w:left="2880" w:hanging="360"/>
      </w:pPr>
    </w:lvl>
    <w:lvl w:ilvl="4" w:tplc="9DF8D6FA">
      <w:start w:val="1"/>
      <w:numFmt w:val="bullet"/>
      <w:lvlText w:val="○"/>
      <w:lvlJc w:val="left"/>
      <w:pPr>
        <w:ind w:left="3600" w:hanging="360"/>
      </w:pPr>
    </w:lvl>
    <w:lvl w:ilvl="5" w:tplc="DD2A28DA">
      <w:start w:val="1"/>
      <w:numFmt w:val="bullet"/>
      <w:lvlText w:val="■"/>
      <w:lvlJc w:val="left"/>
      <w:pPr>
        <w:ind w:left="4320" w:hanging="360"/>
      </w:pPr>
    </w:lvl>
    <w:lvl w:ilvl="6" w:tplc="7D1624FC">
      <w:start w:val="1"/>
      <w:numFmt w:val="bullet"/>
      <w:lvlText w:val="●"/>
      <w:lvlJc w:val="left"/>
      <w:pPr>
        <w:ind w:left="5040" w:hanging="360"/>
      </w:pPr>
    </w:lvl>
    <w:lvl w:ilvl="7" w:tplc="299A7A82">
      <w:start w:val="1"/>
      <w:numFmt w:val="bullet"/>
      <w:lvlText w:val="●"/>
      <w:lvlJc w:val="left"/>
      <w:pPr>
        <w:ind w:left="5760" w:hanging="360"/>
      </w:pPr>
    </w:lvl>
    <w:lvl w:ilvl="8" w:tplc="54302762">
      <w:start w:val="1"/>
      <w:numFmt w:val="bullet"/>
      <w:lvlText w:val="●"/>
      <w:lvlJc w:val="left"/>
      <w:pPr>
        <w:ind w:left="6480" w:hanging="360"/>
      </w:pPr>
    </w:lvl>
  </w:abstractNum>
  <w:abstractNum w:abstractNumId="2" w15:restartNumberingAfterBreak="0">
    <w:nsid w:val="34A43D88"/>
    <w:multiLevelType w:val="hybridMultilevel"/>
    <w:tmpl w:val="AE707940"/>
    <w:lvl w:ilvl="0" w:tplc="04FA27FE">
      <w:start w:val="1"/>
      <w:numFmt w:val="decimal"/>
      <w:lvlText w:val="%1."/>
      <w:lvlJc w:val="left"/>
      <w:pPr>
        <w:ind w:left="460" w:hanging="300"/>
      </w:pPr>
    </w:lvl>
    <w:lvl w:ilvl="1" w:tplc="7E168F24">
      <w:numFmt w:val="decimal"/>
      <w:lvlText w:val=""/>
      <w:lvlJc w:val="left"/>
    </w:lvl>
    <w:lvl w:ilvl="2" w:tplc="C0D08346">
      <w:numFmt w:val="decimal"/>
      <w:lvlText w:val=""/>
      <w:lvlJc w:val="left"/>
    </w:lvl>
    <w:lvl w:ilvl="3" w:tplc="8CFE84BE">
      <w:numFmt w:val="decimal"/>
      <w:lvlText w:val=""/>
      <w:lvlJc w:val="left"/>
    </w:lvl>
    <w:lvl w:ilvl="4" w:tplc="DB563598">
      <w:numFmt w:val="decimal"/>
      <w:lvlText w:val=""/>
      <w:lvlJc w:val="left"/>
    </w:lvl>
    <w:lvl w:ilvl="5" w:tplc="8CE0F7E8">
      <w:numFmt w:val="decimal"/>
      <w:lvlText w:val=""/>
      <w:lvlJc w:val="left"/>
    </w:lvl>
    <w:lvl w:ilvl="6" w:tplc="2EA4A090">
      <w:numFmt w:val="decimal"/>
      <w:lvlText w:val=""/>
      <w:lvlJc w:val="left"/>
    </w:lvl>
    <w:lvl w:ilvl="7" w:tplc="467A2BE8">
      <w:numFmt w:val="decimal"/>
      <w:lvlText w:val=""/>
      <w:lvlJc w:val="left"/>
    </w:lvl>
    <w:lvl w:ilvl="8" w:tplc="CD9C9606">
      <w:numFmt w:val="decimal"/>
      <w:lvlText w:val=""/>
      <w:lvlJc w:val="left"/>
    </w:lvl>
  </w:abstractNum>
  <w:abstractNum w:abstractNumId="3" w15:restartNumberingAfterBreak="0">
    <w:nsid w:val="516A24A1"/>
    <w:multiLevelType w:val="hybridMultilevel"/>
    <w:tmpl w:val="0102FDA0"/>
    <w:lvl w:ilvl="0" w:tplc="801E6CC8">
      <w:start w:val="1"/>
      <w:numFmt w:val="bullet"/>
      <w:lvlText w:val="•"/>
      <w:lvlJc w:val="left"/>
      <w:pPr>
        <w:ind w:left="460" w:hanging="260"/>
      </w:pPr>
      <w:rPr>
        <w:color w:val="E2711D"/>
      </w:rPr>
    </w:lvl>
    <w:lvl w:ilvl="1" w:tplc="949219B6">
      <w:numFmt w:val="decimal"/>
      <w:lvlText w:val=""/>
      <w:lvlJc w:val="left"/>
    </w:lvl>
    <w:lvl w:ilvl="2" w:tplc="E204738A">
      <w:numFmt w:val="decimal"/>
      <w:lvlText w:val=""/>
      <w:lvlJc w:val="left"/>
    </w:lvl>
    <w:lvl w:ilvl="3" w:tplc="15E2FCE8">
      <w:numFmt w:val="decimal"/>
      <w:lvlText w:val=""/>
      <w:lvlJc w:val="left"/>
    </w:lvl>
    <w:lvl w:ilvl="4" w:tplc="E17E5B60">
      <w:numFmt w:val="decimal"/>
      <w:lvlText w:val=""/>
      <w:lvlJc w:val="left"/>
    </w:lvl>
    <w:lvl w:ilvl="5" w:tplc="D0A4A38E">
      <w:numFmt w:val="decimal"/>
      <w:lvlText w:val=""/>
      <w:lvlJc w:val="left"/>
    </w:lvl>
    <w:lvl w:ilvl="6" w:tplc="E630713E">
      <w:numFmt w:val="decimal"/>
      <w:lvlText w:val=""/>
      <w:lvlJc w:val="left"/>
    </w:lvl>
    <w:lvl w:ilvl="7" w:tplc="E7AAEB98">
      <w:numFmt w:val="decimal"/>
      <w:lvlText w:val=""/>
      <w:lvlJc w:val="left"/>
    </w:lvl>
    <w:lvl w:ilvl="8" w:tplc="DEC6175A">
      <w:numFmt w:val="decimal"/>
      <w:lvlText w:val=""/>
      <w:lvlJc w:val="left"/>
    </w:lvl>
  </w:abstractNum>
  <w:num w:numId="1" w16cid:durableId="1719553844">
    <w:abstractNumId w:val="1"/>
    <w:lvlOverride w:ilvl="0">
      <w:startOverride w:val="1"/>
    </w:lvlOverride>
  </w:num>
  <w:num w:numId="2" w16cid:durableId="1516648645">
    <w:abstractNumId w:val="0"/>
    <w:lvlOverride w:ilvl="0">
      <w:startOverride w:val="1"/>
    </w:lvlOverride>
  </w:num>
  <w:num w:numId="3" w16cid:durableId="6954753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B63"/>
    <w:rsid w:val="004446C9"/>
    <w:rsid w:val="008E1BDE"/>
    <w:rsid w:val="00941B63"/>
    <w:rsid w:val="00A06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44813"/>
  <w15:docId w15:val="{01BB4775-1122-425F-B22F-386750930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A4754"/>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0E5C6B"/>
      <w:sz w:val="30"/>
      <w:szCs w:val="30"/>
    </w:rPr>
  </w:style>
  <w:style w:type="paragraph" w:styleId="Heading2">
    <w:name w:val="heading 2"/>
    <w:uiPriority w:val="9"/>
    <w:unhideWhenUsed/>
    <w:qFormat/>
    <w:pPr>
      <w:spacing w:before="220" w:after="90"/>
      <w:outlineLvl w:val="1"/>
    </w:pPr>
    <w:rPr>
      <w:b/>
      <w:bCs/>
      <w:color w:val="1F2933"/>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ks.nice.org.uk/topics/premenstrual-syndrome/" TargetMode="External"/><Relationship Id="rId18" Type="http://schemas.openxmlformats.org/officeDocument/2006/relationships/hyperlink" Target="https://www.fsrh.org/standards-and-guidance/uk-medical-eligibility-criteria/"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cks.nice.org.uk/topics/acne-vulgaris/" TargetMode="External"/><Relationship Id="rId17" Type="http://schemas.openxmlformats.org/officeDocument/2006/relationships/hyperlink" Target="https://www.fsrh.org/standards-and-guidance/documents/ceu-clinical-guidance-drug-interactions-with-hormonal/" TargetMode="External"/><Relationship Id="rId2" Type="http://schemas.openxmlformats.org/officeDocument/2006/relationships/styles" Target="styles.xml"/><Relationship Id="rId16" Type="http://schemas.openxmlformats.org/officeDocument/2006/relationships/hyperlink" Target="https://www.fsrh.org/standards-and-guidance/documents/ceuguidanceproblematicbleedinghormonalcontraception/" TargetMode="External"/><Relationship Id="rId20" Type="http://schemas.openxmlformats.org/officeDocument/2006/relationships/hyperlink" Target="https://www.gov.uk/government/news/contraceptive-pill-to-be-sold-over-the-count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ks.nice.org.uk/topics/contraception-progestogen-only-methods/" TargetMode="External"/><Relationship Id="rId5" Type="http://schemas.openxmlformats.org/officeDocument/2006/relationships/footnotes" Target="footnotes.xml"/><Relationship Id="rId15" Type="http://schemas.openxmlformats.org/officeDocument/2006/relationships/hyperlink" Target="https://www.fsrh.org/standards-and-guidance/documents/cec-ceu-guidance-pop/" TargetMode="External"/><Relationship Id="rId23" Type="http://schemas.openxmlformats.org/officeDocument/2006/relationships/theme" Target="theme/theme1.xml"/><Relationship Id="rId10" Type="http://schemas.openxmlformats.org/officeDocument/2006/relationships/hyperlink" Target="https://cks.nice.org.uk/topics/contraception-combined-hormonal-methods/" TargetMode="External"/><Relationship Id="rId19" Type="http://schemas.openxmlformats.org/officeDocument/2006/relationships/hyperlink" Target="https://bnf.nice.org.uk/treatment-summaries/contraceptives-hormona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fsrh.org/standards-and-guidance/documents/combined-hormonal-contracep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1582</Words>
  <Characters>9021</Characters>
  <Application>Microsoft Office Word</Application>
  <DocSecurity>0</DocSecurity>
  <Lines>75</Lines>
  <Paragraphs>21</Paragraphs>
  <ScaleCrop>false</ScaleCrop>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Switching Oral Contraception</dc:title>
  <dc:creator>Bradford VTS Teaching Aids</dc:creator>
  <cp:lastModifiedBy>Ramesh Mehay</cp:lastModifiedBy>
  <cp:revision>3</cp:revision>
  <dcterms:created xsi:type="dcterms:W3CDTF">2026-06-11T17:38:00Z</dcterms:created>
  <dcterms:modified xsi:type="dcterms:W3CDTF">2026-06-12T00:12:00Z</dcterms:modified>
</cp:coreProperties>
</file>