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49DA399B" w14:textId="77777777">
        <w:tblPrEx>
          <w:tblCellMar>
            <w:top w:w="0" w:type="dxa"/>
            <w:bottom w:w="0" w:type="dxa"/>
          </w:tblCellMar>
        </w:tblPrEx>
        <w:tc>
          <w:tcPr>
            <w:tcW w:w="9746" w:type="dxa"/>
            <w:shd w:val="clear" w:color="auto" w:fill="E2710D"/>
            <w:tcMar>
              <w:top w:w="150" w:type="dxa"/>
              <w:left w:w="220" w:type="dxa"/>
              <w:bottom w:w="150" w:type="dxa"/>
              <w:right w:w="220" w:type="dxa"/>
            </w:tcMar>
          </w:tcPr>
          <w:p w14:paraId="6AAEAAC5" w14:textId="77777777" w:rsidR="003F44C1" w:rsidRDefault="00000000">
            <w:r>
              <w:rPr>
                <w:b/>
                <w:bCs/>
                <w:color w:val="FFFFFF"/>
                <w:spacing w:val="30"/>
                <w:sz w:val="30"/>
                <w:szCs w:val="30"/>
              </w:rPr>
              <w:t>BRADFORD VTS TEACHING AIDS</w:t>
            </w:r>
          </w:p>
        </w:tc>
      </w:tr>
    </w:tbl>
    <w:p w14:paraId="53E0DAAE" w14:textId="77777777" w:rsidR="003F44C1" w:rsidRDefault="00000000">
      <w:pPr>
        <w:spacing w:before="200" w:after="40"/>
      </w:pPr>
      <w:r>
        <w:rPr>
          <w:b/>
          <w:bCs/>
          <w:sz w:val="44"/>
          <w:szCs w:val="44"/>
        </w:rPr>
        <w:t>Oral Contraception: What to Prescribe</w:t>
      </w:r>
    </w:p>
    <w:p w14:paraId="74322A36" w14:textId="77777777" w:rsidR="003F44C1" w:rsidRDefault="00000000">
      <w:pPr>
        <w:spacing w:after="40"/>
      </w:pPr>
      <w:r>
        <w:rPr>
          <w:color w:val="43506B"/>
          <w:sz w:val="22"/>
          <w:szCs w:val="22"/>
        </w:rPr>
        <w:t>A practical guide to the combined pill and the progestogen-only pill for UK primary care.</w:t>
      </w:r>
    </w:p>
    <w:p w14:paraId="438A5420" w14:textId="77777777" w:rsidR="003F44C1" w:rsidRDefault="00000000">
      <w:pPr>
        <w:spacing w:after="140"/>
      </w:pPr>
      <w:r>
        <w:rPr>
          <w:b/>
          <w:bCs/>
          <w:color w:val="B85A09"/>
        </w:rPr>
        <w:t>June 2026</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11C1A72F" w14:textId="77777777">
        <w:tblPrEx>
          <w:tblCellMar>
            <w:top w:w="0" w:type="dxa"/>
            <w:bottom w:w="0" w:type="dxa"/>
          </w:tblCellMar>
        </w:tblPrEx>
        <w:trPr>
          <w:cantSplit/>
        </w:trPr>
        <w:tc>
          <w:tcPr>
            <w:tcW w:w="9746" w:type="dxa"/>
            <w:tcBorders>
              <w:top w:val="single" w:sz="4" w:space="0" w:color="E6F0F9"/>
              <w:left w:val="single" w:sz="32" w:space="0" w:color="2B6CB0"/>
              <w:bottom w:val="single" w:sz="4" w:space="0" w:color="E6F0F9"/>
              <w:right w:val="single" w:sz="4" w:space="0" w:color="E6F0F9"/>
            </w:tcBorders>
            <w:shd w:val="clear" w:color="auto" w:fill="E6F0F9"/>
            <w:tcMar>
              <w:top w:w="130" w:type="dxa"/>
              <w:left w:w="200" w:type="dxa"/>
              <w:bottom w:w="130" w:type="dxa"/>
              <w:right w:w="180" w:type="dxa"/>
            </w:tcMar>
          </w:tcPr>
          <w:p w14:paraId="2CCA28DE" w14:textId="77777777" w:rsidR="003F44C1" w:rsidRDefault="00000000">
            <w:pPr>
              <w:spacing w:after="60"/>
            </w:pPr>
            <w:r>
              <w:rPr>
                <w:b/>
                <w:bCs/>
                <w:color w:val="2B6CB0"/>
              </w:rPr>
              <w:t>How to use this guide</w:t>
            </w:r>
          </w:p>
          <w:p w14:paraId="628E8CEF" w14:textId="77777777" w:rsidR="003F44C1" w:rsidRDefault="00000000">
            <w:pPr>
              <w:spacing w:line="264" w:lineRule="auto"/>
            </w:pPr>
            <w:r>
              <w:rPr>
                <w:sz w:val="20"/>
                <w:szCs w:val="20"/>
              </w:rPr>
              <w:t xml:space="preserve">Read it in order. We build one simple framework — the </w:t>
            </w:r>
            <w:r>
              <w:rPr>
                <w:b/>
                <w:bCs/>
                <w:sz w:val="20"/>
                <w:szCs w:val="20"/>
              </w:rPr>
              <w:t>UKMEC traffic light</w:t>
            </w:r>
            <w:r>
              <w:rPr>
                <w:sz w:val="20"/>
                <w:szCs w:val="20"/>
              </w:rPr>
              <w:t>, then apply it to the combined pill (COC) and the progestogen-only pill (POP). Strong wording (“must”, “must NOT”) is used only where the guidance is absolute. Verify every drug and dose against the BNF before prescribing.</w:t>
            </w:r>
          </w:p>
        </w:tc>
      </w:tr>
    </w:tbl>
    <w:p w14:paraId="4D37814D" w14:textId="77777777" w:rsidR="003F44C1" w:rsidRDefault="00000000">
      <w:pPr>
        <w:keepNext/>
        <w:pBdr>
          <w:bottom w:val="single" w:sz="18" w:space="6" w:color="E2710D"/>
        </w:pBdr>
        <w:spacing w:before="210" w:after="80"/>
      </w:pPr>
      <w:r>
        <w:rPr>
          <w:b/>
          <w:bCs/>
          <w:sz w:val="30"/>
          <w:szCs w:val="30"/>
        </w:rPr>
        <w:t>1.  Start here: three steps to the right method</w:t>
      </w:r>
    </w:p>
    <w:p w14:paraId="65684EE5" w14:textId="77777777" w:rsidR="003F44C1" w:rsidRDefault="00000000">
      <w:pPr>
        <w:spacing w:after="120" w:line="264" w:lineRule="auto"/>
      </w:pPr>
      <w:r>
        <w:t xml:space="preserve">Choosing contraception is a conversation, not a guess. Work through the same three steps every time. Note the order — </w:t>
      </w:r>
      <w:r>
        <w:rPr>
          <w:b/>
          <w:bCs/>
        </w:rPr>
        <w:t>safety is checked last, against the method the patient has already chosen</w:t>
      </w:r>
      <w:r>
        <w:t>, not first.</w:t>
      </w:r>
    </w:p>
    <w:p w14:paraId="6DA7A4EB" w14:textId="77777777" w:rsidR="003F44C1" w:rsidRDefault="00000000">
      <w:pPr>
        <w:spacing w:before="40" w:after="90"/>
        <w:jc w:val="center"/>
      </w:pPr>
      <w:r>
        <w:rPr>
          <w:noProof/>
        </w:rPr>
        <w:drawing>
          <wp:inline distT="0" distB="0" distL="0" distR="0" wp14:anchorId="6E581060" wp14:editId="43792C09">
            <wp:extent cx="5715000" cy="1552575"/>
            <wp:effectExtent l="0" t="0" r="0" b="0"/>
            <wp:docPr id="1" name="choose_flow" descr="choose_flow" title="choose_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15000" cy="1552575"/>
                    </a:xfrm>
                    <a:prstGeom prst="rect">
                      <a:avLst/>
                    </a:prstGeom>
                  </pic:spPr>
                </pic:pic>
              </a:graphicData>
            </a:graphic>
          </wp:inline>
        </w:drawing>
      </w:r>
    </w:p>
    <w:p w14:paraId="536EC3A1" w14:textId="77777777" w:rsidR="003F44C1" w:rsidRDefault="00000000">
      <w:pPr>
        <w:spacing w:after="60" w:line="264" w:lineRule="auto"/>
      </w:pPr>
      <w:r>
        <w:rPr>
          <w:b/>
          <w:bCs/>
        </w:rPr>
        <w:t xml:space="preserve">Long-acting methods (LARC) are the most effective. </w:t>
      </w:r>
      <w:r>
        <w:t>The implant and intrauterine methods beat every pill on typical-use effectiveness, because they do not depend on remembering a daily tablet. Always offer them first, even when the patient has come in asking for the pill.</w:t>
      </w:r>
    </w:p>
    <w:p w14:paraId="5B53E5DB" w14:textId="77777777" w:rsidR="003F44C1" w:rsidRDefault="00000000">
      <w:pPr>
        <w:keepNext/>
        <w:pBdr>
          <w:bottom w:val="single" w:sz="18" w:space="6" w:color="E2710D"/>
        </w:pBdr>
        <w:spacing w:before="210" w:after="80"/>
      </w:pPr>
      <w:r>
        <w:rPr>
          <w:b/>
          <w:bCs/>
          <w:sz w:val="30"/>
          <w:szCs w:val="30"/>
        </w:rPr>
        <w:t>2.  The UKMEC traffic-light system</w:t>
      </w:r>
    </w:p>
    <w:p w14:paraId="3CA5F1C1" w14:textId="77777777" w:rsidR="003F44C1" w:rsidRDefault="00000000">
      <w:pPr>
        <w:spacing w:after="120" w:line="264" w:lineRule="auto"/>
      </w:pPr>
      <w:r>
        <w:t xml:space="preserve">UK Medical Eligibility Criteria (UKMEC), published by the </w:t>
      </w:r>
      <w:r>
        <w:rPr>
          <w:b/>
          <w:bCs/>
        </w:rPr>
        <w:t>College of Sexual &amp; Reproductive Healthcare (</w:t>
      </w:r>
      <w:proofErr w:type="spellStart"/>
      <w:r>
        <w:rPr>
          <w:b/>
          <w:bCs/>
        </w:rPr>
        <w:t>CoSRH</w:t>
      </w:r>
      <w:proofErr w:type="spellEnd"/>
      <w:r>
        <w:rPr>
          <w:b/>
          <w:bCs/>
        </w:rPr>
        <w:t>, formerly the FSRH)</w:t>
      </w:r>
      <w:r>
        <w:t xml:space="preserve">, is the gold-standard guide to contraceptive </w:t>
      </w:r>
      <w:r>
        <w:rPr>
          <w:b/>
          <w:bCs/>
        </w:rPr>
        <w:t>safety</w:t>
      </w:r>
      <w:r>
        <w:t>. Every condition is scored 1 to 4 for each method. Think of it as a traffic light.</w:t>
      </w:r>
    </w:p>
    <w:p w14:paraId="453841DE" w14:textId="77777777" w:rsidR="003F44C1" w:rsidRDefault="00000000">
      <w:pPr>
        <w:spacing w:before="40" w:after="90"/>
        <w:jc w:val="center"/>
      </w:pPr>
      <w:r>
        <w:rPr>
          <w:noProof/>
        </w:rPr>
        <w:drawing>
          <wp:inline distT="0" distB="0" distL="0" distR="0" wp14:anchorId="1A9B242C" wp14:editId="4CC769BA">
            <wp:extent cx="5143500" cy="2400300"/>
            <wp:effectExtent l="0" t="0" r="0" b="0"/>
            <wp:docPr id="261493644" name="ukmec_lights" descr="ukmec_lights" title="ukmec_l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143500" cy="2400300"/>
                    </a:xfrm>
                    <a:prstGeom prst="rect">
                      <a:avLst/>
                    </a:prstGeom>
                  </pic:spPr>
                </pic:pic>
              </a:graphicData>
            </a:graphic>
          </wp:inline>
        </w:drawing>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1DF063C6" w14:textId="77777777">
        <w:tblPrEx>
          <w:tblCellMar>
            <w:top w:w="0" w:type="dxa"/>
            <w:bottom w:w="0" w:type="dxa"/>
          </w:tblCellMar>
        </w:tblPrEx>
        <w:trPr>
          <w:cantSplit/>
        </w:trPr>
        <w:tc>
          <w:tcPr>
            <w:tcW w:w="9746" w:type="dxa"/>
            <w:tcBorders>
              <w:top w:val="single" w:sz="4" w:space="0" w:color="EFE9F7"/>
              <w:left w:val="single" w:sz="32" w:space="0" w:color="6B46A8"/>
              <w:bottom w:val="single" w:sz="4" w:space="0" w:color="EFE9F7"/>
              <w:right w:val="single" w:sz="4" w:space="0" w:color="EFE9F7"/>
            </w:tcBorders>
            <w:shd w:val="clear" w:color="auto" w:fill="EFE9F7"/>
            <w:tcMar>
              <w:top w:w="130" w:type="dxa"/>
              <w:left w:w="200" w:type="dxa"/>
              <w:bottom w:w="130" w:type="dxa"/>
              <w:right w:w="180" w:type="dxa"/>
            </w:tcMar>
          </w:tcPr>
          <w:p w14:paraId="1A43C9CD" w14:textId="77777777" w:rsidR="003F44C1" w:rsidRDefault="00000000">
            <w:pPr>
              <w:spacing w:after="60"/>
            </w:pPr>
            <w:r>
              <w:rPr>
                <w:b/>
                <w:bCs/>
                <w:color w:val="6B46A8"/>
              </w:rPr>
              <w:lastRenderedPageBreak/>
              <w:t>Two key rules clinicians forget</w:t>
            </w:r>
          </w:p>
          <w:p w14:paraId="35A18362" w14:textId="77777777" w:rsidR="003F44C1" w:rsidRDefault="00000000">
            <w:pPr>
              <w:pStyle w:val="ListParagraph"/>
              <w:numPr>
                <w:ilvl w:val="0"/>
                <w:numId w:val="2"/>
              </w:numPr>
              <w:spacing w:after="60" w:line="258" w:lineRule="auto"/>
            </w:pPr>
            <w:r>
              <w:rPr>
                <w:b/>
                <w:bCs/>
                <w:sz w:val="20"/>
                <w:szCs w:val="20"/>
              </w:rPr>
              <w:t xml:space="preserve">UKMEC scores safety, not effectiveness. </w:t>
            </w:r>
            <w:r>
              <w:rPr>
                <w:sz w:val="20"/>
                <w:szCs w:val="20"/>
              </w:rPr>
              <w:t>A method can be “safe” (green) yet a poor choice if the patient cannot use it reliably.</w:t>
            </w:r>
          </w:p>
          <w:p w14:paraId="103A0C23" w14:textId="77777777" w:rsidR="003F44C1" w:rsidRDefault="00000000">
            <w:pPr>
              <w:pStyle w:val="ListParagraph"/>
              <w:numPr>
                <w:ilvl w:val="0"/>
                <w:numId w:val="2"/>
              </w:numPr>
              <w:spacing w:after="60" w:line="258" w:lineRule="auto"/>
            </w:pPr>
            <w:r>
              <w:rPr>
                <w:b/>
                <w:bCs/>
                <w:sz w:val="20"/>
                <w:szCs w:val="20"/>
              </w:rPr>
              <w:t xml:space="preserve">2 + 2 is not always 4 — but it is not nothing. </w:t>
            </w:r>
            <w:r>
              <w:rPr>
                <w:sz w:val="20"/>
                <w:szCs w:val="20"/>
              </w:rPr>
              <w:t>Two category-2 conditions in the same risk area (for example, two clot-risk factors) signal cumulative risk and call for caution. Several category-3 conditions together may add up to an unacceptable risk.</w:t>
            </w:r>
          </w:p>
        </w:tc>
      </w:tr>
    </w:tbl>
    <w:p w14:paraId="2A305A3A" w14:textId="77777777" w:rsidR="003F44C1" w:rsidRDefault="003F44C1">
      <w:pPr>
        <w:spacing w:after="40"/>
      </w:pPr>
    </w:p>
    <w:p w14:paraId="1C023EDC" w14:textId="77777777" w:rsidR="003F44C1" w:rsidRDefault="00000000">
      <w:pPr>
        <w:keepNext/>
        <w:pBdr>
          <w:bottom w:val="single" w:sz="18" w:space="6" w:color="E2710D"/>
        </w:pBdr>
        <w:spacing w:before="210" w:after="80"/>
      </w:pPr>
      <w:r>
        <w:rPr>
          <w:b/>
          <w:bCs/>
          <w:sz w:val="30"/>
          <w:szCs w:val="30"/>
        </w:rPr>
        <w:t>3.  The combined pill (COC)</w:t>
      </w:r>
    </w:p>
    <w:p w14:paraId="1D3244F5" w14:textId="77777777" w:rsidR="003F44C1" w:rsidRDefault="00000000">
      <w:pPr>
        <w:spacing w:after="120" w:line="264" w:lineRule="auto"/>
      </w:pPr>
      <w:r>
        <w:t xml:space="preserve">The combined pill contains an </w:t>
      </w:r>
      <w:r>
        <w:rPr>
          <w:b/>
          <w:bCs/>
        </w:rPr>
        <w:t>oestrogen and a progestogen</w:t>
      </w:r>
      <w:r>
        <w:t>. It is well tolerated by most people, but the oestrogen is what creates the long list of cautions below — mainly around blood clots and the arteries.</w:t>
      </w:r>
    </w:p>
    <w:p w14:paraId="2C8C25F9" w14:textId="77777777" w:rsidR="003F44C1" w:rsidRDefault="00000000">
      <w:pPr>
        <w:keepNext/>
        <w:spacing w:before="200" w:after="70"/>
      </w:pPr>
      <w:r>
        <w:rPr>
          <w:b/>
          <w:bCs/>
          <w:color w:val="B85A09"/>
          <w:sz w:val="24"/>
          <w:szCs w:val="24"/>
        </w:rPr>
        <w:t>How it is taken</w:t>
      </w:r>
    </w:p>
    <w:p w14:paraId="1799996D" w14:textId="77777777" w:rsidR="003F44C1" w:rsidRDefault="00000000">
      <w:pPr>
        <w:pStyle w:val="ListParagraph"/>
        <w:numPr>
          <w:ilvl w:val="0"/>
          <w:numId w:val="2"/>
        </w:numPr>
        <w:spacing w:after="60" w:line="258" w:lineRule="auto"/>
      </w:pPr>
      <w:r>
        <w:rPr>
          <w:b/>
          <w:bCs/>
        </w:rPr>
        <w:t xml:space="preserve">Standard pack: </w:t>
      </w:r>
      <w:r>
        <w:t>21 active pills, then a 7-day break (some “everyday” packs add 7 dummy pills to keep the habit going).</w:t>
      </w:r>
    </w:p>
    <w:p w14:paraId="7A9FA783" w14:textId="77777777" w:rsidR="003F44C1" w:rsidRDefault="00000000">
      <w:pPr>
        <w:pStyle w:val="ListParagraph"/>
        <w:numPr>
          <w:ilvl w:val="0"/>
          <w:numId w:val="2"/>
        </w:numPr>
        <w:spacing w:after="60" w:line="258" w:lineRule="auto"/>
      </w:pPr>
      <w:r>
        <w:rPr>
          <w:b/>
          <w:bCs/>
        </w:rPr>
        <w:t xml:space="preserve">Tailored regimens are now recommended. </w:t>
      </w:r>
      <w:r>
        <w:t>Taking packs back-to-back, or shortening the break, is safe and reduces the riskier pill-free days. There is no health need for a monthly bleed.</w:t>
      </w:r>
    </w:p>
    <w:p w14:paraId="59EA4047" w14:textId="77777777" w:rsidR="003F44C1" w:rsidRDefault="00000000">
      <w:pPr>
        <w:pStyle w:val="ListParagraph"/>
        <w:numPr>
          <w:ilvl w:val="0"/>
          <w:numId w:val="2"/>
        </w:numPr>
        <w:spacing w:after="60" w:line="258" w:lineRule="auto"/>
      </w:pPr>
      <w:r>
        <w:t xml:space="preserve">CHC can be used for contraception up to </w:t>
      </w:r>
      <w:r>
        <w:rPr>
          <w:b/>
          <w:bCs/>
        </w:rPr>
        <w:t>age 50</w:t>
      </w:r>
      <w:r>
        <w:t xml:space="preserve"> if the person remains medically eligible.</w:t>
      </w:r>
    </w:p>
    <w:p w14:paraId="0AB0CF05" w14:textId="77777777" w:rsidR="003F44C1" w:rsidRDefault="00000000">
      <w:pPr>
        <w:keepNext/>
        <w:spacing w:before="200" w:after="70"/>
      </w:pPr>
      <w:r>
        <w:rPr>
          <w:b/>
          <w:bCs/>
          <w:color w:val="B85A09"/>
          <w:sz w:val="24"/>
          <w:szCs w:val="24"/>
        </w:rPr>
        <w:t>If a pill is missed</w:t>
      </w:r>
    </w:p>
    <w:p w14:paraId="3C02A385" w14:textId="77777777" w:rsidR="003F44C1" w:rsidRDefault="00000000">
      <w:pPr>
        <w:spacing w:after="120" w:line="264" w:lineRule="auto"/>
      </w:pPr>
      <w:r>
        <w:t xml:space="preserve">The old “12-hour” rule is out of date. The current FSRH rule turns on </w:t>
      </w:r>
      <w:r>
        <w:rPr>
          <w:b/>
          <w:bCs/>
        </w:rPr>
        <w:t>48 hours</w:t>
      </w:r>
      <w:r>
        <w:t>. A single missed pill still leaves the person protected; trouble starts when two or more are missed, especially around the pill-free break.</w:t>
      </w:r>
    </w:p>
    <w:p w14:paraId="4C4801B4" w14:textId="77777777" w:rsidR="003F44C1" w:rsidRDefault="00000000">
      <w:pPr>
        <w:spacing w:before="40" w:after="90"/>
        <w:jc w:val="center"/>
      </w:pPr>
      <w:r>
        <w:rPr>
          <w:noProof/>
        </w:rPr>
        <w:drawing>
          <wp:inline distT="0" distB="0" distL="0" distR="0" wp14:anchorId="192FD1D3" wp14:editId="5A91498B">
            <wp:extent cx="5715000" cy="3600450"/>
            <wp:effectExtent l="0" t="0" r="0" b="0"/>
            <wp:docPr id="1688714443" name="coc_missed" descr="coc_missed" title="coc_mi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715000" cy="3600450"/>
                    </a:xfrm>
                    <a:prstGeom prst="rect">
                      <a:avLst/>
                    </a:prstGeom>
                  </pic:spPr>
                </pic:pic>
              </a:graphicData>
            </a:graphic>
          </wp:inline>
        </w:drawing>
      </w:r>
    </w:p>
    <w:p w14:paraId="01762ECF" w14:textId="77777777" w:rsidR="003F44C1" w:rsidRDefault="00000000">
      <w:pPr>
        <w:keepNext/>
        <w:spacing w:before="200" w:after="70"/>
      </w:pPr>
      <w:r>
        <w:rPr>
          <w:b/>
          <w:bCs/>
          <w:color w:val="B85A09"/>
          <w:sz w:val="24"/>
          <w:szCs w:val="24"/>
        </w:rPr>
        <w:t>Who can use it: the UKMEC check</w:t>
      </w:r>
    </w:p>
    <w:p w14:paraId="2DEE7B90" w14:textId="77777777" w:rsidR="003F44C1" w:rsidRDefault="00000000">
      <w:pPr>
        <w:spacing w:after="90" w:line="264" w:lineRule="auto"/>
      </w:pPr>
      <w:r>
        <w:rPr>
          <w:color w:val="43506B"/>
          <w:sz w:val="20"/>
          <w:szCs w:val="20"/>
        </w:rPr>
        <w:t>Score the patient before prescribing. Below are the conditions that matter most in primary care, grouped by traffic-light colour.</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4FBB9BC3" w14:textId="77777777">
        <w:tblPrEx>
          <w:tblCellMar>
            <w:top w:w="0" w:type="dxa"/>
            <w:bottom w:w="0" w:type="dxa"/>
          </w:tblCellMar>
        </w:tblPrEx>
        <w:trPr>
          <w:cantSplit/>
        </w:trPr>
        <w:tc>
          <w:tcPr>
            <w:tcW w:w="9746" w:type="dxa"/>
            <w:tcBorders>
              <w:top w:val="single" w:sz="4" w:space="0" w:color="FBE7E4"/>
              <w:left w:val="single" w:sz="32" w:space="0" w:color="CE3B2E"/>
              <w:bottom w:val="single" w:sz="4" w:space="0" w:color="FBE7E4"/>
              <w:right w:val="single" w:sz="4" w:space="0" w:color="FBE7E4"/>
            </w:tcBorders>
            <w:shd w:val="clear" w:color="auto" w:fill="FBE7E4"/>
            <w:tcMar>
              <w:top w:w="130" w:type="dxa"/>
              <w:left w:w="200" w:type="dxa"/>
              <w:bottom w:w="130" w:type="dxa"/>
              <w:right w:w="180" w:type="dxa"/>
            </w:tcMar>
          </w:tcPr>
          <w:p w14:paraId="31071E47" w14:textId="77777777" w:rsidR="003F44C1" w:rsidRDefault="00000000">
            <w:pPr>
              <w:spacing w:after="90"/>
            </w:pPr>
            <w:r>
              <w:rPr>
                <w:b/>
                <w:bCs/>
                <w:color w:val="CE3B2E"/>
                <w:sz w:val="23"/>
                <w:szCs w:val="23"/>
              </w:rPr>
              <w:lastRenderedPageBreak/>
              <w:t>RED — you must NOT prescribe</w:t>
            </w:r>
            <w:proofErr w:type="gramStart"/>
            <w:r>
              <w:rPr>
                <w:i/>
                <w:iCs/>
                <w:color w:val="43506B"/>
                <w:sz w:val="18"/>
                <w:szCs w:val="18"/>
              </w:rPr>
              <w:t xml:space="preserve">   (</w:t>
            </w:r>
            <w:proofErr w:type="gramEnd"/>
            <w:r>
              <w:rPr>
                <w:i/>
                <w:iCs/>
                <w:color w:val="43506B"/>
                <w:sz w:val="18"/>
                <w:szCs w:val="18"/>
              </w:rPr>
              <w:t>UKMEC 4)</w:t>
            </w:r>
          </w:p>
          <w:p w14:paraId="79215C66" w14:textId="77777777" w:rsidR="003F44C1" w:rsidRDefault="00000000">
            <w:pPr>
              <w:pStyle w:val="ListParagraph"/>
              <w:numPr>
                <w:ilvl w:val="0"/>
                <w:numId w:val="2"/>
              </w:numPr>
              <w:spacing w:after="50" w:line="252" w:lineRule="auto"/>
            </w:pPr>
            <w:r>
              <w:rPr>
                <w:b/>
                <w:bCs/>
                <w:sz w:val="20"/>
                <w:szCs w:val="20"/>
              </w:rPr>
              <w:t>Aged 35 or over and smoking 15+ a day</w:t>
            </w:r>
          </w:p>
          <w:p w14:paraId="0FE2AC02" w14:textId="77777777" w:rsidR="003F44C1" w:rsidRDefault="00000000">
            <w:pPr>
              <w:pStyle w:val="ListParagraph"/>
              <w:numPr>
                <w:ilvl w:val="0"/>
                <w:numId w:val="2"/>
              </w:numPr>
              <w:spacing w:after="50" w:line="252" w:lineRule="auto"/>
            </w:pPr>
            <w:r>
              <w:rPr>
                <w:b/>
                <w:bCs/>
                <w:sz w:val="20"/>
                <w:szCs w:val="20"/>
              </w:rPr>
              <w:t>Migraine WITH aura</w:t>
            </w:r>
            <w:r>
              <w:rPr>
                <w:sz w:val="20"/>
                <w:szCs w:val="20"/>
              </w:rPr>
              <w:t xml:space="preserve"> — at any age. (Migraine without aura is different — see green.)</w:t>
            </w:r>
          </w:p>
          <w:p w14:paraId="05ED76A9" w14:textId="77777777" w:rsidR="003F44C1" w:rsidRDefault="00000000">
            <w:pPr>
              <w:pStyle w:val="ListParagraph"/>
              <w:numPr>
                <w:ilvl w:val="0"/>
                <w:numId w:val="2"/>
              </w:numPr>
              <w:spacing w:after="50" w:line="252" w:lineRule="auto"/>
            </w:pPr>
            <w:r>
              <w:rPr>
                <w:b/>
                <w:bCs/>
                <w:sz w:val="20"/>
                <w:szCs w:val="20"/>
              </w:rPr>
              <w:t>Current or past blood clot (DVT/PE)</w:t>
            </w:r>
            <w:r>
              <w:rPr>
                <w:sz w:val="20"/>
                <w:szCs w:val="20"/>
              </w:rPr>
              <w:t>, or a known clotting mutation (e.g. Factor V Leiden, prothrombin, protein C/S or antithrombin deficiency).</w:t>
            </w:r>
          </w:p>
          <w:p w14:paraId="01EDF223" w14:textId="77777777" w:rsidR="003F44C1" w:rsidRDefault="00000000">
            <w:pPr>
              <w:pStyle w:val="ListParagraph"/>
              <w:numPr>
                <w:ilvl w:val="0"/>
                <w:numId w:val="2"/>
              </w:numPr>
              <w:spacing w:after="50" w:line="252" w:lineRule="auto"/>
            </w:pPr>
            <w:r>
              <w:rPr>
                <w:b/>
                <w:bCs/>
                <w:sz w:val="20"/>
                <w:szCs w:val="20"/>
              </w:rPr>
              <w:t>Current or past stroke or ischaemic heart disease.</w:t>
            </w:r>
          </w:p>
          <w:p w14:paraId="206ED9CC" w14:textId="77777777" w:rsidR="003F44C1" w:rsidRDefault="00000000">
            <w:pPr>
              <w:pStyle w:val="ListParagraph"/>
              <w:numPr>
                <w:ilvl w:val="0"/>
                <w:numId w:val="2"/>
              </w:numPr>
              <w:spacing w:after="50" w:line="252" w:lineRule="auto"/>
            </w:pPr>
            <w:r>
              <w:rPr>
                <w:b/>
                <w:bCs/>
                <w:sz w:val="20"/>
                <w:szCs w:val="20"/>
              </w:rPr>
              <w:t>Breastfeeding and under 6 weeks after birth</w:t>
            </w:r>
            <w:r>
              <w:rPr>
                <w:sz w:val="20"/>
                <w:szCs w:val="20"/>
              </w:rPr>
              <w:t>; or under 6 weeks after birth with any other clot-risk factor.</w:t>
            </w:r>
          </w:p>
          <w:p w14:paraId="57A6199D" w14:textId="77777777" w:rsidR="003F44C1" w:rsidRDefault="00000000">
            <w:pPr>
              <w:pStyle w:val="ListParagraph"/>
              <w:numPr>
                <w:ilvl w:val="0"/>
                <w:numId w:val="2"/>
              </w:numPr>
              <w:spacing w:after="50" w:line="252" w:lineRule="auto"/>
            </w:pPr>
            <w:r>
              <w:rPr>
                <w:b/>
                <w:bCs/>
                <w:sz w:val="20"/>
                <w:szCs w:val="20"/>
              </w:rPr>
              <w:t>Blood pressure 160/100 mmHg or higher.</w:t>
            </w:r>
          </w:p>
          <w:p w14:paraId="1A3176DA" w14:textId="77777777" w:rsidR="003F44C1" w:rsidRDefault="00000000">
            <w:pPr>
              <w:pStyle w:val="ListParagraph"/>
              <w:numPr>
                <w:ilvl w:val="0"/>
                <w:numId w:val="2"/>
              </w:numPr>
              <w:spacing w:after="50" w:line="252" w:lineRule="auto"/>
            </w:pPr>
            <w:r>
              <w:rPr>
                <w:b/>
                <w:bCs/>
                <w:sz w:val="20"/>
                <w:szCs w:val="20"/>
              </w:rPr>
              <w:t>Current breast cancer.</w:t>
            </w:r>
          </w:p>
          <w:p w14:paraId="76A9425D" w14:textId="77777777" w:rsidR="003F44C1" w:rsidRDefault="00000000">
            <w:pPr>
              <w:pStyle w:val="ListParagraph"/>
              <w:numPr>
                <w:ilvl w:val="0"/>
                <w:numId w:val="2"/>
              </w:numPr>
              <w:spacing w:after="50" w:line="252" w:lineRule="auto"/>
            </w:pPr>
            <w:r>
              <w:rPr>
                <w:sz w:val="20"/>
                <w:szCs w:val="20"/>
              </w:rPr>
              <w:t>Major surgery with prolonged immobility; antiphospholipid antibodies (e.g. in SLE); complicated valve disease; severe liver disease or liver tumour.</w:t>
            </w:r>
          </w:p>
          <w:p w14:paraId="5663DA54" w14:textId="77777777" w:rsidR="003F44C1" w:rsidRDefault="00000000">
            <w:pPr>
              <w:pStyle w:val="ListParagraph"/>
              <w:numPr>
                <w:ilvl w:val="0"/>
                <w:numId w:val="2"/>
              </w:numPr>
              <w:spacing w:after="50" w:line="252" w:lineRule="auto"/>
            </w:pPr>
            <w:r>
              <w:rPr>
                <w:b/>
                <w:bCs/>
                <w:sz w:val="20"/>
                <w:szCs w:val="20"/>
              </w:rPr>
              <w:t>Diabetes with vascular complications or for over 20 years</w:t>
            </w:r>
            <w:r>
              <w:rPr>
                <w:sz w:val="20"/>
                <w:szCs w:val="20"/>
              </w:rPr>
              <w:t xml:space="preserve"> (category 3 or 4 by severity).</w:t>
            </w:r>
          </w:p>
        </w:tc>
      </w:tr>
    </w:tbl>
    <w:p w14:paraId="6B535A1C" w14:textId="77777777" w:rsidR="003F44C1" w:rsidRDefault="003F44C1">
      <w:pPr>
        <w:spacing w:after="7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6307C874" w14:textId="77777777">
        <w:tblPrEx>
          <w:tblCellMar>
            <w:top w:w="0" w:type="dxa"/>
            <w:bottom w:w="0" w:type="dxa"/>
          </w:tblCellMar>
        </w:tblPrEx>
        <w:trPr>
          <w:cantSplit/>
        </w:trPr>
        <w:tc>
          <w:tcPr>
            <w:tcW w:w="9746" w:type="dxa"/>
            <w:tcBorders>
              <w:top w:val="single" w:sz="4" w:space="0" w:color="FBF0DA"/>
              <w:left w:val="single" w:sz="32" w:space="0" w:color="C9790A"/>
              <w:bottom w:val="single" w:sz="4" w:space="0" w:color="FBF0DA"/>
              <w:right w:val="single" w:sz="4" w:space="0" w:color="FBF0DA"/>
            </w:tcBorders>
            <w:shd w:val="clear" w:color="auto" w:fill="FBF0DA"/>
            <w:tcMar>
              <w:top w:w="130" w:type="dxa"/>
              <w:left w:w="200" w:type="dxa"/>
              <w:bottom w:w="130" w:type="dxa"/>
              <w:right w:w="180" w:type="dxa"/>
            </w:tcMar>
          </w:tcPr>
          <w:p w14:paraId="77B4CEF1" w14:textId="77777777" w:rsidR="003F44C1" w:rsidRDefault="00000000">
            <w:pPr>
              <w:spacing w:after="90"/>
            </w:pPr>
            <w:r>
              <w:rPr>
                <w:b/>
                <w:bCs/>
                <w:color w:val="C9790A"/>
                <w:sz w:val="23"/>
                <w:szCs w:val="23"/>
              </w:rPr>
              <w:t>AMBER — generally avoid; specialist judgement</w:t>
            </w:r>
            <w:proofErr w:type="gramStart"/>
            <w:r>
              <w:rPr>
                <w:i/>
                <w:iCs/>
                <w:color w:val="43506B"/>
                <w:sz w:val="18"/>
                <w:szCs w:val="18"/>
              </w:rPr>
              <w:t xml:space="preserve">   (</w:t>
            </w:r>
            <w:proofErr w:type="gramEnd"/>
            <w:r>
              <w:rPr>
                <w:i/>
                <w:iCs/>
                <w:color w:val="43506B"/>
                <w:sz w:val="18"/>
                <w:szCs w:val="18"/>
              </w:rPr>
              <w:t>UKMEC 3)</w:t>
            </w:r>
          </w:p>
          <w:p w14:paraId="6E73ED9B" w14:textId="77777777" w:rsidR="003F44C1" w:rsidRDefault="00000000">
            <w:pPr>
              <w:pStyle w:val="ListParagraph"/>
              <w:numPr>
                <w:ilvl w:val="0"/>
                <w:numId w:val="2"/>
              </w:numPr>
              <w:spacing w:after="50" w:line="252" w:lineRule="auto"/>
            </w:pPr>
            <w:r>
              <w:rPr>
                <w:b/>
                <w:bCs/>
                <w:sz w:val="20"/>
                <w:szCs w:val="20"/>
              </w:rPr>
              <w:t xml:space="preserve">Aged 35+ and smoking fewer than 15 a </w:t>
            </w:r>
            <w:proofErr w:type="gramStart"/>
            <w:r>
              <w:rPr>
                <w:b/>
                <w:bCs/>
                <w:sz w:val="20"/>
                <w:szCs w:val="20"/>
              </w:rPr>
              <w:t>day</w:t>
            </w:r>
            <w:r>
              <w:rPr>
                <w:sz w:val="20"/>
                <w:szCs w:val="20"/>
              </w:rPr>
              <w:t>, or</w:t>
            </w:r>
            <w:proofErr w:type="gramEnd"/>
            <w:r>
              <w:rPr>
                <w:sz w:val="20"/>
                <w:szCs w:val="20"/>
              </w:rPr>
              <w:t xml:space="preserve"> stopped less than a year ago.</w:t>
            </w:r>
          </w:p>
          <w:p w14:paraId="706F4F76" w14:textId="77777777" w:rsidR="003F44C1" w:rsidRDefault="00000000">
            <w:pPr>
              <w:pStyle w:val="ListParagraph"/>
              <w:numPr>
                <w:ilvl w:val="0"/>
                <w:numId w:val="2"/>
              </w:numPr>
              <w:spacing w:after="50" w:line="252" w:lineRule="auto"/>
            </w:pPr>
            <w:r>
              <w:rPr>
                <w:b/>
                <w:bCs/>
                <w:sz w:val="20"/>
                <w:szCs w:val="20"/>
              </w:rPr>
              <w:t>BMI 35 kg/m² or above</w:t>
            </w:r>
            <w:r>
              <w:rPr>
                <w:sz w:val="20"/>
                <w:szCs w:val="20"/>
              </w:rPr>
              <w:t xml:space="preserve"> (this also applies after bariatric surgery until the BMI settles below 35).</w:t>
            </w:r>
          </w:p>
          <w:p w14:paraId="79486151" w14:textId="77777777" w:rsidR="003F44C1" w:rsidRDefault="00000000">
            <w:pPr>
              <w:pStyle w:val="ListParagraph"/>
              <w:numPr>
                <w:ilvl w:val="0"/>
                <w:numId w:val="2"/>
              </w:numPr>
              <w:spacing w:after="50" w:line="252" w:lineRule="auto"/>
            </w:pPr>
            <w:r>
              <w:rPr>
                <w:sz w:val="20"/>
                <w:szCs w:val="20"/>
              </w:rPr>
              <w:t>Not breastfeeding and under 3 weeks after birth; or breastfeeding from 6 weeks to 6 months.</w:t>
            </w:r>
          </w:p>
          <w:p w14:paraId="68CA5F94" w14:textId="77777777" w:rsidR="003F44C1" w:rsidRDefault="00000000">
            <w:pPr>
              <w:pStyle w:val="ListParagraph"/>
              <w:numPr>
                <w:ilvl w:val="0"/>
                <w:numId w:val="2"/>
              </w:numPr>
              <w:spacing w:after="50" w:line="252" w:lineRule="auto"/>
            </w:pPr>
            <w:r>
              <w:rPr>
                <w:sz w:val="20"/>
                <w:szCs w:val="20"/>
              </w:rPr>
              <w:t>Controlled hypertension, or BP 140–159 / 90–99 mmHg.</w:t>
            </w:r>
          </w:p>
          <w:p w14:paraId="36C1940C" w14:textId="77777777" w:rsidR="003F44C1" w:rsidRDefault="00000000">
            <w:pPr>
              <w:pStyle w:val="ListParagraph"/>
              <w:numPr>
                <w:ilvl w:val="0"/>
                <w:numId w:val="2"/>
              </w:numPr>
              <w:spacing w:after="50" w:line="252" w:lineRule="auto"/>
            </w:pPr>
            <w:r>
              <w:rPr>
                <w:sz w:val="20"/>
                <w:szCs w:val="20"/>
              </w:rPr>
              <w:t>A first-degree relative who had a clot before age 45.</w:t>
            </w:r>
          </w:p>
          <w:p w14:paraId="3B595DB0" w14:textId="77777777" w:rsidR="003F44C1" w:rsidRDefault="00000000">
            <w:pPr>
              <w:pStyle w:val="ListParagraph"/>
              <w:numPr>
                <w:ilvl w:val="0"/>
                <w:numId w:val="2"/>
              </w:numPr>
              <w:spacing w:after="50" w:line="252" w:lineRule="auto"/>
            </w:pPr>
            <w:r>
              <w:rPr>
                <w:sz w:val="20"/>
                <w:szCs w:val="20"/>
              </w:rPr>
              <w:t>Immobility (e.g. wheelchair use); familial high cholesterol.</w:t>
            </w:r>
          </w:p>
          <w:p w14:paraId="6E6BEDCB" w14:textId="77777777" w:rsidR="003F44C1" w:rsidRDefault="00000000">
            <w:pPr>
              <w:pStyle w:val="ListParagraph"/>
              <w:numPr>
                <w:ilvl w:val="0"/>
                <w:numId w:val="2"/>
              </w:numPr>
              <w:spacing w:after="50" w:line="252" w:lineRule="auto"/>
            </w:pPr>
            <w:r>
              <w:rPr>
                <w:sz w:val="20"/>
                <w:szCs w:val="20"/>
              </w:rPr>
              <w:t>Past migraine with aura (5+ years ago), or migraine without aura that develops while on the pill.</w:t>
            </w:r>
          </w:p>
          <w:p w14:paraId="3D8E822D" w14:textId="77777777" w:rsidR="003F44C1" w:rsidRDefault="00000000">
            <w:pPr>
              <w:pStyle w:val="ListParagraph"/>
              <w:numPr>
                <w:ilvl w:val="0"/>
                <w:numId w:val="2"/>
              </w:numPr>
              <w:spacing w:after="50" w:line="252" w:lineRule="auto"/>
            </w:pPr>
            <w:r>
              <w:rPr>
                <w:sz w:val="20"/>
                <w:szCs w:val="20"/>
              </w:rPr>
              <w:t>Carrier of a BRCA gene; current symptomatic gallbladder disease; mild (compensated) cirrhosis.</w:t>
            </w:r>
          </w:p>
          <w:p w14:paraId="1F24D4E3" w14:textId="77777777" w:rsidR="003F44C1" w:rsidRDefault="00000000">
            <w:pPr>
              <w:pStyle w:val="ListParagraph"/>
              <w:numPr>
                <w:ilvl w:val="0"/>
                <w:numId w:val="2"/>
              </w:numPr>
              <w:spacing w:after="50" w:line="252" w:lineRule="auto"/>
            </w:pPr>
            <w:r>
              <w:rPr>
                <w:sz w:val="20"/>
                <w:szCs w:val="20"/>
              </w:rPr>
              <w:t>Taking an enzyme-inducing drug (see Section 5).</w:t>
            </w:r>
          </w:p>
        </w:tc>
      </w:tr>
    </w:tbl>
    <w:p w14:paraId="3CA1E8A0" w14:textId="77777777" w:rsidR="003F44C1" w:rsidRDefault="003F44C1">
      <w:pPr>
        <w:spacing w:after="7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3945E4F3" w14:textId="77777777">
        <w:tblPrEx>
          <w:tblCellMar>
            <w:top w:w="0" w:type="dxa"/>
            <w:bottom w:w="0" w:type="dxa"/>
          </w:tblCellMar>
        </w:tblPrEx>
        <w:trPr>
          <w:cantSplit/>
        </w:trPr>
        <w:tc>
          <w:tcPr>
            <w:tcW w:w="9746" w:type="dxa"/>
            <w:tcBorders>
              <w:top w:val="single" w:sz="4" w:space="0" w:color="E7F6EE"/>
              <w:left w:val="single" w:sz="32" w:space="0" w:color="1E9E62"/>
              <w:bottom w:val="single" w:sz="4" w:space="0" w:color="E7F6EE"/>
              <w:right w:val="single" w:sz="4" w:space="0" w:color="E7F6EE"/>
            </w:tcBorders>
            <w:shd w:val="clear" w:color="auto" w:fill="E7F6EE"/>
            <w:tcMar>
              <w:top w:w="130" w:type="dxa"/>
              <w:left w:w="200" w:type="dxa"/>
              <w:bottom w:w="130" w:type="dxa"/>
              <w:right w:w="180" w:type="dxa"/>
            </w:tcMar>
          </w:tcPr>
          <w:p w14:paraId="2A661DD7" w14:textId="77777777" w:rsidR="003F44C1" w:rsidRDefault="00000000">
            <w:pPr>
              <w:spacing w:after="90"/>
            </w:pPr>
            <w:r>
              <w:rPr>
                <w:b/>
                <w:bCs/>
                <w:color w:val="1E9E62"/>
                <w:sz w:val="23"/>
                <w:szCs w:val="23"/>
              </w:rPr>
              <w:t>GREEN — usually fine to prescribe</w:t>
            </w:r>
            <w:proofErr w:type="gramStart"/>
            <w:r>
              <w:rPr>
                <w:i/>
                <w:iCs/>
                <w:color w:val="43506B"/>
                <w:sz w:val="18"/>
                <w:szCs w:val="18"/>
              </w:rPr>
              <w:t xml:space="preserve">   (</w:t>
            </w:r>
            <w:proofErr w:type="gramEnd"/>
            <w:r>
              <w:rPr>
                <w:i/>
                <w:iCs/>
                <w:color w:val="43506B"/>
                <w:sz w:val="18"/>
                <w:szCs w:val="18"/>
              </w:rPr>
              <w:t>UKMEC 1–2)</w:t>
            </w:r>
          </w:p>
          <w:p w14:paraId="2A93812C" w14:textId="77777777" w:rsidR="003F44C1" w:rsidRDefault="00000000">
            <w:pPr>
              <w:pStyle w:val="ListParagraph"/>
              <w:numPr>
                <w:ilvl w:val="0"/>
                <w:numId w:val="2"/>
              </w:numPr>
              <w:spacing w:after="50" w:line="252" w:lineRule="auto"/>
            </w:pPr>
            <w:r>
              <w:rPr>
                <w:b/>
                <w:bCs/>
                <w:sz w:val="20"/>
                <w:szCs w:val="20"/>
              </w:rPr>
              <w:t>Migraine WITHOUT aura, under 35</w:t>
            </w:r>
            <w:r>
              <w:rPr>
                <w:sz w:val="20"/>
                <w:szCs w:val="20"/>
              </w:rPr>
              <w:t xml:space="preserve"> — the pill can be started.</w:t>
            </w:r>
          </w:p>
          <w:p w14:paraId="77CF3412" w14:textId="77777777" w:rsidR="003F44C1" w:rsidRDefault="00000000">
            <w:pPr>
              <w:pStyle w:val="ListParagraph"/>
              <w:numPr>
                <w:ilvl w:val="0"/>
                <w:numId w:val="2"/>
              </w:numPr>
              <w:spacing w:after="50" w:line="252" w:lineRule="auto"/>
            </w:pPr>
            <w:r>
              <w:rPr>
                <w:sz w:val="20"/>
                <w:szCs w:val="20"/>
              </w:rPr>
              <w:t>Smoking under age 35; or aged 40+ and a non-smoker.</w:t>
            </w:r>
          </w:p>
          <w:p w14:paraId="630D947E" w14:textId="77777777" w:rsidR="003F44C1" w:rsidRDefault="00000000">
            <w:pPr>
              <w:pStyle w:val="ListParagraph"/>
              <w:numPr>
                <w:ilvl w:val="0"/>
                <w:numId w:val="2"/>
              </w:numPr>
              <w:spacing w:after="50" w:line="252" w:lineRule="auto"/>
            </w:pPr>
            <w:r>
              <w:rPr>
                <w:sz w:val="20"/>
                <w:szCs w:val="20"/>
              </w:rPr>
              <w:t>BMI 30–34; high blood pressure only during a past pregnancy.</w:t>
            </w:r>
          </w:p>
          <w:p w14:paraId="1B068CA7" w14:textId="77777777" w:rsidR="003F44C1" w:rsidRDefault="00000000">
            <w:pPr>
              <w:pStyle w:val="ListParagraph"/>
              <w:numPr>
                <w:ilvl w:val="0"/>
                <w:numId w:val="2"/>
              </w:numPr>
              <w:spacing w:after="50" w:line="252" w:lineRule="auto"/>
            </w:pPr>
            <w:r>
              <w:rPr>
                <w:sz w:val="20"/>
                <w:szCs w:val="20"/>
              </w:rPr>
              <w:t>A first-degree relative who had a clot at 45 or older; a superficial (surface-vein) clot.</w:t>
            </w:r>
          </w:p>
          <w:p w14:paraId="654EA534" w14:textId="77777777" w:rsidR="003F44C1" w:rsidRDefault="00000000">
            <w:pPr>
              <w:pStyle w:val="ListParagraph"/>
              <w:numPr>
                <w:ilvl w:val="0"/>
                <w:numId w:val="2"/>
              </w:numPr>
              <w:spacing w:after="50" w:line="252" w:lineRule="auto"/>
            </w:pPr>
            <w:r>
              <w:rPr>
                <w:sz w:val="20"/>
                <w:szCs w:val="20"/>
              </w:rPr>
              <w:t>Uncomplicated diabetes; family history of breast cancer; CIN, cervical cancer awaiting treatment, or high-risk HPV.</w:t>
            </w:r>
          </w:p>
          <w:p w14:paraId="1524A11F" w14:textId="77777777" w:rsidR="003F44C1" w:rsidRDefault="00000000">
            <w:pPr>
              <w:pStyle w:val="ListParagraph"/>
              <w:numPr>
                <w:ilvl w:val="0"/>
                <w:numId w:val="2"/>
              </w:numPr>
              <w:spacing w:after="50" w:line="252" w:lineRule="auto"/>
            </w:pPr>
            <w:r>
              <w:rPr>
                <w:sz w:val="20"/>
                <w:szCs w:val="20"/>
              </w:rPr>
              <w:t>Epilepsy (but check drug interactions); most mental-health conditions.</w:t>
            </w:r>
          </w:p>
        </w:tc>
      </w:tr>
    </w:tbl>
    <w:p w14:paraId="496D0B14" w14:textId="77777777" w:rsidR="003F44C1" w:rsidRDefault="003F44C1">
      <w:pPr>
        <w:spacing w:after="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0B01A0FC" w14:textId="77777777">
        <w:tblPrEx>
          <w:tblCellMar>
            <w:top w:w="0" w:type="dxa"/>
            <w:bottom w:w="0" w:type="dxa"/>
          </w:tblCellMar>
        </w:tblPrEx>
        <w:trPr>
          <w:cantSplit/>
        </w:trPr>
        <w:tc>
          <w:tcPr>
            <w:tcW w:w="9746" w:type="dxa"/>
            <w:tcBorders>
              <w:top w:val="single" w:sz="4" w:space="0" w:color="EFE9F7"/>
              <w:left w:val="single" w:sz="32" w:space="0" w:color="6B46A8"/>
              <w:bottom w:val="single" w:sz="4" w:space="0" w:color="EFE9F7"/>
              <w:right w:val="single" w:sz="4" w:space="0" w:color="EFE9F7"/>
            </w:tcBorders>
            <w:shd w:val="clear" w:color="auto" w:fill="EFE9F7"/>
            <w:tcMar>
              <w:top w:w="130" w:type="dxa"/>
              <w:left w:w="200" w:type="dxa"/>
              <w:bottom w:w="130" w:type="dxa"/>
              <w:right w:w="180" w:type="dxa"/>
            </w:tcMar>
          </w:tcPr>
          <w:p w14:paraId="774EDF12" w14:textId="77777777" w:rsidR="003F44C1" w:rsidRDefault="00000000">
            <w:pPr>
              <w:spacing w:after="60"/>
            </w:pPr>
            <w:r>
              <w:rPr>
                <w:b/>
                <w:bCs/>
                <w:color w:val="6B46A8"/>
                <w:sz w:val="20"/>
                <w:szCs w:val="20"/>
              </w:rPr>
              <w:t xml:space="preserve">A note on mood </w:t>
            </w:r>
          </w:p>
          <w:p w14:paraId="27D0A974" w14:textId="77777777" w:rsidR="003F44C1" w:rsidRDefault="00000000">
            <w:pPr>
              <w:spacing w:line="264" w:lineRule="auto"/>
            </w:pPr>
            <w:r>
              <w:rPr>
                <w:sz w:val="20"/>
                <w:szCs w:val="20"/>
              </w:rPr>
              <w:t xml:space="preserve">Depression was removed from UKMEC in 2025. There is </w:t>
            </w:r>
            <w:r>
              <w:rPr>
                <w:b/>
                <w:bCs/>
                <w:sz w:val="20"/>
                <w:szCs w:val="20"/>
              </w:rPr>
              <w:t>no clear evidence</w:t>
            </w:r>
            <w:r>
              <w:rPr>
                <w:sz w:val="20"/>
                <w:szCs w:val="20"/>
              </w:rPr>
              <w:t xml:space="preserve"> that hormonal contraception reliably worsens or improves mood. Counsel patients with existing anxiety or depression to monitor their </w:t>
            </w:r>
            <w:proofErr w:type="gramStart"/>
            <w:r>
              <w:rPr>
                <w:sz w:val="20"/>
                <w:szCs w:val="20"/>
              </w:rPr>
              <w:t>mood, and</w:t>
            </w:r>
            <w:proofErr w:type="gramEnd"/>
            <w:r>
              <w:rPr>
                <w:sz w:val="20"/>
                <w:szCs w:val="20"/>
              </w:rPr>
              <w:t xml:space="preserve"> review the method if they feel it has been affected.</w:t>
            </w:r>
          </w:p>
        </w:tc>
      </w:tr>
    </w:tbl>
    <w:p w14:paraId="58898EDB" w14:textId="77777777" w:rsidR="003F44C1" w:rsidRDefault="003F44C1">
      <w:pPr>
        <w:spacing w:after="40"/>
      </w:pPr>
    </w:p>
    <w:p w14:paraId="303A40F3" w14:textId="77777777" w:rsidR="003F44C1" w:rsidRDefault="00000000">
      <w:pPr>
        <w:keepNext/>
        <w:spacing w:before="200" w:after="70"/>
      </w:pPr>
      <w:r>
        <w:rPr>
          <w:b/>
          <w:bCs/>
          <w:color w:val="B85A09"/>
          <w:sz w:val="24"/>
          <w:szCs w:val="24"/>
        </w:rPr>
        <w:t>Examples</w:t>
      </w:r>
    </w:p>
    <w:p w14:paraId="45DA7881" w14:textId="77777777" w:rsidR="003F44C1" w:rsidRDefault="00000000">
      <w:pPr>
        <w:spacing w:after="60" w:line="264" w:lineRule="auto"/>
      </w:pPr>
      <w:r>
        <w:t xml:space="preserve">Common first-choice combined pills include </w:t>
      </w:r>
      <w:proofErr w:type="spellStart"/>
      <w:r>
        <w:rPr>
          <w:b/>
          <w:bCs/>
        </w:rPr>
        <w:t>Microgynon</w:t>
      </w:r>
      <w:proofErr w:type="spellEnd"/>
      <w:r>
        <w:rPr>
          <w:b/>
          <w:bCs/>
        </w:rPr>
        <w:t xml:space="preserve">, </w:t>
      </w:r>
      <w:proofErr w:type="spellStart"/>
      <w:r>
        <w:rPr>
          <w:b/>
          <w:bCs/>
        </w:rPr>
        <w:t>Rigevidon</w:t>
      </w:r>
      <w:proofErr w:type="spellEnd"/>
      <w:r>
        <w:rPr>
          <w:b/>
          <w:bCs/>
        </w:rPr>
        <w:t xml:space="preserve"> and </w:t>
      </w:r>
      <w:proofErr w:type="spellStart"/>
      <w:r>
        <w:rPr>
          <w:b/>
          <w:bCs/>
        </w:rPr>
        <w:t>Levest</w:t>
      </w:r>
      <w:proofErr w:type="spellEnd"/>
      <w:r>
        <w:t xml:space="preserve"> (all levonorgestrel-containing, which carry the lowest clot risk among combined pills). </w:t>
      </w:r>
      <w:r>
        <w:rPr>
          <w:b/>
          <w:bCs/>
        </w:rPr>
        <w:t>Prescribe by brand</w:t>
      </w:r>
      <w:r>
        <w:t xml:space="preserve"> and confirm the exact preparation and dose in the BNF.</w:t>
      </w:r>
    </w:p>
    <w:p w14:paraId="694DB89D" w14:textId="77777777" w:rsidR="003F44C1" w:rsidRDefault="00000000">
      <w:pPr>
        <w:keepNext/>
        <w:pBdr>
          <w:bottom w:val="single" w:sz="18" w:space="6" w:color="E2710D"/>
        </w:pBdr>
        <w:spacing w:before="210" w:after="80"/>
      </w:pPr>
      <w:r>
        <w:rPr>
          <w:b/>
          <w:bCs/>
          <w:sz w:val="30"/>
          <w:szCs w:val="30"/>
        </w:rPr>
        <w:lastRenderedPageBreak/>
        <w:t>4.  The progestogen-only pill (POP)</w:t>
      </w:r>
    </w:p>
    <w:p w14:paraId="65B05160" w14:textId="77777777" w:rsidR="003F44C1" w:rsidRDefault="00000000">
      <w:pPr>
        <w:spacing w:after="120" w:line="264" w:lineRule="auto"/>
      </w:pPr>
      <w:r>
        <w:t xml:space="preserve">The POP contains </w:t>
      </w:r>
      <w:r>
        <w:rPr>
          <w:b/>
          <w:bCs/>
        </w:rPr>
        <w:t>no oestrogen</w:t>
      </w:r>
      <w:r>
        <w:t>. That single fact removes almost all the clot and arterial risks of the combined pill. The trade-off is that it must be taken punctually, and irregular bleeding is common.</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1627CA48" w14:textId="77777777">
        <w:tblPrEx>
          <w:tblCellMar>
            <w:top w:w="0" w:type="dxa"/>
            <w:bottom w:w="0" w:type="dxa"/>
          </w:tblCellMar>
        </w:tblPrEx>
        <w:trPr>
          <w:cantSplit/>
        </w:trPr>
        <w:tc>
          <w:tcPr>
            <w:tcW w:w="9746" w:type="dxa"/>
            <w:tcBorders>
              <w:top w:val="single" w:sz="4" w:space="0" w:color="E7F6EE"/>
              <w:left w:val="single" w:sz="32" w:space="0" w:color="1E9E62"/>
              <w:bottom w:val="single" w:sz="4" w:space="0" w:color="E7F6EE"/>
              <w:right w:val="single" w:sz="4" w:space="0" w:color="E7F6EE"/>
            </w:tcBorders>
            <w:shd w:val="clear" w:color="auto" w:fill="E7F6EE"/>
            <w:tcMar>
              <w:top w:w="130" w:type="dxa"/>
              <w:left w:w="200" w:type="dxa"/>
              <w:bottom w:w="130" w:type="dxa"/>
              <w:right w:w="180" w:type="dxa"/>
            </w:tcMar>
          </w:tcPr>
          <w:p w14:paraId="382EB0C2" w14:textId="77777777" w:rsidR="003F44C1" w:rsidRDefault="00000000">
            <w:pPr>
              <w:spacing w:after="60"/>
            </w:pPr>
            <w:r>
              <w:rPr>
                <w:b/>
                <w:bCs/>
                <w:color w:val="1E9E62"/>
              </w:rPr>
              <w:t>The headline for the POP</w:t>
            </w:r>
          </w:p>
          <w:p w14:paraId="723FD6FE" w14:textId="77777777" w:rsidR="003F44C1" w:rsidRDefault="00000000">
            <w:pPr>
              <w:spacing w:line="264" w:lineRule="auto"/>
            </w:pPr>
            <w:r>
              <w:rPr>
                <w:sz w:val="20"/>
                <w:szCs w:val="20"/>
              </w:rPr>
              <w:t xml:space="preserve">The </w:t>
            </w:r>
            <w:r>
              <w:rPr>
                <w:b/>
                <w:bCs/>
                <w:sz w:val="20"/>
                <w:szCs w:val="20"/>
              </w:rPr>
              <w:t>only absolute contraindication (UKMEC 4) is current breast cancer.</w:t>
            </w:r>
            <w:r>
              <w:rPr>
                <w:sz w:val="20"/>
                <w:szCs w:val="20"/>
              </w:rPr>
              <w:t xml:space="preserve"> Smoking, high BP, obesity, a past clot, migraine with aura, and diabetes — all of which can rule out the combined pill — are generally fine with the POP. This is why the POP is the go-to oral option when oestrogen must be avoided.</w:t>
            </w:r>
          </w:p>
        </w:tc>
      </w:tr>
    </w:tbl>
    <w:p w14:paraId="0F87F750" w14:textId="77777777" w:rsidR="003F44C1" w:rsidRDefault="003F44C1">
      <w:pPr>
        <w:spacing w:after="50"/>
      </w:pPr>
    </w:p>
    <w:p w14:paraId="6E2772A7" w14:textId="77777777" w:rsidR="003F44C1" w:rsidRDefault="00000000">
      <w:pPr>
        <w:keepNext/>
        <w:spacing w:before="200" w:after="70"/>
      </w:pPr>
      <w:r>
        <w:rPr>
          <w:b/>
          <w:bCs/>
          <w:color w:val="B85A09"/>
          <w:sz w:val="24"/>
          <w:szCs w:val="24"/>
        </w:rPr>
        <w:t>How it is taken, and the late-pill window</w:t>
      </w:r>
    </w:p>
    <w:p w14:paraId="7A667284" w14:textId="77777777" w:rsidR="003F44C1" w:rsidRDefault="00000000">
      <w:pPr>
        <w:spacing w:after="120" w:line="264" w:lineRule="auto"/>
      </w:pPr>
      <w:r>
        <w:t xml:space="preserve">One pill every day, with </w:t>
      </w:r>
      <w:r>
        <w:rPr>
          <w:b/>
          <w:bCs/>
        </w:rPr>
        <w:t>no break</w:t>
      </w:r>
      <w:r>
        <w:t xml:space="preserve"> (the </w:t>
      </w:r>
      <w:proofErr w:type="spellStart"/>
      <w:r>
        <w:t>drospirenone</w:t>
      </w:r>
      <w:proofErr w:type="spellEnd"/>
      <w:r>
        <w:t xml:space="preserve"> pill is the exception — 24 </w:t>
      </w:r>
      <w:proofErr w:type="gramStart"/>
      <w:r>
        <w:t>active</w:t>
      </w:r>
      <w:proofErr w:type="gramEnd"/>
      <w:r>
        <w:t xml:space="preserve"> then 4 inactive pills). How much leeway you have before a pill counts as “missed” depends on which POP it is:</w:t>
      </w:r>
    </w:p>
    <w:p w14:paraId="474429EA" w14:textId="77777777" w:rsidR="003F44C1" w:rsidRDefault="00000000">
      <w:pPr>
        <w:spacing w:before="40" w:after="90"/>
        <w:jc w:val="center"/>
      </w:pPr>
      <w:r>
        <w:rPr>
          <w:noProof/>
        </w:rPr>
        <w:drawing>
          <wp:inline distT="0" distB="0" distL="0" distR="0" wp14:anchorId="12BF34B0" wp14:editId="4C54F996">
            <wp:extent cx="5715000" cy="1866900"/>
            <wp:effectExtent l="0" t="0" r="0" b="0"/>
            <wp:docPr id="1694904345" name="pop_windows" descr="pop_windows" title="pop_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715000" cy="1866900"/>
                    </a:xfrm>
                    <a:prstGeom prst="rect">
                      <a:avLst/>
                    </a:prstGeom>
                  </pic:spPr>
                </pic:pic>
              </a:graphicData>
            </a:graphic>
          </wp:inline>
        </w:drawing>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1636BB92" w14:textId="77777777">
        <w:tblPrEx>
          <w:tblCellMar>
            <w:top w:w="0" w:type="dxa"/>
            <w:bottom w:w="0" w:type="dxa"/>
          </w:tblCellMar>
        </w:tblPrEx>
        <w:trPr>
          <w:cantSplit/>
        </w:trPr>
        <w:tc>
          <w:tcPr>
            <w:tcW w:w="9746" w:type="dxa"/>
            <w:tcBorders>
              <w:top w:val="single" w:sz="4" w:space="0" w:color="E6F0F9"/>
              <w:left w:val="single" w:sz="32" w:space="0" w:color="2B6CB0"/>
              <w:bottom w:val="single" w:sz="4" w:space="0" w:color="E6F0F9"/>
              <w:right w:val="single" w:sz="4" w:space="0" w:color="E6F0F9"/>
            </w:tcBorders>
            <w:shd w:val="clear" w:color="auto" w:fill="E6F0F9"/>
            <w:tcMar>
              <w:top w:w="130" w:type="dxa"/>
              <w:left w:w="200" w:type="dxa"/>
              <w:bottom w:w="130" w:type="dxa"/>
              <w:right w:w="180" w:type="dxa"/>
            </w:tcMar>
          </w:tcPr>
          <w:p w14:paraId="1D08C882" w14:textId="77777777" w:rsidR="003F44C1" w:rsidRDefault="00000000">
            <w:pPr>
              <w:spacing w:after="60"/>
            </w:pPr>
            <w:r>
              <w:rPr>
                <w:b/>
                <w:bCs/>
                <w:color w:val="2B6CB0"/>
                <w:sz w:val="20"/>
                <w:szCs w:val="20"/>
              </w:rPr>
              <w:t>If a POP is late or missed</w:t>
            </w:r>
          </w:p>
          <w:p w14:paraId="7500D62D" w14:textId="77777777" w:rsidR="003F44C1" w:rsidRDefault="00000000">
            <w:pPr>
              <w:pStyle w:val="ListParagraph"/>
              <w:numPr>
                <w:ilvl w:val="0"/>
                <w:numId w:val="2"/>
              </w:numPr>
              <w:spacing w:after="60" w:line="258" w:lineRule="auto"/>
            </w:pPr>
            <w:r>
              <w:rPr>
                <w:sz w:val="20"/>
                <w:szCs w:val="20"/>
              </w:rPr>
              <w:t>Take one pill as soon as you remember, then carry on as normal.</w:t>
            </w:r>
          </w:p>
          <w:p w14:paraId="3C2569F8" w14:textId="77777777" w:rsidR="003F44C1" w:rsidRDefault="00000000">
            <w:pPr>
              <w:pStyle w:val="ListParagraph"/>
              <w:numPr>
                <w:ilvl w:val="0"/>
                <w:numId w:val="2"/>
              </w:numPr>
              <w:spacing w:after="60" w:line="258" w:lineRule="auto"/>
            </w:pPr>
            <w:r>
              <w:rPr>
                <w:b/>
                <w:bCs/>
                <w:sz w:val="20"/>
                <w:szCs w:val="20"/>
              </w:rPr>
              <w:t>Use condoms for the next 48 hours</w:t>
            </w:r>
            <w:r>
              <w:rPr>
                <w:sz w:val="20"/>
                <w:szCs w:val="20"/>
              </w:rPr>
              <w:t xml:space="preserve"> (2 days).</w:t>
            </w:r>
          </w:p>
          <w:p w14:paraId="025F1F0C" w14:textId="77777777" w:rsidR="003F44C1" w:rsidRDefault="00000000">
            <w:pPr>
              <w:pStyle w:val="ListParagraph"/>
              <w:numPr>
                <w:ilvl w:val="0"/>
                <w:numId w:val="2"/>
              </w:numPr>
              <w:spacing w:after="60" w:line="258" w:lineRule="auto"/>
            </w:pPr>
            <w:r>
              <w:rPr>
                <w:sz w:val="20"/>
                <w:szCs w:val="20"/>
              </w:rPr>
              <w:t>If you had sex during those 48 hours, the emergency pill may be needed.</w:t>
            </w:r>
          </w:p>
        </w:tc>
      </w:tr>
    </w:tbl>
    <w:p w14:paraId="4CC689F6" w14:textId="77777777" w:rsidR="003F44C1" w:rsidRDefault="003F44C1">
      <w:pPr>
        <w:spacing w:after="50"/>
      </w:pPr>
    </w:p>
    <w:p w14:paraId="77A77C81" w14:textId="77777777" w:rsidR="003F44C1" w:rsidRDefault="00000000">
      <w:pPr>
        <w:keepNext/>
        <w:spacing w:before="200" w:after="70"/>
      </w:pPr>
      <w:r>
        <w:rPr>
          <w:b/>
          <w:bCs/>
          <w:color w:val="B85A09"/>
          <w:sz w:val="24"/>
          <w:szCs w:val="24"/>
        </w:rPr>
        <w:t>Who can use it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6E621143" w14:textId="77777777">
        <w:tblPrEx>
          <w:tblCellMar>
            <w:top w:w="0" w:type="dxa"/>
            <w:bottom w:w="0" w:type="dxa"/>
          </w:tblCellMar>
        </w:tblPrEx>
        <w:trPr>
          <w:cantSplit/>
        </w:trPr>
        <w:tc>
          <w:tcPr>
            <w:tcW w:w="9746" w:type="dxa"/>
            <w:tcBorders>
              <w:top w:val="single" w:sz="4" w:space="0" w:color="FBE7E4"/>
              <w:left w:val="single" w:sz="32" w:space="0" w:color="CE3B2E"/>
              <w:bottom w:val="single" w:sz="4" w:space="0" w:color="FBE7E4"/>
              <w:right w:val="single" w:sz="4" w:space="0" w:color="FBE7E4"/>
            </w:tcBorders>
            <w:shd w:val="clear" w:color="auto" w:fill="FBE7E4"/>
            <w:tcMar>
              <w:top w:w="130" w:type="dxa"/>
              <w:left w:w="200" w:type="dxa"/>
              <w:bottom w:w="130" w:type="dxa"/>
              <w:right w:w="180" w:type="dxa"/>
            </w:tcMar>
          </w:tcPr>
          <w:p w14:paraId="6F604E68" w14:textId="77777777" w:rsidR="003F44C1" w:rsidRDefault="00000000">
            <w:pPr>
              <w:spacing w:after="90"/>
            </w:pPr>
            <w:r>
              <w:rPr>
                <w:b/>
                <w:bCs/>
                <w:color w:val="CE3B2E"/>
                <w:sz w:val="23"/>
                <w:szCs w:val="23"/>
              </w:rPr>
              <w:t>RED — must NOT prescribe</w:t>
            </w:r>
            <w:proofErr w:type="gramStart"/>
            <w:r>
              <w:rPr>
                <w:i/>
                <w:iCs/>
                <w:color w:val="43506B"/>
                <w:sz w:val="18"/>
                <w:szCs w:val="18"/>
              </w:rPr>
              <w:t xml:space="preserve">   (</w:t>
            </w:r>
            <w:proofErr w:type="gramEnd"/>
            <w:r>
              <w:rPr>
                <w:i/>
                <w:iCs/>
                <w:color w:val="43506B"/>
                <w:sz w:val="18"/>
                <w:szCs w:val="18"/>
              </w:rPr>
              <w:t>UKMEC 4)</w:t>
            </w:r>
          </w:p>
          <w:p w14:paraId="5CACDB33" w14:textId="77777777" w:rsidR="003F44C1" w:rsidRDefault="00000000">
            <w:pPr>
              <w:pStyle w:val="ListParagraph"/>
              <w:numPr>
                <w:ilvl w:val="0"/>
                <w:numId w:val="2"/>
              </w:numPr>
              <w:spacing w:after="50" w:line="252" w:lineRule="auto"/>
            </w:pPr>
            <w:r>
              <w:rPr>
                <w:b/>
                <w:bCs/>
                <w:sz w:val="20"/>
                <w:szCs w:val="20"/>
              </w:rPr>
              <w:t>Current breast cancer</w:t>
            </w:r>
            <w:r>
              <w:rPr>
                <w:sz w:val="20"/>
                <w:szCs w:val="20"/>
              </w:rPr>
              <w:t xml:space="preserve"> — the single absolute contraindication.</w:t>
            </w:r>
          </w:p>
        </w:tc>
      </w:tr>
    </w:tbl>
    <w:p w14:paraId="433D1A18" w14:textId="77777777" w:rsidR="003F44C1" w:rsidRDefault="003F44C1">
      <w:pPr>
        <w:spacing w:after="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05B2AA57" w14:textId="77777777">
        <w:tblPrEx>
          <w:tblCellMar>
            <w:top w:w="0" w:type="dxa"/>
            <w:bottom w:w="0" w:type="dxa"/>
          </w:tblCellMar>
        </w:tblPrEx>
        <w:trPr>
          <w:cantSplit/>
        </w:trPr>
        <w:tc>
          <w:tcPr>
            <w:tcW w:w="9746" w:type="dxa"/>
            <w:tcBorders>
              <w:top w:val="single" w:sz="4" w:space="0" w:color="FBF0DA"/>
              <w:left w:val="single" w:sz="32" w:space="0" w:color="C9790A"/>
              <w:bottom w:val="single" w:sz="4" w:space="0" w:color="FBF0DA"/>
              <w:right w:val="single" w:sz="4" w:space="0" w:color="FBF0DA"/>
            </w:tcBorders>
            <w:shd w:val="clear" w:color="auto" w:fill="FBF0DA"/>
            <w:tcMar>
              <w:top w:w="130" w:type="dxa"/>
              <w:left w:w="200" w:type="dxa"/>
              <w:bottom w:w="130" w:type="dxa"/>
              <w:right w:w="180" w:type="dxa"/>
            </w:tcMar>
          </w:tcPr>
          <w:p w14:paraId="1A1EF425" w14:textId="77777777" w:rsidR="003F44C1" w:rsidRDefault="00000000">
            <w:pPr>
              <w:spacing w:after="90"/>
            </w:pPr>
            <w:r>
              <w:rPr>
                <w:b/>
                <w:bCs/>
                <w:color w:val="C9790A"/>
                <w:sz w:val="23"/>
                <w:szCs w:val="23"/>
              </w:rPr>
              <w:t>AMBER — generally avoid / specialist input</w:t>
            </w:r>
            <w:proofErr w:type="gramStart"/>
            <w:r>
              <w:rPr>
                <w:i/>
                <w:iCs/>
                <w:color w:val="43506B"/>
                <w:sz w:val="18"/>
                <w:szCs w:val="18"/>
              </w:rPr>
              <w:t xml:space="preserve">   (</w:t>
            </w:r>
            <w:proofErr w:type="gramEnd"/>
            <w:r>
              <w:rPr>
                <w:i/>
                <w:iCs/>
                <w:color w:val="43506B"/>
                <w:sz w:val="18"/>
                <w:szCs w:val="18"/>
              </w:rPr>
              <w:t>UKMEC 3)</w:t>
            </w:r>
          </w:p>
          <w:p w14:paraId="3088F8B9" w14:textId="77777777" w:rsidR="003F44C1" w:rsidRDefault="00000000">
            <w:pPr>
              <w:pStyle w:val="ListParagraph"/>
              <w:numPr>
                <w:ilvl w:val="0"/>
                <w:numId w:val="2"/>
              </w:numPr>
              <w:spacing w:after="50" w:line="252" w:lineRule="auto"/>
            </w:pPr>
            <w:r>
              <w:rPr>
                <w:sz w:val="20"/>
                <w:szCs w:val="20"/>
              </w:rPr>
              <w:t>Past breast cancer (treatment completed).</w:t>
            </w:r>
          </w:p>
          <w:p w14:paraId="11BA9D6A" w14:textId="77777777" w:rsidR="003F44C1" w:rsidRDefault="00000000">
            <w:pPr>
              <w:pStyle w:val="ListParagraph"/>
              <w:numPr>
                <w:ilvl w:val="0"/>
                <w:numId w:val="2"/>
              </w:numPr>
              <w:spacing w:after="50" w:line="252" w:lineRule="auto"/>
            </w:pPr>
            <w:r>
              <w:rPr>
                <w:sz w:val="20"/>
                <w:szCs w:val="20"/>
              </w:rPr>
              <w:t>Severe (decompensated) cirrhosis or a liver tumour.</w:t>
            </w:r>
          </w:p>
          <w:p w14:paraId="3F359492" w14:textId="77777777" w:rsidR="003F44C1" w:rsidRDefault="00000000">
            <w:pPr>
              <w:pStyle w:val="ListParagraph"/>
              <w:numPr>
                <w:ilvl w:val="0"/>
                <w:numId w:val="2"/>
              </w:numPr>
              <w:spacing w:after="50" w:line="252" w:lineRule="auto"/>
            </w:pPr>
            <w:r>
              <w:rPr>
                <w:sz w:val="20"/>
                <w:szCs w:val="20"/>
              </w:rPr>
              <w:t>Antiphospholipid antibodies (e.g. in SLE).</w:t>
            </w:r>
          </w:p>
          <w:p w14:paraId="05916D33" w14:textId="77777777" w:rsidR="003F44C1" w:rsidRDefault="00000000">
            <w:pPr>
              <w:pStyle w:val="ListParagraph"/>
              <w:numPr>
                <w:ilvl w:val="0"/>
                <w:numId w:val="2"/>
              </w:numPr>
              <w:spacing w:after="50" w:line="252" w:lineRule="auto"/>
            </w:pPr>
            <w:r>
              <w:rPr>
                <w:sz w:val="20"/>
                <w:szCs w:val="20"/>
              </w:rPr>
              <w:t>Stroke or ischaemic heart disease that develops while already taking the POP (continuation).</w:t>
            </w:r>
          </w:p>
          <w:p w14:paraId="3716EDEF" w14:textId="77777777" w:rsidR="003F44C1" w:rsidRDefault="00000000">
            <w:pPr>
              <w:pStyle w:val="ListParagraph"/>
              <w:numPr>
                <w:ilvl w:val="0"/>
                <w:numId w:val="2"/>
              </w:numPr>
              <w:spacing w:after="50" w:line="252" w:lineRule="auto"/>
            </w:pPr>
            <w:r>
              <w:rPr>
                <w:sz w:val="20"/>
                <w:szCs w:val="20"/>
              </w:rPr>
              <w:t>Taking an enzyme-inducing drug (use an unaffected method instead — see Section 5).</w:t>
            </w:r>
          </w:p>
        </w:tc>
      </w:tr>
    </w:tbl>
    <w:p w14:paraId="323D8E25" w14:textId="77777777" w:rsidR="003F44C1" w:rsidRDefault="003F44C1">
      <w:pPr>
        <w:spacing w:after="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73BE434A" w14:textId="77777777">
        <w:tblPrEx>
          <w:tblCellMar>
            <w:top w:w="0" w:type="dxa"/>
            <w:bottom w:w="0" w:type="dxa"/>
          </w:tblCellMar>
        </w:tblPrEx>
        <w:trPr>
          <w:cantSplit/>
        </w:trPr>
        <w:tc>
          <w:tcPr>
            <w:tcW w:w="9746" w:type="dxa"/>
            <w:tcBorders>
              <w:top w:val="single" w:sz="4" w:space="0" w:color="E7F6EE"/>
              <w:left w:val="single" w:sz="32" w:space="0" w:color="1E9E62"/>
              <w:bottom w:val="single" w:sz="4" w:space="0" w:color="E7F6EE"/>
              <w:right w:val="single" w:sz="4" w:space="0" w:color="E7F6EE"/>
            </w:tcBorders>
            <w:shd w:val="clear" w:color="auto" w:fill="E7F6EE"/>
            <w:tcMar>
              <w:top w:w="130" w:type="dxa"/>
              <w:left w:w="200" w:type="dxa"/>
              <w:bottom w:w="130" w:type="dxa"/>
              <w:right w:w="180" w:type="dxa"/>
            </w:tcMar>
          </w:tcPr>
          <w:p w14:paraId="7E82E04E" w14:textId="77777777" w:rsidR="003F44C1" w:rsidRDefault="00000000">
            <w:pPr>
              <w:spacing w:after="90"/>
            </w:pPr>
            <w:r>
              <w:rPr>
                <w:b/>
                <w:bCs/>
                <w:color w:val="1E9E62"/>
                <w:sz w:val="23"/>
                <w:szCs w:val="23"/>
              </w:rPr>
              <w:t>GREEN — usually fine</w:t>
            </w:r>
            <w:proofErr w:type="gramStart"/>
            <w:r>
              <w:rPr>
                <w:i/>
                <w:iCs/>
                <w:color w:val="43506B"/>
                <w:sz w:val="18"/>
                <w:szCs w:val="18"/>
              </w:rPr>
              <w:t xml:space="preserve">   (</w:t>
            </w:r>
            <w:proofErr w:type="gramEnd"/>
            <w:r>
              <w:rPr>
                <w:i/>
                <w:iCs/>
                <w:color w:val="43506B"/>
                <w:sz w:val="18"/>
                <w:szCs w:val="18"/>
              </w:rPr>
              <w:t>UKMEC 1–2)</w:t>
            </w:r>
          </w:p>
          <w:p w14:paraId="7DE3F962" w14:textId="77777777" w:rsidR="003F44C1" w:rsidRDefault="00000000">
            <w:pPr>
              <w:pStyle w:val="ListParagraph"/>
              <w:numPr>
                <w:ilvl w:val="0"/>
                <w:numId w:val="2"/>
              </w:numPr>
              <w:spacing w:after="50" w:line="252" w:lineRule="auto"/>
            </w:pPr>
            <w:r>
              <w:rPr>
                <w:sz w:val="20"/>
                <w:szCs w:val="20"/>
              </w:rPr>
              <w:t>Smoking at any age; high blood pressure; obesity; familial high cholesterol.</w:t>
            </w:r>
          </w:p>
          <w:p w14:paraId="2DE317EB" w14:textId="77777777" w:rsidR="003F44C1" w:rsidRDefault="00000000">
            <w:pPr>
              <w:pStyle w:val="ListParagraph"/>
              <w:numPr>
                <w:ilvl w:val="0"/>
                <w:numId w:val="2"/>
              </w:numPr>
              <w:spacing w:after="50" w:line="252" w:lineRule="auto"/>
            </w:pPr>
            <w:r>
              <w:rPr>
                <w:sz w:val="20"/>
                <w:szCs w:val="20"/>
              </w:rPr>
              <w:t>Past venous clot; migraine with or without aura; uncomplicated or complicated diabetes; epilepsy.</w:t>
            </w:r>
          </w:p>
          <w:p w14:paraId="7C195AD3" w14:textId="77777777" w:rsidR="003F44C1" w:rsidRDefault="00000000">
            <w:pPr>
              <w:pStyle w:val="ListParagraph"/>
              <w:numPr>
                <w:ilvl w:val="0"/>
                <w:numId w:val="2"/>
              </w:numPr>
              <w:spacing w:after="50" w:line="252" w:lineRule="auto"/>
            </w:pPr>
            <w:r>
              <w:rPr>
                <w:sz w:val="20"/>
                <w:szCs w:val="20"/>
              </w:rPr>
              <w:t>Carrier of a BRCA gene (UKMEC 2).</w:t>
            </w:r>
          </w:p>
        </w:tc>
      </w:tr>
    </w:tbl>
    <w:p w14:paraId="65286AC9" w14:textId="77777777" w:rsidR="003F44C1" w:rsidRDefault="003F44C1">
      <w:pPr>
        <w:spacing w:after="50"/>
      </w:pPr>
    </w:p>
    <w:p w14:paraId="5A95996E" w14:textId="77777777" w:rsidR="003F44C1" w:rsidRDefault="00000000">
      <w:pPr>
        <w:keepNext/>
        <w:spacing w:before="200" w:after="70"/>
      </w:pPr>
      <w:r>
        <w:rPr>
          <w:b/>
          <w:bCs/>
          <w:color w:val="B85A09"/>
          <w:sz w:val="24"/>
          <w:szCs w:val="24"/>
        </w:rPr>
        <w:t>Examples</w:t>
      </w:r>
    </w:p>
    <w:p w14:paraId="382BE6D4" w14:textId="77777777" w:rsidR="003F44C1" w:rsidRDefault="00000000">
      <w:pPr>
        <w:spacing w:after="60" w:line="264" w:lineRule="auto"/>
      </w:pPr>
      <w:proofErr w:type="spellStart"/>
      <w:r>
        <w:rPr>
          <w:b/>
          <w:bCs/>
        </w:rPr>
        <w:t>Desogestrel</w:t>
      </w:r>
      <w:proofErr w:type="spellEnd"/>
      <w:r>
        <w:rPr>
          <w:b/>
          <w:bCs/>
        </w:rPr>
        <w:t xml:space="preserve"> pills (Cerazette, </w:t>
      </w:r>
      <w:proofErr w:type="spellStart"/>
      <w:r>
        <w:rPr>
          <w:b/>
          <w:bCs/>
        </w:rPr>
        <w:t>Cerelle</w:t>
      </w:r>
      <w:proofErr w:type="spellEnd"/>
      <w:r>
        <w:rPr>
          <w:b/>
          <w:bCs/>
        </w:rPr>
        <w:t xml:space="preserve">, </w:t>
      </w:r>
      <w:proofErr w:type="spellStart"/>
      <w:r>
        <w:rPr>
          <w:b/>
          <w:bCs/>
        </w:rPr>
        <w:t>Feanolla</w:t>
      </w:r>
      <w:proofErr w:type="spellEnd"/>
      <w:r>
        <w:rPr>
          <w:b/>
          <w:bCs/>
        </w:rPr>
        <w:t>) are first-line</w:t>
      </w:r>
      <w:r>
        <w:t xml:space="preserve"> — they stop ovulation in most cycles and give the forgiving 12-hour window. </w:t>
      </w:r>
      <w:proofErr w:type="spellStart"/>
      <w:r>
        <w:rPr>
          <w:b/>
          <w:bCs/>
        </w:rPr>
        <w:t>Drospirenone</w:t>
      </w:r>
      <w:proofErr w:type="spellEnd"/>
      <w:r>
        <w:rPr>
          <w:b/>
          <w:bCs/>
        </w:rPr>
        <w:t xml:space="preserve"> (</w:t>
      </w:r>
      <w:proofErr w:type="spellStart"/>
      <w:r>
        <w:rPr>
          <w:b/>
          <w:bCs/>
        </w:rPr>
        <w:t>Slynd</w:t>
      </w:r>
      <w:proofErr w:type="spellEnd"/>
      <w:r>
        <w:rPr>
          <w:b/>
          <w:bCs/>
        </w:rPr>
        <w:t>)</w:t>
      </w:r>
      <w:r>
        <w:t xml:space="preserve"> offers a 24-hour window and a more predictable bleed. The older 3-hour pills (</w:t>
      </w:r>
      <w:proofErr w:type="spellStart"/>
      <w:r>
        <w:t>Noriday</w:t>
      </w:r>
      <w:proofErr w:type="spellEnd"/>
      <w:r>
        <w:t xml:space="preserve">, </w:t>
      </w:r>
      <w:proofErr w:type="spellStart"/>
      <w:r>
        <w:t>Norgeston</w:t>
      </w:r>
      <w:proofErr w:type="spellEnd"/>
      <w:r>
        <w:t>) are now rarely used. Prescribe by brand and confirm in the BNF.</w:t>
      </w:r>
    </w:p>
    <w:p w14:paraId="07433301" w14:textId="77777777" w:rsidR="003F44C1" w:rsidRDefault="00000000">
      <w:pPr>
        <w:keepNext/>
        <w:pBdr>
          <w:bottom w:val="single" w:sz="18" w:space="6" w:color="E2710D"/>
        </w:pBdr>
        <w:spacing w:before="210" w:after="80"/>
      </w:pPr>
      <w:r>
        <w:rPr>
          <w:b/>
          <w:bCs/>
          <w:sz w:val="30"/>
          <w:szCs w:val="30"/>
        </w:rPr>
        <w:t>5.  Drugs that interact</w:t>
      </w:r>
    </w:p>
    <w:p w14:paraId="380854A0" w14:textId="77777777" w:rsidR="003F44C1" w:rsidRDefault="00000000">
      <w:pPr>
        <w:spacing w:after="120" w:line="264" w:lineRule="auto"/>
      </w:pPr>
      <w:r>
        <w:t xml:space="preserve">Only one interaction really matters for the pill: </w:t>
      </w:r>
      <w:r>
        <w:rPr>
          <w:b/>
          <w:bCs/>
        </w:rPr>
        <w:t>enzyme inducers</w:t>
      </w:r>
      <w:r>
        <w:t>. They speed up the breakdown of contraceptive hormones, so the pill can fail.</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38CFD411" w14:textId="77777777">
        <w:tblPrEx>
          <w:tblCellMar>
            <w:top w:w="0" w:type="dxa"/>
            <w:bottom w:w="0" w:type="dxa"/>
          </w:tblCellMar>
        </w:tblPrEx>
        <w:trPr>
          <w:cantSplit/>
        </w:trPr>
        <w:tc>
          <w:tcPr>
            <w:tcW w:w="9746" w:type="dxa"/>
            <w:tcBorders>
              <w:top w:val="single" w:sz="4" w:space="0" w:color="FBF0DA"/>
              <w:left w:val="single" w:sz="32" w:space="0" w:color="C9790A"/>
              <w:bottom w:val="single" w:sz="4" w:space="0" w:color="FBF0DA"/>
              <w:right w:val="single" w:sz="4" w:space="0" w:color="FBF0DA"/>
            </w:tcBorders>
            <w:shd w:val="clear" w:color="auto" w:fill="FBF0DA"/>
            <w:tcMar>
              <w:top w:w="130" w:type="dxa"/>
              <w:left w:w="200" w:type="dxa"/>
              <w:bottom w:w="130" w:type="dxa"/>
              <w:right w:w="180" w:type="dxa"/>
            </w:tcMar>
          </w:tcPr>
          <w:p w14:paraId="32A35EDC" w14:textId="77777777" w:rsidR="003F44C1" w:rsidRDefault="00000000">
            <w:pPr>
              <w:spacing w:after="60"/>
            </w:pPr>
            <w:r>
              <w:rPr>
                <w:b/>
                <w:bCs/>
                <w:color w:val="C9790A"/>
                <w:sz w:val="20"/>
                <w:szCs w:val="20"/>
              </w:rPr>
              <w:t>Enzyme inducers reduce the effect of the COC, POP, implant and oral emergency pill</w:t>
            </w:r>
          </w:p>
          <w:p w14:paraId="407AE481" w14:textId="77777777" w:rsidR="003F44C1" w:rsidRDefault="00000000">
            <w:pPr>
              <w:pStyle w:val="ListParagraph"/>
              <w:numPr>
                <w:ilvl w:val="0"/>
                <w:numId w:val="2"/>
              </w:numPr>
              <w:spacing w:after="60" w:line="258" w:lineRule="auto"/>
            </w:pPr>
            <w:r>
              <w:rPr>
                <w:b/>
                <w:bCs/>
                <w:sz w:val="20"/>
                <w:szCs w:val="20"/>
              </w:rPr>
              <w:t>Rifampicin and rifabutin</w:t>
            </w:r>
            <w:r>
              <w:rPr>
                <w:sz w:val="20"/>
                <w:szCs w:val="20"/>
              </w:rPr>
              <w:t xml:space="preserve"> (antibiotics for TB and meningococcal prophylaxis).</w:t>
            </w:r>
          </w:p>
          <w:p w14:paraId="459D06C0" w14:textId="77777777" w:rsidR="003F44C1" w:rsidRDefault="00000000">
            <w:pPr>
              <w:pStyle w:val="ListParagraph"/>
              <w:numPr>
                <w:ilvl w:val="0"/>
                <w:numId w:val="2"/>
              </w:numPr>
              <w:spacing w:after="60" w:line="258" w:lineRule="auto"/>
            </w:pPr>
            <w:r>
              <w:rPr>
                <w:b/>
                <w:bCs/>
                <w:sz w:val="20"/>
                <w:szCs w:val="20"/>
              </w:rPr>
              <w:t xml:space="preserve">Some antiepileptics: </w:t>
            </w:r>
            <w:r>
              <w:rPr>
                <w:sz w:val="20"/>
                <w:szCs w:val="20"/>
              </w:rPr>
              <w:t xml:space="preserve">carbamazepine, phenytoin, phenobarbital, primidone, topiramate, oxcarbazepine, </w:t>
            </w:r>
            <w:proofErr w:type="spellStart"/>
            <w:r>
              <w:rPr>
                <w:sz w:val="20"/>
                <w:szCs w:val="20"/>
              </w:rPr>
              <w:t>eslicarbazepine</w:t>
            </w:r>
            <w:proofErr w:type="spellEnd"/>
            <w:r>
              <w:rPr>
                <w:sz w:val="20"/>
                <w:szCs w:val="20"/>
              </w:rPr>
              <w:t>.</w:t>
            </w:r>
          </w:p>
          <w:p w14:paraId="3418BE14" w14:textId="77777777" w:rsidR="003F44C1" w:rsidRDefault="00000000">
            <w:pPr>
              <w:pStyle w:val="ListParagraph"/>
              <w:numPr>
                <w:ilvl w:val="0"/>
                <w:numId w:val="2"/>
              </w:numPr>
              <w:spacing w:after="60" w:line="258" w:lineRule="auto"/>
            </w:pPr>
            <w:r>
              <w:rPr>
                <w:b/>
                <w:bCs/>
                <w:sz w:val="20"/>
                <w:szCs w:val="20"/>
              </w:rPr>
              <w:t>Some antiretrovirals</w:t>
            </w:r>
            <w:r>
              <w:rPr>
                <w:sz w:val="20"/>
                <w:szCs w:val="20"/>
              </w:rPr>
              <w:t xml:space="preserve"> (e.g. efavirenz, nevirapine) and </w:t>
            </w:r>
            <w:r>
              <w:rPr>
                <w:b/>
                <w:bCs/>
                <w:sz w:val="20"/>
                <w:szCs w:val="20"/>
              </w:rPr>
              <w:t>St John’s Wort</w:t>
            </w:r>
            <w:r>
              <w:rPr>
                <w:sz w:val="20"/>
                <w:szCs w:val="20"/>
              </w:rPr>
              <w:t>.</w:t>
            </w:r>
          </w:p>
          <w:p w14:paraId="3440E64C" w14:textId="77777777" w:rsidR="003F44C1" w:rsidRDefault="00000000">
            <w:pPr>
              <w:spacing w:before="60" w:line="264" w:lineRule="auto"/>
            </w:pPr>
            <w:r>
              <w:rPr>
                <w:b/>
                <w:bCs/>
                <w:sz w:val="20"/>
                <w:szCs w:val="20"/>
              </w:rPr>
              <w:t xml:space="preserve">Action: </w:t>
            </w:r>
            <w:r>
              <w:rPr>
                <w:sz w:val="20"/>
                <w:szCs w:val="20"/>
              </w:rPr>
              <w:t xml:space="preserve">for anyone on a long-term enzyme inducer, advise a method that is </w:t>
            </w:r>
            <w:r>
              <w:rPr>
                <w:b/>
                <w:bCs/>
                <w:sz w:val="20"/>
                <w:szCs w:val="20"/>
              </w:rPr>
              <w:t>not affected</w:t>
            </w:r>
            <w:r>
              <w:rPr>
                <w:sz w:val="20"/>
                <w:szCs w:val="20"/>
              </w:rPr>
              <w:t xml:space="preserve"> — the injection (DMPA), the copper coil, or the hormonal coil (LNG-IUS) — or seek specialist advice.</w:t>
            </w:r>
          </w:p>
        </w:tc>
      </w:tr>
    </w:tbl>
    <w:p w14:paraId="18075D94" w14:textId="77777777" w:rsidR="003F44C1" w:rsidRDefault="003F44C1">
      <w:pPr>
        <w:spacing w:after="5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06F56C19" w14:textId="77777777">
        <w:tblPrEx>
          <w:tblCellMar>
            <w:top w:w="0" w:type="dxa"/>
            <w:bottom w:w="0" w:type="dxa"/>
          </w:tblCellMar>
        </w:tblPrEx>
        <w:trPr>
          <w:cantSplit/>
        </w:trPr>
        <w:tc>
          <w:tcPr>
            <w:tcW w:w="9746" w:type="dxa"/>
            <w:tcBorders>
              <w:top w:val="single" w:sz="4" w:space="0" w:color="E7F6EE"/>
              <w:left w:val="single" w:sz="32" w:space="0" w:color="1E9E62"/>
              <w:bottom w:val="single" w:sz="4" w:space="0" w:color="E7F6EE"/>
              <w:right w:val="single" w:sz="4" w:space="0" w:color="E7F6EE"/>
            </w:tcBorders>
            <w:shd w:val="clear" w:color="auto" w:fill="E7F6EE"/>
            <w:tcMar>
              <w:top w:w="130" w:type="dxa"/>
              <w:left w:w="200" w:type="dxa"/>
              <w:bottom w:w="130" w:type="dxa"/>
              <w:right w:w="180" w:type="dxa"/>
            </w:tcMar>
          </w:tcPr>
          <w:p w14:paraId="6D9DC297" w14:textId="77777777" w:rsidR="003F44C1" w:rsidRDefault="00000000">
            <w:pPr>
              <w:spacing w:after="60"/>
            </w:pPr>
            <w:r>
              <w:rPr>
                <w:b/>
                <w:bCs/>
                <w:color w:val="1E9E62"/>
                <w:sz w:val="20"/>
                <w:szCs w:val="20"/>
              </w:rPr>
              <w:t>Myth-buster: ordinary antibiotics do NOT stop the pill working</w:t>
            </w:r>
          </w:p>
          <w:p w14:paraId="583F142A" w14:textId="77777777" w:rsidR="003F44C1" w:rsidRDefault="00000000">
            <w:pPr>
              <w:spacing w:line="264" w:lineRule="auto"/>
            </w:pPr>
            <w:r>
              <w:rPr>
                <w:sz w:val="20"/>
                <w:szCs w:val="20"/>
              </w:rPr>
              <w:t xml:space="preserve">FSRH guidance is clear: common </w:t>
            </w:r>
            <w:r>
              <w:rPr>
                <w:b/>
                <w:bCs/>
                <w:sz w:val="20"/>
                <w:szCs w:val="20"/>
              </w:rPr>
              <w:t>non-enzyme-inducing antibiotics</w:t>
            </w:r>
            <w:r>
              <w:rPr>
                <w:sz w:val="20"/>
                <w:szCs w:val="20"/>
              </w:rPr>
              <w:t xml:space="preserve"> (such as amoxicillin or trimethoprim) do </w:t>
            </w:r>
            <w:r>
              <w:rPr>
                <w:b/>
                <w:bCs/>
                <w:sz w:val="20"/>
                <w:szCs w:val="20"/>
              </w:rPr>
              <w:t>not</w:t>
            </w:r>
            <w:r>
              <w:rPr>
                <w:sz w:val="20"/>
                <w:szCs w:val="20"/>
              </w:rPr>
              <w:t xml:space="preserve"> reduce the effectiveness of hormonal contraception. </w:t>
            </w:r>
            <w:r>
              <w:rPr>
                <w:b/>
                <w:bCs/>
                <w:sz w:val="20"/>
                <w:szCs w:val="20"/>
              </w:rPr>
              <w:t>No extra precautions are needed.</w:t>
            </w:r>
            <w:r>
              <w:rPr>
                <w:sz w:val="20"/>
                <w:szCs w:val="20"/>
              </w:rPr>
              <w:t xml:space="preserve"> The only catch is illness itself: </w:t>
            </w:r>
            <w:r>
              <w:rPr>
                <w:b/>
                <w:bCs/>
                <w:sz w:val="20"/>
                <w:szCs w:val="20"/>
              </w:rPr>
              <w:t>severe vomiting or diarrhoea</w:t>
            </w:r>
            <w:r>
              <w:rPr>
                <w:sz w:val="20"/>
                <w:szCs w:val="20"/>
              </w:rPr>
              <w:t xml:space="preserve"> can stop the pill being absorbed — manage that as missed pills.</w:t>
            </w:r>
          </w:p>
        </w:tc>
      </w:tr>
    </w:tbl>
    <w:p w14:paraId="1040B096" w14:textId="77777777" w:rsidR="003F44C1" w:rsidRDefault="003F44C1">
      <w:pPr>
        <w:spacing w:after="5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1CB9D1DF" w14:textId="77777777">
        <w:tblPrEx>
          <w:tblCellMar>
            <w:top w:w="0" w:type="dxa"/>
            <w:bottom w:w="0" w:type="dxa"/>
          </w:tblCellMar>
        </w:tblPrEx>
        <w:trPr>
          <w:cantSplit/>
        </w:trPr>
        <w:tc>
          <w:tcPr>
            <w:tcW w:w="9746" w:type="dxa"/>
            <w:tcBorders>
              <w:top w:val="single" w:sz="4" w:space="0" w:color="E6F0F9"/>
              <w:left w:val="single" w:sz="32" w:space="0" w:color="2B6CB0"/>
              <w:bottom w:val="single" w:sz="4" w:space="0" w:color="E6F0F9"/>
              <w:right w:val="single" w:sz="4" w:space="0" w:color="E6F0F9"/>
            </w:tcBorders>
            <w:shd w:val="clear" w:color="auto" w:fill="E6F0F9"/>
            <w:tcMar>
              <w:top w:w="130" w:type="dxa"/>
              <w:left w:w="200" w:type="dxa"/>
              <w:bottom w:w="130" w:type="dxa"/>
              <w:right w:w="180" w:type="dxa"/>
            </w:tcMar>
          </w:tcPr>
          <w:p w14:paraId="1CC31222" w14:textId="77777777" w:rsidR="003F44C1" w:rsidRDefault="00000000">
            <w:pPr>
              <w:spacing w:after="60"/>
            </w:pPr>
            <w:r>
              <w:rPr>
                <w:b/>
                <w:bCs/>
                <w:color w:val="2B6CB0"/>
                <w:sz w:val="20"/>
                <w:szCs w:val="20"/>
              </w:rPr>
              <w:t>Watch: the combined pill and lamotrigine</w:t>
            </w:r>
          </w:p>
          <w:p w14:paraId="029B5934" w14:textId="77777777" w:rsidR="003F44C1" w:rsidRDefault="00000000">
            <w:pPr>
              <w:spacing w:line="264" w:lineRule="auto"/>
            </w:pPr>
            <w:r>
              <w:rPr>
                <w:sz w:val="20"/>
                <w:szCs w:val="20"/>
              </w:rPr>
              <w:t xml:space="preserve">The combined pill </w:t>
            </w:r>
            <w:r>
              <w:rPr>
                <w:b/>
                <w:bCs/>
                <w:sz w:val="20"/>
                <w:szCs w:val="20"/>
              </w:rPr>
              <w:t>lowers lamotrigine levels</w:t>
            </w:r>
            <w:r>
              <w:rPr>
                <w:sz w:val="20"/>
                <w:szCs w:val="20"/>
              </w:rPr>
              <w:t xml:space="preserve"> (risk of seizures</w:t>
            </w:r>
            <w:proofErr w:type="gramStart"/>
            <w:r>
              <w:rPr>
                <w:sz w:val="20"/>
                <w:szCs w:val="20"/>
              </w:rPr>
              <w:t>), and</w:t>
            </w:r>
            <w:proofErr w:type="gramEnd"/>
            <w:r>
              <w:rPr>
                <w:sz w:val="20"/>
                <w:szCs w:val="20"/>
              </w:rPr>
              <w:t xml:space="preserve"> stopping the pill can raise them (risk of toxicity). Coordinate any change with the prescriber managing the epilepsy.</w:t>
            </w:r>
          </w:p>
        </w:tc>
      </w:tr>
    </w:tbl>
    <w:p w14:paraId="1FB51169" w14:textId="77777777" w:rsidR="003F44C1" w:rsidRDefault="003F44C1">
      <w:pPr>
        <w:spacing w:after="40"/>
      </w:pPr>
    </w:p>
    <w:p w14:paraId="0069B8DF" w14:textId="77777777" w:rsidR="003F44C1" w:rsidRDefault="00000000">
      <w:pPr>
        <w:keepNext/>
        <w:pBdr>
          <w:bottom w:val="single" w:sz="18" w:space="6" w:color="E2710D"/>
        </w:pBdr>
        <w:spacing w:before="210" w:after="80"/>
      </w:pPr>
      <w:r>
        <w:rPr>
          <w:b/>
          <w:bCs/>
          <w:sz w:val="30"/>
          <w:szCs w:val="30"/>
        </w:rPr>
        <w:t>6.  Troubleshooting</w:t>
      </w:r>
    </w:p>
    <w:p w14:paraId="72E600AD" w14:textId="77777777" w:rsidR="003F44C1" w:rsidRDefault="00000000">
      <w:pPr>
        <w:keepNext/>
        <w:spacing w:before="200" w:after="70"/>
      </w:pPr>
      <w:r>
        <w:rPr>
          <w:b/>
          <w:bCs/>
          <w:color w:val="B85A09"/>
          <w:sz w:val="24"/>
          <w:szCs w:val="24"/>
        </w:rPr>
        <w:t>Side effects: what to tell patients</w:t>
      </w:r>
    </w:p>
    <w:p w14:paraId="7CB4D97E" w14:textId="77777777" w:rsidR="003F44C1" w:rsidRDefault="00000000">
      <w:pPr>
        <w:pStyle w:val="ListParagraph"/>
        <w:numPr>
          <w:ilvl w:val="0"/>
          <w:numId w:val="2"/>
        </w:numPr>
        <w:spacing w:after="60" w:line="258" w:lineRule="auto"/>
      </w:pPr>
      <w:r>
        <w:rPr>
          <w:b/>
          <w:bCs/>
        </w:rPr>
        <w:t xml:space="preserve">Most nuisance effects settle within 3 months. </w:t>
      </w:r>
      <w:r>
        <w:t>Breast tenderness, mild nausea, headaches and spotting usually fade as the body adjusts. Reassure and continue.</w:t>
      </w:r>
    </w:p>
    <w:p w14:paraId="4108AD89" w14:textId="77777777" w:rsidR="003F44C1" w:rsidRDefault="00000000">
      <w:pPr>
        <w:pStyle w:val="ListParagraph"/>
        <w:numPr>
          <w:ilvl w:val="0"/>
          <w:numId w:val="2"/>
        </w:numPr>
        <w:spacing w:after="60" w:line="258" w:lineRule="auto"/>
      </w:pPr>
      <w:r>
        <w:rPr>
          <w:b/>
          <w:bCs/>
        </w:rPr>
        <w:t xml:space="preserve">No single combined pill has fewer side effects than another. </w:t>
      </w:r>
      <w:r>
        <w:t>FSRH is explicit on this. The old idea of fine-tuning “too much oestrogen versus too much progestogen” by swapping brands is not supported by good evidence.</w:t>
      </w:r>
    </w:p>
    <w:p w14:paraId="04F636DE" w14:textId="77777777" w:rsidR="003F44C1" w:rsidRDefault="00000000">
      <w:pPr>
        <w:pStyle w:val="ListParagraph"/>
        <w:numPr>
          <w:ilvl w:val="0"/>
          <w:numId w:val="2"/>
        </w:numPr>
        <w:spacing w:after="60" w:line="258" w:lineRule="auto"/>
      </w:pPr>
      <w:r>
        <w:t xml:space="preserve">If one specific effect is troublesome </w:t>
      </w:r>
      <w:r>
        <w:rPr>
          <w:b/>
          <w:bCs/>
        </w:rPr>
        <w:t>beyond 3 months</w:t>
      </w:r>
      <w:r>
        <w:t>, first exclude other causes, then it is reasonable to try a different preparation — pragmatically, not by formula.</w:t>
      </w:r>
    </w:p>
    <w:p w14:paraId="74A38ACF" w14:textId="77777777" w:rsidR="003F44C1" w:rsidRDefault="003F44C1">
      <w:pPr>
        <w:spacing w:after="40"/>
      </w:pPr>
    </w:p>
    <w:p w14:paraId="41110ED3" w14:textId="77777777" w:rsidR="003F44C1" w:rsidRDefault="00000000">
      <w:pPr>
        <w:keepNext/>
        <w:spacing w:before="200" w:after="70"/>
      </w:pPr>
      <w:r>
        <w:rPr>
          <w:b/>
          <w:bCs/>
          <w:color w:val="B85A09"/>
          <w:sz w:val="24"/>
          <w:szCs w:val="24"/>
        </w:rPr>
        <w:t>Unscheduled (breakthrough) bleeding</w:t>
      </w:r>
    </w:p>
    <w:p w14:paraId="46729695" w14:textId="77777777" w:rsidR="003F44C1" w:rsidRDefault="00000000">
      <w:pPr>
        <w:spacing w:after="90" w:line="264" w:lineRule="auto"/>
      </w:pPr>
      <w:r>
        <w:t xml:space="preserve">Use a simple </w:t>
      </w:r>
      <w:r>
        <w:rPr>
          <w:b/>
          <w:bCs/>
        </w:rPr>
        <w:t>recognise → act → refer</w:t>
      </w:r>
      <w:r>
        <w:t xml:space="preserve"> approach.</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73C849F5" w14:textId="77777777">
        <w:tblPrEx>
          <w:tblCellMar>
            <w:top w:w="0" w:type="dxa"/>
            <w:bottom w:w="0" w:type="dxa"/>
          </w:tblCellMar>
        </w:tblPrEx>
        <w:trPr>
          <w:cantSplit/>
        </w:trPr>
        <w:tc>
          <w:tcPr>
            <w:tcW w:w="9746" w:type="dxa"/>
            <w:tcBorders>
              <w:top w:val="single" w:sz="4" w:space="0" w:color="E6F0F9"/>
              <w:left w:val="single" w:sz="32" w:space="0" w:color="2B6CB0"/>
              <w:bottom w:val="single" w:sz="4" w:space="0" w:color="E6F0F9"/>
              <w:right w:val="single" w:sz="4" w:space="0" w:color="E6F0F9"/>
            </w:tcBorders>
            <w:shd w:val="clear" w:color="auto" w:fill="E6F0F9"/>
            <w:tcMar>
              <w:top w:w="130" w:type="dxa"/>
              <w:left w:w="200" w:type="dxa"/>
              <w:bottom w:w="130" w:type="dxa"/>
              <w:right w:w="180" w:type="dxa"/>
            </w:tcMar>
          </w:tcPr>
          <w:p w14:paraId="3507BB7B" w14:textId="77777777" w:rsidR="003F44C1" w:rsidRDefault="00000000">
            <w:pPr>
              <w:spacing w:after="60"/>
            </w:pPr>
            <w:r>
              <w:rPr>
                <w:b/>
                <w:bCs/>
                <w:color w:val="2B6CB0"/>
              </w:rPr>
              <w:lastRenderedPageBreak/>
              <w:t>RECOGNISE</w:t>
            </w:r>
          </w:p>
          <w:p w14:paraId="04B02000" w14:textId="77777777" w:rsidR="003F44C1" w:rsidRDefault="00000000">
            <w:pPr>
              <w:spacing w:line="264" w:lineRule="auto"/>
            </w:pPr>
            <w:r>
              <w:rPr>
                <w:sz w:val="20"/>
                <w:szCs w:val="20"/>
              </w:rPr>
              <w:t xml:space="preserve">Irregular bleeding is </w:t>
            </w:r>
            <w:r>
              <w:rPr>
                <w:b/>
                <w:bCs/>
                <w:sz w:val="20"/>
                <w:szCs w:val="20"/>
              </w:rPr>
              <w:t>common and expected in the first 3 months</w:t>
            </w:r>
            <w:r>
              <w:rPr>
                <w:sz w:val="20"/>
                <w:szCs w:val="20"/>
              </w:rPr>
              <w:t xml:space="preserve"> of any new hormonal method — reassure, no action needed. Look for a cause if it </w:t>
            </w:r>
            <w:r>
              <w:rPr>
                <w:b/>
                <w:bCs/>
                <w:sz w:val="20"/>
                <w:szCs w:val="20"/>
              </w:rPr>
              <w:t xml:space="preserve">persists beyond 3 </w:t>
            </w:r>
            <w:proofErr w:type="gramStart"/>
            <w:r>
              <w:rPr>
                <w:b/>
                <w:bCs/>
                <w:sz w:val="20"/>
                <w:szCs w:val="20"/>
              </w:rPr>
              <w:t>months</w:t>
            </w:r>
            <w:r>
              <w:rPr>
                <w:sz w:val="20"/>
                <w:szCs w:val="20"/>
              </w:rPr>
              <w:t>, or</w:t>
            </w:r>
            <w:proofErr w:type="gramEnd"/>
            <w:r>
              <w:rPr>
                <w:sz w:val="20"/>
                <w:szCs w:val="20"/>
              </w:rPr>
              <w:t xml:space="preserve"> is new after a settled pattern.</w:t>
            </w:r>
          </w:p>
        </w:tc>
      </w:tr>
    </w:tbl>
    <w:p w14:paraId="65CA316A" w14:textId="77777777" w:rsidR="003F44C1" w:rsidRDefault="003F44C1">
      <w:pPr>
        <w:spacing w:after="5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6C079B83" w14:textId="77777777">
        <w:tblPrEx>
          <w:tblCellMar>
            <w:top w:w="0" w:type="dxa"/>
            <w:bottom w:w="0" w:type="dxa"/>
          </w:tblCellMar>
        </w:tblPrEx>
        <w:trPr>
          <w:cantSplit/>
        </w:trPr>
        <w:tc>
          <w:tcPr>
            <w:tcW w:w="9746" w:type="dxa"/>
            <w:tcBorders>
              <w:top w:val="single" w:sz="4" w:space="0" w:color="FBF0DA"/>
              <w:left w:val="single" w:sz="32" w:space="0" w:color="C9790A"/>
              <w:bottom w:val="single" w:sz="4" w:space="0" w:color="FBF0DA"/>
              <w:right w:val="single" w:sz="4" w:space="0" w:color="FBF0DA"/>
            </w:tcBorders>
            <w:shd w:val="clear" w:color="auto" w:fill="FBF0DA"/>
            <w:tcMar>
              <w:top w:w="130" w:type="dxa"/>
              <w:left w:w="200" w:type="dxa"/>
              <w:bottom w:w="130" w:type="dxa"/>
              <w:right w:w="180" w:type="dxa"/>
            </w:tcMar>
          </w:tcPr>
          <w:p w14:paraId="18D6A1A0" w14:textId="77777777" w:rsidR="003F44C1" w:rsidRDefault="00000000">
            <w:pPr>
              <w:spacing w:after="60"/>
            </w:pPr>
            <w:r>
              <w:rPr>
                <w:b/>
                <w:bCs/>
                <w:color w:val="C9790A"/>
              </w:rPr>
              <w:t>ACT</w:t>
            </w:r>
          </w:p>
          <w:p w14:paraId="7D034319" w14:textId="77777777" w:rsidR="003F44C1" w:rsidRDefault="00000000">
            <w:pPr>
              <w:pStyle w:val="ListParagraph"/>
              <w:numPr>
                <w:ilvl w:val="0"/>
                <w:numId w:val="2"/>
              </w:numPr>
              <w:spacing w:after="60" w:line="258" w:lineRule="auto"/>
            </w:pPr>
            <w:r>
              <w:rPr>
                <w:b/>
                <w:bCs/>
                <w:sz w:val="20"/>
                <w:szCs w:val="20"/>
              </w:rPr>
              <w:t xml:space="preserve">History: </w:t>
            </w:r>
            <w:r>
              <w:rPr>
                <w:sz w:val="20"/>
                <w:szCs w:val="20"/>
              </w:rPr>
              <w:t>missed or late pills, timing, vomiting or diarrhoea, enzyme-inducing drugs, smoking, and any chance of pregnancy.</w:t>
            </w:r>
          </w:p>
          <w:p w14:paraId="01321D55" w14:textId="77777777" w:rsidR="003F44C1" w:rsidRDefault="00000000">
            <w:pPr>
              <w:pStyle w:val="ListParagraph"/>
              <w:numPr>
                <w:ilvl w:val="0"/>
                <w:numId w:val="2"/>
              </w:numPr>
              <w:spacing w:after="60" w:line="258" w:lineRule="auto"/>
            </w:pPr>
            <w:r>
              <w:rPr>
                <w:b/>
                <w:bCs/>
                <w:sz w:val="20"/>
                <w:szCs w:val="20"/>
              </w:rPr>
              <w:t xml:space="preserve">Risk check: </w:t>
            </w:r>
            <w:r>
              <w:rPr>
                <w:sz w:val="20"/>
                <w:szCs w:val="20"/>
              </w:rPr>
              <w:t>ask about STI risk (test for chlamydia where relevant) and confirm cervical screening is up to date.</w:t>
            </w:r>
          </w:p>
          <w:p w14:paraId="7A9BF41B" w14:textId="77777777" w:rsidR="003F44C1" w:rsidRDefault="00000000">
            <w:pPr>
              <w:pStyle w:val="ListParagraph"/>
              <w:numPr>
                <w:ilvl w:val="0"/>
                <w:numId w:val="2"/>
              </w:numPr>
              <w:spacing w:after="60" w:line="258" w:lineRule="auto"/>
            </w:pPr>
            <w:r>
              <w:rPr>
                <w:b/>
                <w:bCs/>
                <w:sz w:val="20"/>
                <w:szCs w:val="20"/>
              </w:rPr>
              <w:t xml:space="preserve">Examine and test: </w:t>
            </w:r>
            <w:r>
              <w:rPr>
                <w:sz w:val="20"/>
                <w:szCs w:val="20"/>
              </w:rPr>
              <w:t>a pregnancy test if any risk; STI tests if indicated; a speculum to inspect the cervix if bleeding persists or follows sex.</w:t>
            </w:r>
          </w:p>
          <w:p w14:paraId="4BF0B2C9" w14:textId="77777777" w:rsidR="003F44C1" w:rsidRDefault="00000000">
            <w:pPr>
              <w:spacing w:before="50" w:line="264" w:lineRule="auto"/>
            </w:pPr>
            <w:r>
              <w:rPr>
                <w:b/>
                <w:bCs/>
                <w:sz w:val="20"/>
                <w:szCs w:val="20"/>
              </w:rPr>
              <w:t xml:space="preserve">Note: </w:t>
            </w:r>
            <w:r>
              <w:rPr>
                <w:sz w:val="20"/>
                <w:szCs w:val="20"/>
              </w:rPr>
              <w:t xml:space="preserve">unscheduled bleeding is </w:t>
            </w:r>
            <w:r>
              <w:rPr>
                <w:b/>
                <w:bCs/>
                <w:sz w:val="20"/>
                <w:szCs w:val="20"/>
              </w:rPr>
              <w:t>not</w:t>
            </w:r>
            <w:r>
              <w:rPr>
                <w:sz w:val="20"/>
                <w:szCs w:val="20"/>
              </w:rPr>
              <w:t xml:space="preserve"> a reason for a cervical smear — screening follows the national programme. But a cervix that looks abnormal must be referred.</w:t>
            </w:r>
          </w:p>
        </w:tc>
      </w:tr>
    </w:tbl>
    <w:p w14:paraId="7AE5F044" w14:textId="77777777" w:rsidR="003F44C1" w:rsidRDefault="003F44C1">
      <w:pPr>
        <w:spacing w:after="5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45073604" w14:textId="77777777">
        <w:tblPrEx>
          <w:tblCellMar>
            <w:top w:w="0" w:type="dxa"/>
            <w:bottom w:w="0" w:type="dxa"/>
          </w:tblCellMar>
        </w:tblPrEx>
        <w:trPr>
          <w:cantSplit/>
        </w:trPr>
        <w:tc>
          <w:tcPr>
            <w:tcW w:w="9746" w:type="dxa"/>
            <w:tcBorders>
              <w:top w:val="single" w:sz="4" w:space="0" w:color="FBE7E4"/>
              <w:left w:val="single" w:sz="32" w:space="0" w:color="CE3B2E"/>
              <w:bottom w:val="single" w:sz="4" w:space="0" w:color="FBE7E4"/>
              <w:right w:val="single" w:sz="4" w:space="0" w:color="FBE7E4"/>
            </w:tcBorders>
            <w:shd w:val="clear" w:color="auto" w:fill="FBE7E4"/>
            <w:tcMar>
              <w:top w:w="130" w:type="dxa"/>
              <w:left w:w="200" w:type="dxa"/>
              <w:bottom w:w="130" w:type="dxa"/>
              <w:right w:w="180" w:type="dxa"/>
            </w:tcMar>
          </w:tcPr>
          <w:p w14:paraId="623F4E52" w14:textId="77777777" w:rsidR="003F44C1" w:rsidRDefault="00000000">
            <w:pPr>
              <w:spacing w:after="60"/>
            </w:pPr>
            <w:r>
              <w:rPr>
                <w:b/>
                <w:bCs/>
                <w:color w:val="CE3B2E"/>
              </w:rPr>
              <w:t>REFER</w:t>
            </w:r>
          </w:p>
          <w:p w14:paraId="31AC961A" w14:textId="77777777" w:rsidR="003F44C1" w:rsidRDefault="00000000">
            <w:pPr>
              <w:spacing w:line="264" w:lineRule="auto"/>
            </w:pPr>
            <w:r>
              <w:rPr>
                <w:b/>
                <w:bCs/>
                <w:sz w:val="20"/>
                <w:szCs w:val="20"/>
              </w:rPr>
              <w:t>Urgent referral is required</w:t>
            </w:r>
            <w:r>
              <w:rPr>
                <w:sz w:val="20"/>
                <w:szCs w:val="20"/>
              </w:rPr>
              <w:t xml:space="preserve"> for postcoital bleeding that persists, a visibly abnormal cervix, or persistent bleeding with risk factors for cancer — send on the suspected-cancer pathway. Once serious causes are excluded, reassurance is usually enough; switching method may be tried, though evidence it helps is limited.</w:t>
            </w:r>
          </w:p>
        </w:tc>
      </w:tr>
    </w:tbl>
    <w:p w14:paraId="40B017BC" w14:textId="77777777" w:rsidR="003F44C1" w:rsidRDefault="003F44C1">
      <w:pPr>
        <w:spacing w:after="40"/>
      </w:pPr>
    </w:p>
    <w:p w14:paraId="3E8B70CC" w14:textId="77777777" w:rsidR="003F44C1" w:rsidRDefault="00000000">
      <w:pPr>
        <w:keepNext/>
        <w:pBdr>
          <w:bottom w:val="single" w:sz="18" w:space="6" w:color="E2710D"/>
        </w:pBdr>
        <w:spacing w:before="210" w:after="80"/>
      </w:pPr>
      <w:r>
        <w:rPr>
          <w:b/>
          <w:bCs/>
          <w:sz w:val="30"/>
          <w:szCs w:val="30"/>
        </w:rPr>
        <w:t>7.  Numbers worth memorising</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8246"/>
      </w:tblGrid>
      <w:tr w:rsidR="003F44C1" w14:paraId="57EFF3A9" w14:textId="77777777">
        <w:tblPrEx>
          <w:tblCellMar>
            <w:top w:w="0" w:type="dxa"/>
            <w:bottom w:w="0" w:type="dxa"/>
          </w:tblCellMar>
        </w:tblPrEx>
        <w:tc>
          <w:tcPr>
            <w:tcW w:w="1500" w:type="dxa"/>
            <w:tcBorders>
              <w:top w:val="single" w:sz="4" w:space="0" w:color="FFFFFF"/>
              <w:bottom w:val="single" w:sz="4" w:space="0" w:color="FFFFFF"/>
            </w:tcBorders>
            <w:shd w:val="clear" w:color="auto" w:fill="E2710D"/>
            <w:tcMar>
              <w:top w:w="90" w:type="dxa"/>
              <w:left w:w="100" w:type="dxa"/>
              <w:bottom w:w="90" w:type="dxa"/>
              <w:right w:w="100" w:type="dxa"/>
            </w:tcMar>
            <w:vAlign w:val="center"/>
          </w:tcPr>
          <w:p w14:paraId="0673125D" w14:textId="77777777" w:rsidR="003F44C1" w:rsidRDefault="00000000">
            <w:pPr>
              <w:jc w:val="center"/>
            </w:pPr>
            <w:r>
              <w:rPr>
                <w:b/>
                <w:bCs/>
                <w:color w:val="FFFFFF"/>
                <w:sz w:val="34"/>
                <w:szCs w:val="34"/>
              </w:rPr>
              <w:t>48</w:t>
            </w:r>
          </w:p>
        </w:tc>
        <w:tc>
          <w:tcPr>
            <w:tcW w:w="8246" w:type="dxa"/>
            <w:tcBorders>
              <w:top w:val="single" w:sz="4" w:space="0" w:color="FFFFFF"/>
              <w:bottom w:val="single" w:sz="4" w:space="0" w:color="FFFFFF"/>
            </w:tcBorders>
            <w:shd w:val="clear" w:color="auto" w:fill="F4F6FA"/>
            <w:tcMar>
              <w:top w:w="90" w:type="dxa"/>
              <w:left w:w="160" w:type="dxa"/>
              <w:bottom w:w="90" w:type="dxa"/>
              <w:right w:w="140" w:type="dxa"/>
            </w:tcMar>
            <w:vAlign w:val="center"/>
          </w:tcPr>
          <w:p w14:paraId="07941B82" w14:textId="77777777" w:rsidR="003F44C1" w:rsidRDefault="00000000">
            <w:r>
              <w:rPr>
                <w:b/>
                <w:bCs/>
                <w:sz w:val="20"/>
                <w:szCs w:val="20"/>
              </w:rPr>
              <w:t xml:space="preserve">Combined pill: </w:t>
            </w:r>
            <w:r>
              <w:rPr>
                <w:sz w:val="20"/>
                <w:szCs w:val="20"/>
              </w:rPr>
              <w:t>hours late before action is needed. One missed pill = still protected.</w:t>
            </w:r>
          </w:p>
        </w:tc>
      </w:tr>
      <w:tr w:rsidR="003F44C1" w14:paraId="5D7BD4F2" w14:textId="77777777">
        <w:tblPrEx>
          <w:tblCellMar>
            <w:top w:w="0" w:type="dxa"/>
            <w:bottom w:w="0" w:type="dxa"/>
          </w:tblCellMar>
        </w:tblPrEx>
        <w:tc>
          <w:tcPr>
            <w:tcW w:w="1500" w:type="dxa"/>
            <w:tcBorders>
              <w:top w:val="single" w:sz="4" w:space="0" w:color="FFFFFF"/>
              <w:bottom w:val="single" w:sz="4" w:space="0" w:color="FFFFFF"/>
            </w:tcBorders>
            <w:shd w:val="clear" w:color="auto" w:fill="E2710D"/>
            <w:tcMar>
              <w:top w:w="90" w:type="dxa"/>
              <w:left w:w="100" w:type="dxa"/>
              <w:bottom w:w="90" w:type="dxa"/>
              <w:right w:w="100" w:type="dxa"/>
            </w:tcMar>
            <w:vAlign w:val="center"/>
          </w:tcPr>
          <w:p w14:paraId="2B638565" w14:textId="77777777" w:rsidR="003F44C1" w:rsidRDefault="00000000">
            <w:pPr>
              <w:jc w:val="center"/>
            </w:pPr>
            <w:r>
              <w:rPr>
                <w:b/>
                <w:bCs/>
                <w:color w:val="FFFFFF"/>
                <w:sz w:val="34"/>
                <w:szCs w:val="34"/>
              </w:rPr>
              <w:t>3 · 12 · 24</w:t>
            </w:r>
          </w:p>
        </w:tc>
        <w:tc>
          <w:tcPr>
            <w:tcW w:w="8246" w:type="dxa"/>
            <w:tcBorders>
              <w:top w:val="single" w:sz="4" w:space="0" w:color="FFFFFF"/>
              <w:bottom w:val="single" w:sz="4" w:space="0" w:color="FFFFFF"/>
            </w:tcBorders>
            <w:shd w:val="clear" w:color="auto" w:fill="F4F6FA"/>
            <w:tcMar>
              <w:top w:w="90" w:type="dxa"/>
              <w:left w:w="160" w:type="dxa"/>
              <w:bottom w:w="90" w:type="dxa"/>
              <w:right w:w="140" w:type="dxa"/>
            </w:tcMar>
            <w:vAlign w:val="center"/>
          </w:tcPr>
          <w:p w14:paraId="240135DB" w14:textId="77777777" w:rsidR="003F44C1" w:rsidRDefault="00000000">
            <w:r>
              <w:rPr>
                <w:b/>
                <w:bCs/>
                <w:sz w:val="20"/>
                <w:szCs w:val="20"/>
              </w:rPr>
              <w:t xml:space="preserve">POP late-pill windows (hours): </w:t>
            </w:r>
            <w:r>
              <w:rPr>
                <w:sz w:val="20"/>
                <w:szCs w:val="20"/>
              </w:rPr>
              <w:t xml:space="preserve">traditional · </w:t>
            </w:r>
            <w:proofErr w:type="spellStart"/>
            <w:r>
              <w:rPr>
                <w:sz w:val="20"/>
                <w:szCs w:val="20"/>
              </w:rPr>
              <w:t>desogestrel</w:t>
            </w:r>
            <w:proofErr w:type="spellEnd"/>
            <w:r>
              <w:rPr>
                <w:sz w:val="20"/>
                <w:szCs w:val="20"/>
              </w:rPr>
              <w:t xml:space="preserve"> · </w:t>
            </w:r>
            <w:proofErr w:type="spellStart"/>
            <w:r>
              <w:rPr>
                <w:sz w:val="20"/>
                <w:szCs w:val="20"/>
              </w:rPr>
              <w:t>drospirenone</w:t>
            </w:r>
            <w:proofErr w:type="spellEnd"/>
            <w:r>
              <w:rPr>
                <w:sz w:val="20"/>
                <w:szCs w:val="20"/>
              </w:rPr>
              <w:t>.</w:t>
            </w:r>
          </w:p>
        </w:tc>
      </w:tr>
      <w:tr w:rsidR="003F44C1" w14:paraId="120C7A21" w14:textId="77777777">
        <w:tblPrEx>
          <w:tblCellMar>
            <w:top w:w="0" w:type="dxa"/>
            <w:bottom w:w="0" w:type="dxa"/>
          </w:tblCellMar>
        </w:tblPrEx>
        <w:tc>
          <w:tcPr>
            <w:tcW w:w="1500" w:type="dxa"/>
            <w:tcBorders>
              <w:top w:val="single" w:sz="4" w:space="0" w:color="FFFFFF"/>
              <w:bottom w:val="single" w:sz="4" w:space="0" w:color="FFFFFF"/>
            </w:tcBorders>
            <w:shd w:val="clear" w:color="auto" w:fill="E2710D"/>
            <w:tcMar>
              <w:top w:w="90" w:type="dxa"/>
              <w:left w:w="100" w:type="dxa"/>
              <w:bottom w:w="90" w:type="dxa"/>
              <w:right w:w="100" w:type="dxa"/>
            </w:tcMar>
            <w:vAlign w:val="center"/>
          </w:tcPr>
          <w:p w14:paraId="72A51F34" w14:textId="77777777" w:rsidR="003F44C1" w:rsidRDefault="00000000">
            <w:pPr>
              <w:jc w:val="center"/>
            </w:pPr>
            <w:r>
              <w:rPr>
                <w:b/>
                <w:bCs/>
                <w:color w:val="FFFFFF"/>
                <w:sz w:val="34"/>
                <w:szCs w:val="34"/>
              </w:rPr>
              <w:t>35 + 15</w:t>
            </w:r>
          </w:p>
        </w:tc>
        <w:tc>
          <w:tcPr>
            <w:tcW w:w="8246" w:type="dxa"/>
            <w:tcBorders>
              <w:top w:val="single" w:sz="4" w:space="0" w:color="FFFFFF"/>
              <w:bottom w:val="single" w:sz="4" w:space="0" w:color="FFFFFF"/>
            </w:tcBorders>
            <w:shd w:val="clear" w:color="auto" w:fill="F4F6FA"/>
            <w:tcMar>
              <w:top w:w="90" w:type="dxa"/>
              <w:left w:w="160" w:type="dxa"/>
              <w:bottom w:w="90" w:type="dxa"/>
              <w:right w:w="140" w:type="dxa"/>
            </w:tcMar>
            <w:vAlign w:val="center"/>
          </w:tcPr>
          <w:p w14:paraId="43AAFF2F" w14:textId="77777777" w:rsidR="003F44C1" w:rsidRDefault="00000000">
            <w:r>
              <w:rPr>
                <w:b/>
                <w:bCs/>
                <w:sz w:val="20"/>
                <w:szCs w:val="20"/>
              </w:rPr>
              <w:t xml:space="preserve">Combined pill is a definite NO </w:t>
            </w:r>
            <w:r>
              <w:rPr>
                <w:sz w:val="20"/>
                <w:szCs w:val="20"/>
              </w:rPr>
              <w:t>at age 35+ and 15+ cigarettes a day.</w:t>
            </w:r>
          </w:p>
        </w:tc>
      </w:tr>
      <w:tr w:rsidR="003F44C1" w14:paraId="199F0DDD" w14:textId="77777777">
        <w:tblPrEx>
          <w:tblCellMar>
            <w:top w:w="0" w:type="dxa"/>
            <w:bottom w:w="0" w:type="dxa"/>
          </w:tblCellMar>
        </w:tblPrEx>
        <w:tc>
          <w:tcPr>
            <w:tcW w:w="1500" w:type="dxa"/>
            <w:tcBorders>
              <w:top w:val="single" w:sz="4" w:space="0" w:color="FFFFFF"/>
              <w:bottom w:val="single" w:sz="4" w:space="0" w:color="FFFFFF"/>
            </w:tcBorders>
            <w:shd w:val="clear" w:color="auto" w:fill="E2710D"/>
            <w:tcMar>
              <w:top w:w="90" w:type="dxa"/>
              <w:left w:w="100" w:type="dxa"/>
              <w:bottom w:w="90" w:type="dxa"/>
              <w:right w:w="100" w:type="dxa"/>
            </w:tcMar>
            <w:vAlign w:val="center"/>
          </w:tcPr>
          <w:p w14:paraId="03B6057B" w14:textId="77777777" w:rsidR="003F44C1" w:rsidRDefault="00000000">
            <w:pPr>
              <w:jc w:val="center"/>
            </w:pPr>
            <w:r>
              <w:rPr>
                <w:b/>
                <w:bCs/>
                <w:color w:val="FFFFFF"/>
                <w:sz w:val="34"/>
                <w:szCs w:val="34"/>
              </w:rPr>
              <w:t>35</w:t>
            </w:r>
          </w:p>
        </w:tc>
        <w:tc>
          <w:tcPr>
            <w:tcW w:w="8246" w:type="dxa"/>
            <w:tcBorders>
              <w:top w:val="single" w:sz="4" w:space="0" w:color="FFFFFF"/>
              <w:bottom w:val="single" w:sz="4" w:space="0" w:color="FFFFFF"/>
            </w:tcBorders>
            <w:shd w:val="clear" w:color="auto" w:fill="F4F6FA"/>
            <w:tcMar>
              <w:top w:w="90" w:type="dxa"/>
              <w:left w:w="160" w:type="dxa"/>
              <w:bottom w:w="90" w:type="dxa"/>
              <w:right w:w="140" w:type="dxa"/>
            </w:tcMar>
            <w:vAlign w:val="center"/>
          </w:tcPr>
          <w:p w14:paraId="78FCE9B7" w14:textId="77777777" w:rsidR="003F44C1" w:rsidRDefault="00000000">
            <w:r>
              <w:rPr>
                <w:b/>
                <w:bCs/>
                <w:sz w:val="20"/>
                <w:szCs w:val="20"/>
              </w:rPr>
              <w:t xml:space="preserve">BMI 35+ </w:t>
            </w:r>
            <w:r>
              <w:rPr>
                <w:sz w:val="20"/>
                <w:szCs w:val="20"/>
              </w:rPr>
              <w:t>pushes the combined pill into “generally avoid”.</w:t>
            </w:r>
          </w:p>
        </w:tc>
      </w:tr>
      <w:tr w:rsidR="003F44C1" w14:paraId="3B2251AD" w14:textId="77777777">
        <w:tblPrEx>
          <w:tblCellMar>
            <w:top w:w="0" w:type="dxa"/>
            <w:bottom w:w="0" w:type="dxa"/>
          </w:tblCellMar>
        </w:tblPrEx>
        <w:tc>
          <w:tcPr>
            <w:tcW w:w="1500" w:type="dxa"/>
            <w:tcBorders>
              <w:top w:val="single" w:sz="4" w:space="0" w:color="FFFFFF"/>
              <w:bottom w:val="single" w:sz="4" w:space="0" w:color="FFFFFF"/>
            </w:tcBorders>
            <w:shd w:val="clear" w:color="auto" w:fill="E2710D"/>
            <w:tcMar>
              <w:top w:w="90" w:type="dxa"/>
              <w:left w:w="100" w:type="dxa"/>
              <w:bottom w:w="90" w:type="dxa"/>
              <w:right w:w="100" w:type="dxa"/>
            </w:tcMar>
            <w:vAlign w:val="center"/>
          </w:tcPr>
          <w:p w14:paraId="05E39ED8" w14:textId="77777777" w:rsidR="003F44C1" w:rsidRDefault="00000000">
            <w:pPr>
              <w:jc w:val="center"/>
            </w:pPr>
            <w:r>
              <w:rPr>
                <w:b/>
                <w:bCs/>
                <w:color w:val="FFFFFF"/>
                <w:sz w:val="34"/>
                <w:szCs w:val="34"/>
              </w:rPr>
              <w:t xml:space="preserve">6 </w:t>
            </w:r>
            <w:proofErr w:type="spellStart"/>
            <w:r>
              <w:rPr>
                <w:b/>
                <w:bCs/>
                <w:color w:val="FFFFFF"/>
                <w:sz w:val="34"/>
                <w:szCs w:val="34"/>
              </w:rPr>
              <w:t>wks</w:t>
            </w:r>
            <w:proofErr w:type="spellEnd"/>
          </w:p>
        </w:tc>
        <w:tc>
          <w:tcPr>
            <w:tcW w:w="8246" w:type="dxa"/>
            <w:tcBorders>
              <w:top w:val="single" w:sz="4" w:space="0" w:color="FFFFFF"/>
              <w:bottom w:val="single" w:sz="4" w:space="0" w:color="FFFFFF"/>
            </w:tcBorders>
            <w:shd w:val="clear" w:color="auto" w:fill="F4F6FA"/>
            <w:tcMar>
              <w:top w:w="90" w:type="dxa"/>
              <w:left w:w="160" w:type="dxa"/>
              <w:bottom w:w="90" w:type="dxa"/>
              <w:right w:w="140" w:type="dxa"/>
            </w:tcMar>
            <w:vAlign w:val="center"/>
          </w:tcPr>
          <w:p w14:paraId="085189DB" w14:textId="77777777" w:rsidR="003F44C1" w:rsidRDefault="00000000">
            <w:r>
              <w:rPr>
                <w:b/>
                <w:bCs/>
                <w:sz w:val="20"/>
                <w:szCs w:val="20"/>
              </w:rPr>
              <w:t xml:space="preserve">After birth: </w:t>
            </w:r>
            <w:r>
              <w:rPr>
                <w:sz w:val="20"/>
                <w:szCs w:val="20"/>
              </w:rPr>
              <w:t>wait this long before a combined pill if breastfeeding or any clot-risk factor.</w:t>
            </w:r>
          </w:p>
        </w:tc>
      </w:tr>
      <w:tr w:rsidR="003F44C1" w14:paraId="0982AA76" w14:textId="77777777">
        <w:tblPrEx>
          <w:tblCellMar>
            <w:top w:w="0" w:type="dxa"/>
            <w:bottom w:w="0" w:type="dxa"/>
          </w:tblCellMar>
        </w:tblPrEx>
        <w:tc>
          <w:tcPr>
            <w:tcW w:w="1500" w:type="dxa"/>
            <w:tcBorders>
              <w:top w:val="single" w:sz="4" w:space="0" w:color="FFFFFF"/>
              <w:bottom w:val="single" w:sz="4" w:space="0" w:color="FFFFFF"/>
            </w:tcBorders>
            <w:shd w:val="clear" w:color="auto" w:fill="E2710D"/>
            <w:tcMar>
              <w:top w:w="90" w:type="dxa"/>
              <w:left w:w="100" w:type="dxa"/>
              <w:bottom w:w="90" w:type="dxa"/>
              <w:right w:w="100" w:type="dxa"/>
            </w:tcMar>
            <w:vAlign w:val="center"/>
          </w:tcPr>
          <w:p w14:paraId="2EA43FC0" w14:textId="77777777" w:rsidR="003F44C1" w:rsidRDefault="00000000">
            <w:pPr>
              <w:jc w:val="center"/>
            </w:pPr>
            <w:r>
              <w:rPr>
                <w:b/>
                <w:bCs/>
                <w:color w:val="FFFFFF"/>
                <w:sz w:val="34"/>
                <w:szCs w:val="34"/>
              </w:rPr>
              <w:t>7</w:t>
            </w:r>
          </w:p>
        </w:tc>
        <w:tc>
          <w:tcPr>
            <w:tcW w:w="8246" w:type="dxa"/>
            <w:tcBorders>
              <w:top w:val="single" w:sz="4" w:space="0" w:color="FFFFFF"/>
              <w:bottom w:val="single" w:sz="4" w:space="0" w:color="FFFFFF"/>
            </w:tcBorders>
            <w:shd w:val="clear" w:color="auto" w:fill="F4F6FA"/>
            <w:tcMar>
              <w:top w:w="90" w:type="dxa"/>
              <w:left w:w="160" w:type="dxa"/>
              <w:bottom w:w="90" w:type="dxa"/>
              <w:right w:w="140" w:type="dxa"/>
            </w:tcMar>
            <w:vAlign w:val="center"/>
          </w:tcPr>
          <w:p w14:paraId="6E2E83C9" w14:textId="77777777" w:rsidR="003F44C1" w:rsidRDefault="00000000">
            <w:r>
              <w:rPr>
                <w:b/>
                <w:bCs/>
                <w:sz w:val="20"/>
                <w:szCs w:val="20"/>
              </w:rPr>
              <w:t xml:space="preserve">Condom cover (days) </w:t>
            </w:r>
            <w:r>
              <w:rPr>
                <w:sz w:val="20"/>
                <w:szCs w:val="20"/>
              </w:rPr>
              <w:t>after two or more missed combined pills — and the length of the pill-free break.</w:t>
            </w:r>
          </w:p>
        </w:tc>
      </w:tr>
    </w:tbl>
    <w:p w14:paraId="74D22ED4" w14:textId="77777777" w:rsidR="003F44C1" w:rsidRDefault="003F44C1">
      <w:pPr>
        <w:spacing w:after="60"/>
      </w:pPr>
    </w:p>
    <w:p w14:paraId="27EE0C0D" w14:textId="77777777" w:rsidR="00B4229D" w:rsidRDefault="00B4229D">
      <w:pPr>
        <w:rPr>
          <w:b/>
          <w:bCs/>
          <w:sz w:val="30"/>
          <w:szCs w:val="30"/>
        </w:rPr>
      </w:pPr>
      <w:r>
        <w:rPr>
          <w:b/>
          <w:bCs/>
          <w:sz w:val="30"/>
          <w:szCs w:val="30"/>
        </w:rPr>
        <w:br w:type="page"/>
      </w:r>
    </w:p>
    <w:p w14:paraId="3E5B8389" w14:textId="3EF71504" w:rsidR="003F44C1" w:rsidRDefault="00000000">
      <w:pPr>
        <w:keepNext/>
        <w:pBdr>
          <w:bottom w:val="single" w:sz="18" w:space="6" w:color="E2710D"/>
        </w:pBdr>
        <w:spacing w:before="210" w:after="80"/>
      </w:pPr>
      <w:r>
        <w:rPr>
          <w:b/>
          <w:bCs/>
          <w:sz w:val="30"/>
          <w:szCs w:val="30"/>
        </w:rPr>
        <w:lastRenderedPageBreak/>
        <w:t>8.  Before you prescribe: safety-net checklist</w:t>
      </w:r>
    </w:p>
    <w:p w14:paraId="57D1F6CF" w14:textId="77777777" w:rsidR="003F44C1" w:rsidRDefault="00000000">
      <w:pPr>
        <w:pStyle w:val="ListParagraph"/>
        <w:numPr>
          <w:ilvl w:val="0"/>
          <w:numId w:val="2"/>
        </w:numPr>
        <w:spacing w:after="60" w:line="258" w:lineRule="auto"/>
      </w:pPr>
      <w:r>
        <w:t>Blood pressure and BMI recorded.</w:t>
      </w:r>
    </w:p>
    <w:p w14:paraId="2CF64D73" w14:textId="77777777" w:rsidR="003F44C1" w:rsidRDefault="00000000">
      <w:pPr>
        <w:pStyle w:val="ListParagraph"/>
        <w:numPr>
          <w:ilvl w:val="0"/>
          <w:numId w:val="2"/>
        </w:numPr>
        <w:spacing w:after="60" w:line="258" w:lineRule="auto"/>
      </w:pPr>
      <w:r>
        <w:t>Age and smoking status established.</w:t>
      </w:r>
    </w:p>
    <w:p w14:paraId="0005FDFD" w14:textId="77777777" w:rsidR="003F44C1" w:rsidRDefault="00000000">
      <w:pPr>
        <w:pStyle w:val="ListParagraph"/>
        <w:numPr>
          <w:ilvl w:val="0"/>
          <w:numId w:val="2"/>
        </w:numPr>
        <w:spacing w:after="60" w:line="258" w:lineRule="auto"/>
      </w:pPr>
      <w:r>
        <w:t>Asked specifically about migraine — and crucially, aura.</w:t>
      </w:r>
    </w:p>
    <w:p w14:paraId="00ED71C9" w14:textId="77777777" w:rsidR="003F44C1" w:rsidRDefault="00000000">
      <w:pPr>
        <w:pStyle w:val="ListParagraph"/>
        <w:numPr>
          <w:ilvl w:val="0"/>
          <w:numId w:val="2"/>
        </w:numPr>
        <w:spacing w:after="60" w:line="258" w:lineRule="auto"/>
      </w:pPr>
      <w:r>
        <w:t>Personal or family history of blood clots, and any known clotting disorder.</w:t>
      </w:r>
    </w:p>
    <w:p w14:paraId="3032D934" w14:textId="77777777" w:rsidR="003F44C1" w:rsidRDefault="00000000">
      <w:pPr>
        <w:pStyle w:val="ListParagraph"/>
        <w:numPr>
          <w:ilvl w:val="0"/>
          <w:numId w:val="2"/>
        </w:numPr>
        <w:spacing w:after="60" w:line="258" w:lineRule="auto"/>
      </w:pPr>
      <w:r>
        <w:t>Current medicines reviewed for enzyme inducers.</w:t>
      </w:r>
    </w:p>
    <w:p w14:paraId="29C37554" w14:textId="77777777" w:rsidR="003F44C1" w:rsidRDefault="00000000">
      <w:pPr>
        <w:pStyle w:val="ListParagraph"/>
        <w:numPr>
          <w:ilvl w:val="0"/>
          <w:numId w:val="2"/>
        </w:numPr>
        <w:spacing w:after="60" w:line="258" w:lineRule="auto"/>
      </w:pPr>
      <w:r>
        <w:t>Breastfeeding status and time since any recent birth.</w:t>
      </w:r>
    </w:p>
    <w:p w14:paraId="4A78E0B8" w14:textId="77777777" w:rsidR="003F44C1" w:rsidRDefault="00000000">
      <w:pPr>
        <w:pStyle w:val="ListParagraph"/>
        <w:numPr>
          <w:ilvl w:val="0"/>
          <w:numId w:val="2"/>
        </w:numPr>
        <w:spacing w:after="60" w:line="258" w:lineRule="auto"/>
      </w:pPr>
      <w:r>
        <w:t>Pregnancy reasonably excluded; start timing and back-up cover explained.</w:t>
      </w:r>
    </w:p>
    <w:p w14:paraId="1A51DE72" w14:textId="77777777" w:rsidR="003F44C1" w:rsidRDefault="00000000">
      <w:pPr>
        <w:pStyle w:val="ListParagraph"/>
        <w:numPr>
          <w:ilvl w:val="0"/>
          <w:numId w:val="2"/>
        </w:numPr>
        <w:spacing w:after="60" w:line="258" w:lineRule="auto"/>
      </w:pPr>
      <w:r>
        <w:t>Method-specific missed-pill advice given (the 48-hour rule, or the POP window).</w:t>
      </w:r>
    </w:p>
    <w:p w14:paraId="51CF6898" w14:textId="77777777" w:rsidR="003F44C1" w:rsidRDefault="00000000">
      <w:pPr>
        <w:pStyle w:val="ListParagraph"/>
        <w:numPr>
          <w:ilvl w:val="0"/>
          <w:numId w:val="2"/>
        </w:numPr>
        <w:spacing w:after="60" w:line="258" w:lineRule="auto"/>
      </w:pPr>
      <w:r>
        <w:t>STI risk discussed; condoms recommended for STI protection.</w:t>
      </w:r>
    </w:p>
    <w:p w14:paraId="1CEC7D5E" w14:textId="77777777" w:rsidR="003F44C1" w:rsidRDefault="003F44C1">
      <w:pPr>
        <w:spacing w:after="50"/>
      </w:pPr>
    </w:p>
    <w:p w14:paraId="37923313" w14:textId="77777777" w:rsidR="003F44C1" w:rsidRDefault="00000000">
      <w:pPr>
        <w:keepNext/>
        <w:pBdr>
          <w:bottom w:val="single" w:sz="18" w:space="6" w:color="E2710D"/>
        </w:pBdr>
        <w:spacing w:before="210" w:after="80"/>
      </w:pPr>
      <w:r>
        <w:rPr>
          <w:b/>
          <w:bCs/>
          <w:sz w:val="30"/>
          <w:szCs w:val="30"/>
        </w:rPr>
        <w:t>Sources</w:t>
      </w:r>
    </w:p>
    <w:p w14:paraId="7EBE3504" w14:textId="77777777" w:rsidR="003F44C1" w:rsidRDefault="00000000">
      <w:pPr>
        <w:spacing w:after="80" w:line="264" w:lineRule="auto"/>
      </w:pPr>
      <w:r>
        <w:rPr>
          <w:color w:val="43506B"/>
          <w:sz w:val="20"/>
          <w:szCs w:val="20"/>
        </w:rPr>
        <w:t>All clinical content has been checked against current UK guidance (accessed June 2026):</w:t>
      </w:r>
    </w:p>
    <w:p w14:paraId="6204E7D7" w14:textId="77777777" w:rsidR="003F44C1" w:rsidRDefault="00000000">
      <w:pPr>
        <w:pStyle w:val="ListParagraph"/>
        <w:numPr>
          <w:ilvl w:val="0"/>
          <w:numId w:val="2"/>
        </w:numPr>
        <w:spacing w:after="60" w:line="258" w:lineRule="auto"/>
      </w:pPr>
      <w:proofErr w:type="spellStart"/>
      <w:r>
        <w:rPr>
          <w:sz w:val="18"/>
          <w:szCs w:val="18"/>
        </w:rPr>
        <w:t>CoSRH</w:t>
      </w:r>
      <w:proofErr w:type="spellEnd"/>
      <w:r>
        <w:rPr>
          <w:sz w:val="18"/>
          <w:szCs w:val="18"/>
        </w:rPr>
        <w:t xml:space="preserve"> (formerly FSRH). UK Medical Eligibility Criteria for Contraceptive Use (UKMEC), December 2025.  </w:t>
      </w:r>
      <w:hyperlink r:id="rId11" w:history="1">
        <w:r>
          <w:rPr>
            <w:color w:val="2B6CB0"/>
            <w:sz w:val="18"/>
            <w:szCs w:val="18"/>
            <w:u w:val="single"/>
          </w:rPr>
          <w:t>Link</w:t>
        </w:r>
      </w:hyperlink>
    </w:p>
    <w:p w14:paraId="713F1A04" w14:textId="77777777" w:rsidR="003F44C1" w:rsidRDefault="00000000">
      <w:pPr>
        <w:pStyle w:val="ListParagraph"/>
        <w:numPr>
          <w:ilvl w:val="0"/>
          <w:numId w:val="2"/>
        </w:numPr>
        <w:spacing w:after="60" w:line="258" w:lineRule="auto"/>
      </w:pPr>
      <w:r>
        <w:rPr>
          <w:sz w:val="18"/>
          <w:szCs w:val="18"/>
        </w:rPr>
        <w:t xml:space="preserve">FSRH Clinical Guideline: Combined Hormonal Contraception (January 2019, amended October 2023).  </w:t>
      </w:r>
      <w:hyperlink r:id="rId12" w:history="1">
        <w:r>
          <w:rPr>
            <w:color w:val="2B6CB0"/>
            <w:sz w:val="18"/>
            <w:szCs w:val="18"/>
            <w:u w:val="single"/>
          </w:rPr>
          <w:t>Link</w:t>
        </w:r>
      </w:hyperlink>
    </w:p>
    <w:p w14:paraId="1CD5EF69" w14:textId="77777777" w:rsidR="003F44C1" w:rsidRDefault="00000000">
      <w:pPr>
        <w:pStyle w:val="ListParagraph"/>
        <w:numPr>
          <w:ilvl w:val="0"/>
          <w:numId w:val="2"/>
        </w:numPr>
        <w:spacing w:after="60" w:line="258" w:lineRule="auto"/>
      </w:pPr>
      <w:r>
        <w:rPr>
          <w:sz w:val="18"/>
          <w:szCs w:val="18"/>
        </w:rPr>
        <w:t xml:space="preserve">FSRH Clinical Guideline: Progestogen-only Pills (August 2022, amended July 2023); FSRH CEU Statement: </w:t>
      </w:r>
      <w:proofErr w:type="spellStart"/>
      <w:r>
        <w:rPr>
          <w:sz w:val="18"/>
          <w:szCs w:val="18"/>
        </w:rPr>
        <w:t>Drospirenone</w:t>
      </w:r>
      <w:proofErr w:type="spellEnd"/>
      <w:r>
        <w:rPr>
          <w:sz w:val="18"/>
          <w:szCs w:val="18"/>
        </w:rPr>
        <w:t xml:space="preserve"> 4mg POP (January 2024).  </w:t>
      </w:r>
      <w:hyperlink r:id="rId13" w:history="1">
        <w:r>
          <w:rPr>
            <w:color w:val="2B6CB0"/>
            <w:sz w:val="18"/>
            <w:szCs w:val="18"/>
            <w:u w:val="single"/>
          </w:rPr>
          <w:t>Link</w:t>
        </w:r>
      </w:hyperlink>
    </w:p>
    <w:p w14:paraId="564E4E9C" w14:textId="77777777" w:rsidR="003F44C1" w:rsidRDefault="00000000">
      <w:pPr>
        <w:pStyle w:val="ListParagraph"/>
        <w:numPr>
          <w:ilvl w:val="0"/>
          <w:numId w:val="2"/>
        </w:numPr>
        <w:spacing w:after="60" w:line="258" w:lineRule="auto"/>
      </w:pPr>
      <w:r>
        <w:rPr>
          <w:sz w:val="18"/>
          <w:szCs w:val="18"/>
        </w:rPr>
        <w:t xml:space="preserve">FSRH CEU Guidance: Recommended Actions after Incorrect Use of Combined Hormonal Contraception (March 2020, amended July 2021).  </w:t>
      </w:r>
      <w:hyperlink r:id="rId14" w:history="1">
        <w:r>
          <w:rPr>
            <w:color w:val="2B6CB0"/>
            <w:sz w:val="18"/>
            <w:szCs w:val="18"/>
            <w:u w:val="single"/>
          </w:rPr>
          <w:t>Link</w:t>
        </w:r>
      </w:hyperlink>
    </w:p>
    <w:p w14:paraId="152A8ABF" w14:textId="77777777" w:rsidR="003F44C1" w:rsidRDefault="00000000">
      <w:pPr>
        <w:pStyle w:val="ListParagraph"/>
        <w:numPr>
          <w:ilvl w:val="0"/>
          <w:numId w:val="2"/>
        </w:numPr>
        <w:spacing w:after="60" w:line="258" w:lineRule="auto"/>
      </w:pPr>
      <w:r>
        <w:rPr>
          <w:sz w:val="18"/>
          <w:szCs w:val="18"/>
        </w:rPr>
        <w:t xml:space="preserve">FSRH CEU Guidance: Drug Interactions with Hormonal Contraception (2022); FSRH CEU Statement: Antibiotics and Hormonal Contraception (February 2021).  </w:t>
      </w:r>
      <w:hyperlink r:id="rId15" w:history="1">
        <w:r>
          <w:rPr>
            <w:color w:val="2B6CB0"/>
            <w:sz w:val="18"/>
            <w:szCs w:val="18"/>
            <w:u w:val="single"/>
          </w:rPr>
          <w:t>Link</w:t>
        </w:r>
      </w:hyperlink>
    </w:p>
    <w:p w14:paraId="1C196D39" w14:textId="77777777" w:rsidR="003F44C1" w:rsidRDefault="00000000">
      <w:pPr>
        <w:pStyle w:val="ListParagraph"/>
        <w:numPr>
          <w:ilvl w:val="0"/>
          <w:numId w:val="2"/>
        </w:numPr>
        <w:spacing w:after="60" w:line="258" w:lineRule="auto"/>
      </w:pPr>
      <w:r>
        <w:rPr>
          <w:sz w:val="18"/>
          <w:szCs w:val="18"/>
        </w:rPr>
        <w:t xml:space="preserve">NICE CKS: Contraception – combined hormonal methods (August 2024) and progestogen-only methods (November 2024).  </w:t>
      </w:r>
      <w:hyperlink r:id="rId16" w:history="1">
        <w:r>
          <w:rPr>
            <w:color w:val="2B6CB0"/>
            <w:sz w:val="18"/>
            <w:szCs w:val="18"/>
            <w:u w:val="single"/>
          </w:rPr>
          <w:t>Link</w:t>
        </w:r>
      </w:hyperlink>
    </w:p>
    <w:p w14:paraId="167FE127" w14:textId="77777777" w:rsidR="003F44C1" w:rsidRDefault="00000000">
      <w:pPr>
        <w:pStyle w:val="ListParagraph"/>
        <w:numPr>
          <w:ilvl w:val="0"/>
          <w:numId w:val="2"/>
        </w:numPr>
        <w:spacing w:after="60" w:line="258" w:lineRule="auto"/>
      </w:pPr>
      <w:r>
        <w:rPr>
          <w:sz w:val="18"/>
          <w:szCs w:val="18"/>
        </w:rPr>
        <w:t xml:space="preserve">BNF – for all drug names, doses and preparations.  </w:t>
      </w:r>
      <w:hyperlink r:id="rId17" w:history="1">
        <w:r>
          <w:rPr>
            <w:color w:val="2B6CB0"/>
            <w:sz w:val="18"/>
            <w:szCs w:val="18"/>
            <w:u w:val="single"/>
          </w:rPr>
          <w:t>Link</w:t>
        </w:r>
      </w:hyperlink>
    </w:p>
    <w:p w14:paraId="42ED468C" w14:textId="77777777" w:rsidR="003F44C1" w:rsidRDefault="003F44C1">
      <w:pPr>
        <w:spacing w:after="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F44C1" w14:paraId="4536C925" w14:textId="77777777">
        <w:tblPrEx>
          <w:tblCellMar>
            <w:top w:w="0" w:type="dxa"/>
            <w:bottom w:w="0" w:type="dxa"/>
          </w:tblCellMar>
        </w:tblPrEx>
        <w:trPr>
          <w:cantSplit/>
        </w:trPr>
        <w:tc>
          <w:tcPr>
            <w:tcW w:w="9746" w:type="dxa"/>
            <w:tcBorders>
              <w:top w:val="single" w:sz="4" w:space="0" w:color="F4F6FA"/>
              <w:left w:val="single" w:sz="32" w:space="0" w:color="43506B"/>
              <w:bottom w:val="single" w:sz="4" w:space="0" w:color="F4F6FA"/>
              <w:right w:val="single" w:sz="4" w:space="0" w:color="F4F6FA"/>
            </w:tcBorders>
            <w:shd w:val="clear" w:color="auto" w:fill="F4F6FA"/>
            <w:tcMar>
              <w:top w:w="130" w:type="dxa"/>
              <w:left w:w="200" w:type="dxa"/>
              <w:bottom w:w="130" w:type="dxa"/>
              <w:right w:w="180" w:type="dxa"/>
            </w:tcMar>
          </w:tcPr>
          <w:p w14:paraId="23B8373D" w14:textId="77777777" w:rsidR="003F44C1" w:rsidRDefault="00000000">
            <w:pPr>
              <w:spacing w:after="60"/>
            </w:pPr>
            <w:r>
              <w:rPr>
                <w:b/>
                <w:bCs/>
                <w:color w:val="43506B"/>
                <w:sz w:val="19"/>
                <w:szCs w:val="19"/>
              </w:rPr>
              <w:t>Disclaimer</w:t>
            </w:r>
          </w:p>
          <w:p w14:paraId="6D2BD27C" w14:textId="77777777" w:rsidR="003F44C1" w:rsidRDefault="00000000">
            <w:pPr>
              <w:spacing w:line="264" w:lineRule="auto"/>
            </w:pPr>
            <w:r>
              <w:rPr>
                <w:color w:val="43506B"/>
                <w:sz w:val="17"/>
                <w:szCs w:val="17"/>
              </w:rPr>
              <w:t>This document is provided exclusively for educational and training purposes as a teaching aid. It does not constitute formal clinical guidance. Clinicians must independently verify all medical information, prescribing guidance, procedural protocols and legal requirements against current national guidance, local policies and the relevant regulatory bodies before applying it in practice. Information is provided as educational material and must be verified by the individual user against authoritative sources and local policies for their area.</w:t>
            </w:r>
          </w:p>
        </w:tc>
      </w:tr>
    </w:tbl>
    <w:p w14:paraId="61CF7212" w14:textId="77777777" w:rsidR="0021379D" w:rsidRDefault="0021379D"/>
    <w:sectPr w:rsidR="0021379D">
      <w:footerReference w:type="default" r:id="rId18"/>
      <w:pgSz w:w="11906" w:h="16838"/>
      <w:pgMar w:top="1080" w:right="1080" w:bottom="11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62C40" w14:textId="77777777" w:rsidR="0021379D" w:rsidRDefault="0021379D">
      <w:r>
        <w:separator/>
      </w:r>
    </w:p>
  </w:endnote>
  <w:endnote w:type="continuationSeparator" w:id="0">
    <w:p w14:paraId="4CA0C950" w14:textId="77777777" w:rsidR="0021379D" w:rsidRDefault="00213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0F64" w14:textId="77777777" w:rsidR="003F44C1" w:rsidRDefault="00000000">
    <w:pPr>
      <w:pBdr>
        <w:top w:val="single" w:sz="6" w:space="4" w:color="E2710D"/>
      </w:pBdr>
      <w:tabs>
        <w:tab w:val="right" w:pos="9746"/>
      </w:tabs>
      <w:spacing w:before="60"/>
    </w:pPr>
    <w:r>
      <w:rPr>
        <w:color w:val="43506B"/>
        <w:sz w:val="14"/>
        <w:szCs w:val="14"/>
      </w:rPr>
      <w:t xml:space="preserve">Bradford VTS Teaching </w:t>
    </w:r>
    <w:proofErr w:type="gramStart"/>
    <w:r>
      <w:rPr>
        <w:color w:val="43506B"/>
        <w:sz w:val="14"/>
        <w:szCs w:val="14"/>
      </w:rPr>
      <w:t>Aids  ·</w:t>
    </w:r>
    <w:proofErr w:type="gramEnd"/>
    <w:r>
      <w:rPr>
        <w:color w:val="43506B"/>
        <w:sz w:val="14"/>
        <w:szCs w:val="14"/>
      </w:rPr>
      <w:t xml:space="preserve">  Oral Contraception: What to </w:t>
    </w:r>
    <w:proofErr w:type="gramStart"/>
    <w:r>
      <w:rPr>
        <w:color w:val="43506B"/>
        <w:sz w:val="14"/>
        <w:szCs w:val="14"/>
      </w:rPr>
      <w:t>Prescribe  ·</w:t>
    </w:r>
    <w:proofErr w:type="gramEnd"/>
    <w:r>
      <w:rPr>
        <w:color w:val="43506B"/>
        <w:sz w:val="14"/>
        <w:szCs w:val="14"/>
      </w:rPr>
      <w:t xml:space="preserve">  June </w:t>
    </w:r>
    <w:proofErr w:type="gramStart"/>
    <w:r>
      <w:rPr>
        <w:color w:val="43506B"/>
        <w:sz w:val="14"/>
        <w:szCs w:val="14"/>
      </w:rPr>
      <w:t>2026  —</w:t>
    </w:r>
    <w:proofErr w:type="gramEnd"/>
    <w:r>
      <w:rPr>
        <w:color w:val="43506B"/>
        <w:sz w:val="14"/>
        <w:szCs w:val="14"/>
      </w:rPr>
      <w:t xml:space="preserve">  Educational use only; verify against current guidance.</w:t>
    </w:r>
    <w:r>
      <w:rPr>
        <w:color w:val="43506B"/>
        <w:sz w:val="14"/>
        <w:szCs w:val="14"/>
      </w:rPr>
      <w:tab/>
      <w:t xml:space="preserve">Page </w:t>
    </w:r>
    <w:r>
      <w:rPr>
        <w:color w:val="43506B"/>
        <w:sz w:val="14"/>
        <w:szCs w:val="14"/>
      </w:rPr>
      <w:fldChar w:fldCharType="begin"/>
    </w:r>
    <w:r>
      <w:rPr>
        <w:color w:val="43506B"/>
        <w:sz w:val="14"/>
        <w:szCs w:val="14"/>
      </w:rPr>
      <w:instrText>PAGE</w:instrText>
    </w:r>
    <w:r>
      <w:rPr>
        <w:color w:val="43506B"/>
        <w:sz w:val="14"/>
        <w:szCs w:val="14"/>
      </w:rPr>
      <w:fldChar w:fldCharType="separate"/>
    </w:r>
    <w:r w:rsidR="00B4229D">
      <w:rPr>
        <w:noProof/>
        <w:color w:val="43506B"/>
        <w:sz w:val="14"/>
        <w:szCs w:val="14"/>
      </w:rPr>
      <w:t>1</w:t>
    </w:r>
    <w:r>
      <w:rPr>
        <w:color w:val="43506B"/>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7EBEA" w14:textId="77777777" w:rsidR="0021379D" w:rsidRDefault="0021379D">
      <w:r>
        <w:separator/>
      </w:r>
    </w:p>
  </w:footnote>
  <w:footnote w:type="continuationSeparator" w:id="0">
    <w:p w14:paraId="75AC0B26" w14:textId="77777777" w:rsidR="0021379D" w:rsidRDefault="002137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80226"/>
    <w:multiLevelType w:val="hybridMultilevel"/>
    <w:tmpl w:val="0178A39E"/>
    <w:lvl w:ilvl="0" w:tplc="7FDCB052">
      <w:start w:val="1"/>
      <w:numFmt w:val="bullet"/>
      <w:lvlText w:val="●"/>
      <w:lvlJc w:val="left"/>
      <w:pPr>
        <w:ind w:left="720" w:hanging="360"/>
      </w:pPr>
    </w:lvl>
    <w:lvl w:ilvl="1" w:tplc="A5A2DE2E">
      <w:start w:val="1"/>
      <w:numFmt w:val="bullet"/>
      <w:lvlText w:val="○"/>
      <w:lvlJc w:val="left"/>
      <w:pPr>
        <w:ind w:left="1440" w:hanging="360"/>
      </w:pPr>
    </w:lvl>
    <w:lvl w:ilvl="2" w:tplc="27B83716">
      <w:start w:val="1"/>
      <w:numFmt w:val="bullet"/>
      <w:lvlText w:val="■"/>
      <w:lvlJc w:val="left"/>
      <w:pPr>
        <w:ind w:left="2160" w:hanging="360"/>
      </w:pPr>
    </w:lvl>
    <w:lvl w:ilvl="3" w:tplc="9D24D8F8">
      <w:start w:val="1"/>
      <w:numFmt w:val="bullet"/>
      <w:lvlText w:val="●"/>
      <w:lvlJc w:val="left"/>
      <w:pPr>
        <w:ind w:left="2880" w:hanging="360"/>
      </w:pPr>
    </w:lvl>
    <w:lvl w:ilvl="4" w:tplc="2640EC66">
      <w:start w:val="1"/>
      <w:numFmt w:val="bullet"/>
      <w:lvlText w:val="○"/>
      <w:lvlJc w:val="left"/>
      <w:pPr>
        <w:ind w:left="3600" w:hanging="360"/>
      </w:pPr>
    </w:lvl>
    <w:lvl w:ilvl="5" w:tplc="C10C9C28">
      <w:start w:val="1"/>
      <w:numFmt w:val="bullet"/>
      <w:lvlText w:val="■"/>
      <w:lvlJc w:val="left"/>
      <w:pPr>
        <w:ind w:left="4320" w:hanging="360"/>
      </w:pPr>
    </w:lvl>
    <w:lvl w:ilvl="6" w:tplc="1FF8CF70">
      <w:start w:val="1"/>
      <w:numFmt w:val="bullet"/>
      <w:lvlText w:val="●"/>
      <w:lvlJc w:val="left"/>
      <w:pPr>
        <w:ind w:left="5040" w:hanging="360"/>
      </w:pPr>
    </w:lvl>
    <w:lvl w:ilvl="7" w:tplc="AC6AF7C8">
      <w:start w:val="1"/>
      <w:numFmt w:val="bullet"/>
      <w:lvlText w:val="●"/>
      <w:lvlJc w:val="left"/>
      <w:pPr>
        <w:ind w:left="5760" w:hanging="360"/>
      </w:pPr>
    </w:lvl>
    <w:lvl w:ilvl="8" w:tplc="5F78E8E2">
      <w:start w:val="1"/>
      <w:numFmt w:val="bullet"/>
      <w:lvlText w:val="●"/>
      <w:lvlJc w:val="left"/>
      <w:pPr>
        <w:ind w:left="6480" w:hanging="360"/>
      </w:pPr>
    </w:lvl>
  </w:abstractNum>
  <w:abstractNum w:abstractNumId="1" w15:restartNumberingAfterBreak="0">
    <w:nsid w:val="3B903D70"/>
    <w:multiLevelType w:val="hybridMultilevel"/>
    <w:tmpl w:val="82C42EEA"/>
    <w:lvl w:ilvl="0" w:tplc="47C48C9E">
      <w:start w:val="1"/>
      <w:numFmt w:val="bullet"/>
      <w:lvlText w:val="•"/>
      <w:lvlJc w:val="left"/>
      <w:pPr>
        <w:ind w:left="340" w:hanging="200"/>
      </w:pPr>
      <w:rPr>
        <w:color w:val="E2710D"/>
      </w:rPr>
    </w:lvl>
    <w:lvl w:ilvl="1" w:tplc="32F06DF6">
      <w:start w:val="1"/>
      <w:numFmt w:val="bullet"/>
      <w:lvlText w:val="–"/>
      <w:lvlJc w:val="left"/>
      <w:pPr>
        <w:ind w:left="680" w:hanging="200"/>
      </w:pPr>
    </w:lvl>
    <w:lvl w:ilvl="2" w:tplc="FCB448FE">
      <w:numFmt w:val="decimal"/>
      <w:lvlText w:val=""/>
      <w:lvlJc w:val="left"/>
    </w:lvl>
    <w:lvl w:ilvl="3" w:tplc="917E2290">
      <w:numFmt w:val="decimal"/>
      <w:lvlText w:val=""/>
      <w:lvlJc w:val="left"/>
    </w:lvl>
    <w:lvl w:ilvl="4" w:tplc="56C4F74E">
      <w:numFmt w:val="decimal"/>
      <w:lvlText w:val=""/>
      <w:lvlJc w:val="left"/>
    </w:lvl>
    <w:lvl w:ilvl="5" w:tplc="EF286F6E">
      <w:numFmt w:val="decimal"/>
      <w:lvlText w:val=""/>
      <w:lvlJc w:val="left"/>
    </w:lvl>
    <w:lvl w:ilvl="6" w:tplc="57AA7F1C">
      <w:numFmt w:val="decimal"/>
      <w:lvlText w:val=""/>
      <w:lvlJc w:val="left"/>
    </w:lvl>
    <w:lvl w:ilvl="7" w:tplc="FD7E5DD4">
      <w:numFmt w:val="decimal"/>
      <w:lvlText w:val=""/>
      <w:lvlJc w:val="left"/>
    </w:lvl>
    <w:lvl w:ilvl="8" w:tplc="21BA5E9A">
      <w:numFmt w:val="decimal"/>
      <w:lvlText w:val=""/>
      <w:lvlJc w:val="left"/>
    </w:lvl>
  </w:abstractNum>
  <w:num w:numId="1" w16cid:durableId="1092433179">
    <w:abstractNumId w:val="0"/>
    <w:lvlOverride w:ilvl="0">
      <w:startOverride w:val="1"/>
    </w:lvlOverride>
  </w:num>
  <w:num w:numId="2" w16cid:durableId="199814678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4C1"/>
    <w:rsid w:val="0021379D"/>
    <w:rsid w:val="003F44C1"/>
    <w:rsid w:val="007E0624"/>
    <w:rsid w:val="00B42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BAF99"/>
  <w15:docId w15:val="{811D838C-32D2-4001-943C-8C6C261AD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4213D"/>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fsrh.or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fsrh.org" TargetMode="External"/><Relationship Id="rId17" Type="http://schemas.openxmlformats.org/officeDocument/2006/relationships/hyperlink" Target="https://bnf.nice.org.uk" TargetMode="External"/><Relationship Id="rId2" Type="http://schemas.openxmlformats.org/officeDocument/2006/relationships/styles" Target="styles.xml"/><Relationship Id="rId16" Type="http://schemas.openxmlformats.org/officeDocument/2006/relationships/hyperlink" Target="https://cks.nice.org.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srh.org/Public/Public/Standards-and-Guidance/uk-medical-eligibility-criteria-for-contraceptive-use-ukmec.aspx" TargetMode="External"/><Relationship Id="rId5" Type="http://schemas.openxmlformats.org/officeDocument/2006/relationships/footnotes" Target="footnotes.xml"/><Relationship Id="rId15" Type="http://schemas.openxmlformats.org/officeDocument/2006/relationships/hyperlink" Target="https://www.fsrh.org"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fsr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2002</Words>
  <Characters>11418</Characters>
  <Application>Microsoft Office Word</Application>
  <DocSecurity>0</DocSecurity>
  <Lines>95</Lines>
  <Paragraphs>26</Paragraphs>
  <ScaleCrop>false</ScaleCrop>
  <Company/>
  <LinksUpToDate>false</LinksUpToDate>
  <CharactersWithSpaces>13394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Contraception: What to Prescribe</dc:title>
  <dc:creator>Bradford VTS</dc:creator>
  <cp:lastModifiedBy>Ramesh Mehay</cp:lastModifiedBy>
  <cp:revision>3</cp:revision>
  <dcterms:created xsi:type="dcterms:W3CDTF">2026-06-11T17:46:00Z</dcterms:created>
  <dcterms:modified xsi:type="dcterms:W3CDTF">2026-06-12T00:16:00Z</dcterms:modified>
</cp:coreProperties>
</file>