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7FC8B9B0" w14:textId="77777777">
        <w:tblPrEx>
          <w:tblCellMar>
            <w:top w:w="0" w:type="dxa"/>
            <w:bottom w:w="0" w:type="dxa"/>
          </w:tblCellMar>
        </w:tblPrEx>
        <w:tc>
          <w:tcPr>
            <w:tcW w:w="9746" w:type="dxa"/>
            <w:shd w:val="clear" w:color="auto" w:fill="DD5F1B"/>
            <w:tcMar>
              <w:top w:w="150" w:type="dxa"/>
              <w:left w:w="220" w:type="dxa"/>
              <w:bottom w:w="150" w:type="dxa"/>
              <w:right w:w="220" w:type="dxa"/>
            </w:tcMar>
          </w:tcPr>
          <w:p w14:paraId="62A8C635" w14:textId="77777777" w:rsidR="000C07F5" w:rsidRDefault="00000000">
            <w:r>
              <w:rPr>
                <w:b/>
                <w:bCs/>
                <w:color w:val="FFFFFF"/>
                <w:spacing w:val="40"/>
                <w:sz w:val="30"/>
                <w:szCs w:val="30"/>
              </w:rPr>
              <w:t>BRADFORD VTS TEACHING AIDS</w:t>
            </w:r>
          </w:p>
        </w:tc>
      </w:tr>
    </w:tbl>
    <w:p w14:paraId="52889E5B" w14:textId="77777777" w:rsidR="000C07F5" w:rsidRDefault="00000000">
      <w:pPr>
        <w:spacing w:before="60"/>
      </w:pPr>
      <w:r>
        <w:rPr>
          <w:b/>
          <w:bCs/>
          <w:color w:val="6A7A92"/>
          <w:sz w:val="18"/>
          <w:szCs w:val="18"/>
        </w:rPr>
        <w:t>Date: June 2026</w:t>
      </w:r>
    </w:p>
    <w:p w14:paraId="5E2FE7FE" w14:textId="77777777" w:rsidR="000C07F5" w:rsidRDefault="00000000">
      <w:pPr>
        <w:spacing w:before="160" w:after="20"/>
      </w:pPr>
      <w:r>
        <w:rPr>
          <w:b/>
          <w:bCs/>
          <w:color w:val="15263F"/>
          <w:sz w:val="40"/>
          <w:szCs w:val="40"/>
        </w:rPr>
        <w:t>Investigating Infertility: Which Tests, and What They Mean</w:t>
      </w:r>
    </w:p>
    <w:p w14:paraId="6EE3DA6E" w14:textId="77777777" w:rsidR="000C07F5" w:rsidRDefault="00000000">
      <w:pPr>
        <w:pBdr>
          <w:bottom w:val="single" w:sz="14" w:space="8" w:color="0E7C86"/>
        </w:pBdr>
        <w:spacing w:after="60"/>
      </w:pPr>
      <w:r>
        <w:rPr>
          <w:i/>
          <w:iCs/>
          <w:color w:val="3F516B"/>
          <w:sz w:val="20"/>
          <w:szCs w:val="20"/>
        </w:rPr>
        <w:t xml:space="preserve">A primary-care teaching aid for GP trainees and </w:t>
      </w:r>
      <w:proofErr w:type="gramStart"/>
      <w:r>
        <w:rPr>
          <w:i/>
          <w:iCs/>
          <w:color w:val="3F516B"/>
          <w:sz w:val="20"/>
          <w:szCs w:val="20"/>
        </w:rPr>
        <w:t>IMGs  ·</w:t>
      </w:r>
      <w:proofErr w:type="gramEnd"/>
      <w:r>
        <w:rPr>
          <w:i/>
          <w:iCs/>
          <w:color w:val="3F516B"/>
          <w:sz w:val="20"/>
          <w:szCs w:val="20"/>
        </w:rPr>
        <w:t xml:space="preserve">  aligned with NICE NG257 (March 2026)</w:t>
      </w:r>
    </w:p>
    <w:p w14:paraId="363FA207" w14:textId="77777777" w:rsidR="000C07F5" w:rsidRDefault="00000000">
      <w:pPr>
        <w:spacing w:after="120" w:line="256" w:lineRule="auto"/>
      </w:pPr>
      <w:r>
        <w:t xml:space="preserve">Three questions drive every fertility work-up: is he making healthy sperm, is she ovulating, and is the path clear for egg and sperm to meet? In primary care you can answer the first two with a few simple </w:t>
      </w:r>
      <w:proofErr w:type="gramStart"/>
      <w:r>
        <w:t>tests, and</w:t>
      </w:r>
      <w:proofErr w:type="gramEnd"/>
      <w:r>
        <w:t xml:space="preserve"> refer for the third. This guide covers those tests and, just as importantly, what their results mean.</w:t>
      </w:r>
    </w:p>
    <w:p w14:paraId="2AE61A11" w14:textId="77777777" w:rsidR="003B4154" w:rsidRDefault="003B4154">
      <w:pPr>
        <w:keepNext/>
        <w:keepLines/>
        <w:spacing w:before="150"/>
        <w:rPr>
          <w:b/>
          <w:bCs/>
          <w:color w:val="0E7C86"/>
          <w:spacing w:val="30"/>
          <w:sz w:val="17"/>
          <w:szCs w:val="17"/>
        </w:rPr>
      </w:pPr>
    </w:p>
    <w:p w14:paraId="4237A7F5" w14:textId="55153D86" w:rsidR="000C07F5" w:rsidRDefault="00000000">
      <w:pPr>
        <w:keepNext/>
        <w:keepLines/>
        <w:spacing w:before="150"/>
      </w:pPr>
      <w:r>
        <w:rPr>
          <w:b/>
          <w:bCs/>
          <w:color w:val="0E7C86"/>
          <w:spacing w:val="30"/>
          <w:sz w:val="17"/>
          <w:szCs w:val="17"/>
        </w:rPr>
        <w:t>STEP 1 · THE STARTING POINT</w:t>
      </w:r>
    </w:p>
    <w:p w14:paraId="6C332B6E" w14:textId="77777777" w:rsidR="000C07F5" w:rsidRDefault="00000000">
      <w:pPr>
        <w:keepNext/>
        <w:keepLines/>
        <w:pBdr>
          <w:bottom w:val="single" w:sz="10" w:space="6" w:color="DD5F1B"/>
        </w:pBdr>
        <w:spacing w:before="10" w:after="120"/>
      </w:pPr>
      <w:r>
        <w:rPr>
          <w:b/>
          <w:bCs/>
          <w:color w:val="15263F"/>
          <w:sz w:val="27"/>
          <w:szCs w:val="27"/>
        </w:rPr>
        <w:t>When to test, and who to test</w:t>
      </w:r>
    </w:p>
    <w:p w14:paraId="02161B78" w14:textId="77777777" w:rsidR="000C07F5" w:rsidRDefault="00000000">
      <w:pPr>
        <w:spacing w:after="120" w:line="256" w:lineRule="auto"/>
      </w:pPr>
      <w:r>
        <w:t>Define infertility in practice as not conceiving after 12 months of regular unprotected vaginal sex, with no known cause. At that point you must offer assessment and investigation to both partners — and test them together, not one after the other.</w:t>
      </w:r>
    </w:p>
    <w:p w14:paraId="25286B7D" w14:textId="77777777" w:rsidR="000C07F5" w:rsidRDefault="00000000">
      <w:pPr>
        <w:spacing w:before="30" w:after="80"/>
        <w:jc w:val="center"/>
      </w:pPr>
      <w:r>
        <w:rPr>
          <w:noProof/>
        </w:rPr>
        <w:drawing>
          <wp:inline distT="0" distB="0" distL="0" distR="0" wp14:anchorId="235ED582" wp14:editId="08319BD8">
            <wp:extent cx="5181600" cy="2076450"/>
            <wp:effectExtent l="0" t="0" r="0" b="0"/>
            <wp:docPr id="1" name="flow" descr="flow diagram" title="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181600" cy="2076450"/>
                    </a:xfrm>
                    <a:prstGeom prst="rect">
                      <a:avLst/>
                    </a:prstGeom>
                  </pic:spPr>
                </pic:pic>
              </a:graphicData>
            </a:graphic>
          </wp:inline>
        </w:drawing>
      </w:r>
    </w:p>
    <w:tbl>
      <w:tblPr>
        <w:tblW w:w="9746" w:type="dxa"/>
        <w:tblBorders>
          <w:top w:val="single" w:sz="4" w:space="0" w:color="FCEDE3"/>
          <w:left w:val="single" w:sz="26" w:space="0" w:color="DD5F1B"/>
          <w:bottom w:val="single" w:sz="4" w:space="0" w:color="FCEDE3"/>
          <w:right w:val="single" w:sz="4" w:space="0" w:color="FCEDE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142020FF" w14:textId="77777777">
        <w:tblPrEx>
          <w:tblCellMar>
            <w:top w:w="0" w:type="dxa"/>
            <w:bottom w:w="0" w:type="dxa"/>
          </w:tblCellMar>
        </w:tblPrEx>
        <w:tc>
          <w:tcPr>
            <w:tcW w:w="9746" w:type="dxa"/>
            <w:shd w:val="clear" w:color="auto" w:fill="FCEDE3"/>
            <w:tcMar>
              <w:top w:w="88" w:type="dxa"/>
              <w:left w:w="200" w:type="dxa"/>
              <w:bottom w:w="88" w:type="dxa"/>
              <w:right w:w="160" w:type="dxa"/>
            </w:tcMar>
          </w:tcPr>
          <w:p w14:paraId="1AB06A4A" w14:textId="77777777" w:rsidR="000C07F5" w:rsidRDefault="00000000">
            <w:pPr>
              <w:spacing w:after="60" w:line="264" w:lineRule="auto"/>
            </w:pPr>
            <w:r>
              <w:rPr>
                <w:b/>
                <w:bCs/>
                <w:color w:val="DD5F1B"/>
                <w:spacing w:val="20"/>
                <w:sz w:val="19"/>
                <w:szCs w:val="19"/>
              </w:rPr>
              <w:t>Refer at the first visit — do not wait the year — if any of these apply</w:t>
            </w:r>
          </w:p>
          <w:p w14:paraId="7CEA551F" w14:textId="77777777" w:rsidR="000C07F5" w:rsidRDefault="00000000">
            <w:pPr>
              <w:spacing w:after="50" w:line="268" w:lineRule="auto"/>
            </w:pPr>
            <w:r>
              <w:rPr>
                <w:sz w:val="20"/>
                <w:szCs w:val="20"/>
              </w:rPr>
              <w:t xml:space="preserve">•  the woman, trans man or non-binary person trying to conceive is </w:t>
            </w:r>
            <w:r>
              <w:rPr>
                <w:b/>
                <w:bCs/>
                <w:sz w:val="20"/>
                <w:szCs w:val="20"/>
              </w:rPr>
              <w:t>aged 36 or over</w:t>
            </w:r>
          </w:p>
          <w:p w14:paraId="44D087F6" w14:textId="77777777" w:rsidR="000C07F5" w:rsidRDefault="00000000">
            <w:pPr>
              <w:spacing w:after="50" w:line="268" w:lineRule="auto"/>
            </w:pPr>
            <w:r>
              <w:rPr>
                <w:sz w:val="20"/>
                <w:szCs w:val="20"/>
              </w:rPr>
              <w:t xml:space="preserve">•  either partner has a </w:t>
            </w:r>
            <w:r>
              <w:rPr>
                <w:b/>
                <w:bCs/>
                <w:sz w:val="20"/>
                <w:szCs w:val="20"/>
              </w:rPr>
              <w:t>known or suspected cause of infertility</w:t>
            </w:r>
            <w:r>
              <w:rPr>
                <w:sz w:val="20"/>
                <w:szCs w:val="20"/>
              </w:rPr>
              <w:t xml:space="preserve"> or a predisposing risk factor</w:t>
            </w:r>
          </w:p>
          <w:p w14:paraId="0EFCD265" w14:textId="77777777" w:rsidR="000C07F5" w:rsidRDefault="00000000">
            <w:pPr>
              <w:spacing w:line="268" w:lineRule="auto"/>
            </w:pPr>
            <w:r>
              <w:rPr>
                <w:sz w:val="20"/>
                <w:szCs w:val="20"/>
              </w:rPr>
              <w:t xml:space="preserve">•  a planned treatment may harm fertility (for example cancer therapy) — </w:t>
            </w:r>
            <w:r>
              <w:rPr>
                <w:b/>
                <w:bCs/>
                <w:color w:val="B0480F"/>
                <w:sz w:val="20"/>
                <w:szCs w:val="20"/>
              </w:rPr>
              <w:t>expedite the referral</w:t>
            </w:r>
          </w:p>
        </w:tc>
      </w:tr>
      <w:tr w:rsidR="000C07F5" w14:paraId="7FA7E6AB" w14:textId="77777777">
        <w:tblPrEx>
          <w:tblBorders>
            <w:top w:val="single" w:sz="4" w:space="0" w:color="E8F1FB"/>
            <w:left w:val="single" w:sz="26" w:space="0" w:color="1763B0"/>
            <w:bottom w:val="single" w:sz="4" w:space="0" w:color="E8F1FB"/>
            <w:right w:val="single" w:sz="4" w:space="0" w:color="E8F1FB"/>
          </w:tblBorders>
          <w:tblCellMar>
            <w:top w:w="0" w:type="dxa"/>
            <w:bottom w:w="0" w:type="dxa"/>
          </w:tblCellMar>
        </w:tblPrEx>
        <w:tc>
          <w:tcPr>
            <w:tcW w:w="9746" w:type="dxa"/>
            <w:shd w:val="clear" w:color="auto" w:fill="E8F1FB"/>
            <w:tcMar>
              <w:top w:w="88" w:type="dxa"/>
              <w:left w:w="200" w:type="dxa"/>
              <w:bottom w:w="88" w:type="dxa"/>
              <w:right w:w="160" w:type="dxa"/>
            </w:tcMar>
          </w:tcPr>
          <w:p w14:paraId="2F9E81DF" w14:textId="77777777" w:rsidR="000C07F5" w:rsidRDefault="00000000">
            <w:pPr>
              <w:spacing w:after="60" w:line="264" w:lineRule="auto"/>
            </w:pPr>
            <w:r>
              <w:rPr>
                <w:b/>
                <w:bCs/>
                <w:color w:val="1763B0"/>
                <w:spacing w:val="20"/>
                <w:sz w:val="19"/>
                <w:szCs w:val="19"/>
              </w:rPr>
              <w:t>Reassure while you investigate</w:t>
            </w:r>
          </w:p>
          <w:p w14:paraId="6EE91A6E" w14:textId="77777777" w:rsidR="000C07F5" w:rsidRDefault="00000000">
            <w:pPr>
              <w:spacing w:line="268" w:lineRule="auto"/>
            </w:pPr>
            <w:r>
              <w:rPr>
                <w:sz w:val="20"/>
                <w:szCs w:val="20"/>
              </w:rPr>
              <w:t>Over 80% of couples conceive within a year of regular unprotected sex; about half of the rest conceive during the second year. Advise sex every 2–3 days. Source: NICE NG257.</w:t>
            </w:r>
          </w:p>
        </w:tc>
      </w:tr>
    </w:tbl>
    <w:p w14:paraId="2E6F4595" w14:textId="77777777" w:rsidR="003B4154" w:rsidRDefault="003B4154">
      <w:pPr>
        <w:keepNext/>
        <w:keepLines/>
        <w:spacing w:before="150"/>
        <w:rPr>
          <w:b/>
          <w:bCs/>
          <w:color w:val="6A3FA0"/>
          <w:spacing w:val="30"/>
          <w:sz w:val="17"/>
          <w:szCs w:val="17"/>
        </w:rPr>
      </w:pPr>
    </w:p>
    <w:p w14:paraId="46209FD3" w14:textId="77777777" w:rsidR="003B4154" w:rsidRDefault="003B4154">
      <w:pPr>
        <w:rPr>
          <w:b/>
          <w:bCs/>
          <w:color w:val="6A3FA0"/>
          <w:spacing w:val="30"/>
          <w:sz w:val="17"/>
          <w:szCs w:val="17"/>
        </w:rPr>
      </w:pPr>
      <w:r>
        <w:rPr>
          <w:b/>
          <w:bCs/>
          <w:color w:val="6A3FA0"/>
          <w:spacing w:val="30"/>
          <w:sz w:val="17"/>
          <w:szCs w:val="17"/>
        </w:rPr>
        <w:br w:type="page"/>
      </w:r>
    </w:p>
    <w:p w14:paraId="67491FEF" w14:textId="7DCD4017" w:rsidR="000C07F5" w:rsidRDefault="00000000">
      <w:pPr>
        <w:keepNext/>
        <w:keepLines/>
        <w:spacing w:before="150"/>
      </w:pPr>
      <w:r>
        <w:rPr>
          <w:b/>
          <w:bCs/>
          <w:color w:val="6A3FA0"/>
          <w:spacing w:val="30"/>
          <w:sz w:val="17"/>
          <w:szCs w:val="17"/>
        </w:rPr>
        <w:lastRenderedPageBreak/>
        <w:t>STEP 2 · THE MAN</w:t>
      </w:r>
    </w:p>
    <w:p w14:paraId="7B5B10BA" w14:textId="77777777" w:rsidR="000C07F5" w:rsidRDefault="00000000">
      <w:pPr>
        <w:keepNext/>
        <w:keepLines/>
        <w:pBdr>
          <w:bottom w:val="single" w:sz="10" w:space="6" w:color="DD5F1B"/>
        </w:pBdr>
        <w:spacing w:before="10" w:after="120"/>
      </w:pPr>
      <w:r>
        <w:rPr>
          <w:b/>
          <w:bCs/>
          <w:color w:val="15263F"/>
          <w:sz w:val="27"/>
          <w:szCs w:val="27"/>
        </w:rPr>
        <w:t>Testing the man: the semen analysis</w:t>
      </w:r>
    </w:p>
    <w:p w14:paraId="6F9DA7E7" w14:textId="77777777" w:rsidR="000C07F5" w:rsidRDefault="00000000">
      <w:pPr>
        <w:spacing w:after="100" w:line="256" w:lineRule="auto"/>
      </w:pPr>
      <w:r>
        <w:t xml:space="preserve">One test answers the male question: the </w:t>
      </w:r>
      <w:r>
        <w:rPr>
          <w:b/>
          <w:bCs/>
          <w:color w:val="15263F"/>
        </w:rPr>
        <w:t>semen analysis</w:t>
      </w:r>
      <w:r>
        <w:t xml:space="preserve">. It is the single most useful investigation in the man, so arrange it early. Think of it as a stock-take of three things — how </w:t>
      </w:r>
      <w:r>
        <w:rPr>
          <w:i/>
          <w:iCs/>
        </w:rPr>
        <w:t>many</w:t>
      </w:r>
      <w:r>
        <w:t xml:space="preserve"> sperm there are, how well they </w:t>
      </w:r>
      <w:r>
        <w:rPr>
          <w:i/>
          <w:iCs/>
        </w:rPr>
        <w:t>swim</w:t>
      </w:r>
      <w:r>
        <w:t xml:space="preserve">, and how well they are </w:t>
      </w:r>
      <w:r>
        <w:rPr>
          <w:i/>
          <w:iCs/>
        </w:rPr>
        <w:t>built</w:t>
      </w:r>
      <w:r>
        <w:t>.</w:t>
      </w:r>
    </w:p>
    <w:p w14:paraId="0E3F3E55" w14:textId="77777777" w:rsidR="000C07F5" w:rsidRDefault="00000000">
      <w:pPr>
        <w:spacing w:before="30" w:after="80"/>
        <w:jc w:val="center"/>
      </w:pPr>
      <w:r>
        <w:rPr>
          <w:noProof/>
        </w:rPr>
        <w:drawing>
          <wp:inline distT="0" distB="0" distL="0" distR="0" wp14:anchorId="7234691C" wp14:editId="5FB1477D">
            <wp:extent cx="5181600" cy="1552575"/>
            <wp:effectExtent l="0" t="0" r="0" b="0"/>
            <wp:docPr id="1605602316" name="semen" descr="semen diagram" title="s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181600" cy="1552575"/>
                    </a:xfrm>
                    <a:prstGeom prst="rect">
                      <a:avLst/>
                    </a:prstGeom>
                  </pic:spPr>
                </pic:pic>
              </a:graphicData>
            </a:graphic>
          </wp:inline>
        </w:drawing>
      </w:r>
    </w:p>
    <w:p w14:paraId="2B470EA2" w14:textId="77777777" w:rsidR="000C07F5" w:rsidRDefault="00000000">
      <w:pPr>
        <w:spacing w:after="80" w:line="256" w:lineRule="auto"/>
      </w:pPr>
      <w:r>
        <w:t>Compare the result against the World Health Organization (WHO) 6th-edition reference values — the figures NICE NG257 uses:</w:t>
      </w:r>
    </w:p>
    <w:tbl>
      <w:tblPr>
        <w:tblW w:w="9746" w:type="dxa"/>
        <w:tblBorders>
          <w:top w:val="single" w:sz="3" w:space="0" w:color="D4DCE6"/>
          <w:left w:val="single" w:sz="3" w:space="0" w:color="D4DCE6"/>
          <w:bottom w:val="single" w:sz="3" w:space="0" w:color="D4DCE6"/>
          <w:right w:val="single" w:sz="3" w:space="0" w:color="D4DCE6"/>
          <w:insideH w:val="single" w:sz="3" w:space="0" w:color="D4DCE6"/>
          <w:insideV w:val="single" w:sz="3" w:space="0" w:color="D4DCE6"/>
        </w:tblBorders>
        <w:tblCellMar>
          <w:left w:w="10" w:type="dxa"/>
          <w:right w:w="10" w:type="dxa"/>
        </w:tblCellMar>
        <w:tblLook w:val="04A0" w:firstRow="1" w:lastRow="0" w:firstColumn="1" w:lastColumn="0" w:noHBand="0" w:noVBand="1"/>
      </w:tblPr>
      <w:tblGrid>
        <w:gridCol w:w="5400"/>
        <w:gridCol w:w="4346"/>
      </w:tblGrid>
      <w:tr w:rsidR="000C07F5" w14:paraId="1C9DA514" w14:textId="77777777">
        <w:tblPrEx>
          <w:tblCellMar>
            <w:top w:w="0" w:type="dxa"/>
            <w:bottom w:w="0" w:type="dxa"/>
          </w:tblCellMar>
        </w:tblPrEx>
        <w:trPr>
          <w:tblHeader/>
        </w:trPr>
        <w:tc>
          <w:tcPr>
            <w:tcW w:w="540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600928D4" w14:textId="77777777" w:rsidR="000C07F5" w:rsidRDefault="00000000">
            <w:pPr>
              <w:spacing w:line="248" w:lineRule="auto"/>
            </w:pPr>
            <w:r>
              <w:rPr>
                <w:b/>
                <w:bCs/>
                <w:color w:val="FFFFFF"/>
                <w:sz w:val="19"/>
                <w:szCs w:val="19"/>
              </w:rPr>
              <w:t>Parameter</w:t>
            </w:r>
          </w:p>
        </w:tc>
        <w:tc>
          <w:tcPr>
            <w:tcW w:w="4346"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5A702DE6" w14:textId="77777777" w:rsidR="000C07F5" w:rsidRDefault="00000000">
            <w:pPr>
              <w:spacing w:line="248" w:lineRule="auto"/>
            </w:pPr>
            <w:r>
              <w:rPr>
                <w:b/>
                <w:bCs/>
                <w:color w:val="FFFFFF"/>
                <w:sz w:val="19"/>
                <w:szCs w:val="19"/>
              </w:rPr>
              <w:t>Lower reference value (normal is at or above)</w:t>
            </w:r>
          </w:p>
        </w:tc>
      </w:tr>
      <w:tr w:rsidR="000C07F5" w14:paraId="5575392D"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6D29F8B" w14:textId="77777777" w:rsidR="000C07F5" w:rsidRDefault="00000000">
            <w:pPr>
              <w:spacing w:line="248" w:lineRule="auto"/>
            </w:pPr>
            <w:r>
              <w:rPr>
                <w:sz w:val="19"/>
                <w:szCs w:val="19"/>
              </w:rPr>
              <w:t>Semen volume</w:t>
            </w:r>
          </w:p>
        </w:tc>
        <w:tc>
          <w:tcPr>
            <w:tcW w:w="43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393F88F0" w14:textId="77777777" w:rsidR="000C07F5" w:rsidRDefault="00000000">
            <w:pPr>
              <w:spacing w:line="248" w:lineRule="auto"/>
            </w:pPr>
            <w:r>
              <w:rPr>
                <w:sz w:val="19"/>
                <w:szCs w:val="19"/>
              </w:rPr>
              <w:t>1.4 mL</w:t>
            </w:r>
          </w:p>
        </w:tc>
      </w:tr>
      <w:tr w:rsidR="000C07F5" w14:paraId="71627124"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0D1F52F6" w14:textId="77777777" w:rsidR="000C07F5" w:rsidRDefault="00000000">
            <w:pPr>
              <w:spacing w:line="248" w:lineRule="auto"/>
            </w:pPr>
            <w:r>
              <w:rPr>
                <w:sz w:val="19"/>
                <w:szCs w:val="19"/>
              </w:rPr>
              <w:t>pH</w:t>
            </w:r>
          </w:p>
        </w:tc>
        <w:tc>
          <w:tcPr>
            <w:tcW w:w="43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05BE5228" w14:textId="77777777" w:rsidR="000C07F5" w:rsidRDefault="00000000">
            <w:pPr>
              <w:spacing w:line="248" w:lineRule="auto"/>
            </w:pPr>
            <w:r>
              <w:rPr>
                <w:sz w:val="19"/>
                <w:szCs w:val="19"/>
              </w:rPr>
              <w:t>7.2</w:t>
            </w:r>
          </w:p>
        </w:tc>
      </w:tr>
      <w:tr w:rsidR="000C07F5" w14:paraId="6D6AAA1B"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89B5D26" w14:textId="77777777" w:rsidR="000C07F5" w:rsidRDefault="00000000">
            <w:pPr>
              <w:spacing w:line="248" w:lineRule="auto"/>
            </w:pPr>
            <w:r>
              <w:rPr>
                <w:b/>
                <w:bCs/>
                <w:sz w:val="19"/>
                <w:szCs w:val="19"/>
              </w:rPr>
              <w:t>Sperm concentration</w:t>
            </w:r>
          </w:p>
        </w:tc>
        <w:tc>
          <w:tcPr>
            <w:tcW w:w="43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2B516A60" w14:textId="77777777" w:rsidR="000C07F5" w:rsidRDefault="00000000">
            <w:pPr>
              <w:spacing w:line="248" w:lineRule="auto"/>
            </w:pPr>
            <w:r>
              <w:rPr>
                <w:b/>
                <w:bCs/>
                <w:color w:val="0E7C86"/>
                <w:sz w:val="19"/>
                <w:szCs w:val="19"/>
              </w:rPr>
              <w:t>16 million per mL</w:t>
            </w:r>
          </w:p>
        </w:tc>
      </w:tr>
      <w:tr w:rsidR="000C07F5" w14:paraId="181FA549"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300CC7B8" w14:textId="77777777" w:rsidR="000C07F5" w:rsidRDefault="00000000">
            <w:pPr>
              <w:spacing w:line="248" w:lineRule="auto"/>
            </w:pPr>
            <w:r>
              <w:rPr>
                <w:sz w:val="19"/>
                <w:szCs w:val="19"/>
              </w:rPr>
              <w:t>Total sperm number</w:t>
            </w:r>
          </w:p>
        </w:tc>
        <w:tc>
          <w:tcPr>
            <w:tcW w:w="43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7556A5B2" w14:textId="77777777" w:rsidR="000C07F5" w:rsidRDefault="00000000">
            <w:pPr>
              <w:spacing w:line="248" w:lineRule="auto"/>
            </w:pPr>
            <w:r>
              <w:rPr>
                <w:sz w:val="19"/>
                <w:szCs w:val="19"/>
              </w:rPr>
              <w:t>39 million per ejaculate</w:t>
            </w:r>
          </w:p>
        </w:tc>
      </w:tr>
      <w:tr w:rsidR="000C07F5" w14:paraId="2B2A98CB"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1114B2AC" w14:textId="77777777" w:rsidR="000C07F5" w:rsidRDefault="00000000">
            <w:pPr>
              <w:spacing w:line="248" w:lineRule="auto"/>
            </w:pPr>
            <w:r>
              <w:rPr>
                <w:b/>
                <w:bCs/>
                <w:sz w:val="19"/>
                <w:szCs w:val="19"/>
              </w:rPr>
              <w:t>Total motility (progressive + non-progressive)</w:t>
            </w:r>
          </w:p>
        </w:tc>
        <w:tc>
          <w:tcPr>
            <w:tcW w:w="43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2171918" w14:textId="77777777" w:rsidR="000C07F5" w:rsidRDefault="00000000">
            <w:pPr>
              <w:spacing w:line="248" w:lineRule="auto"/>
            </w:pPr>
            <w:r>
              <w:rPr>
                <w:b/>
                <w:bCs/>
                <w:color w:val="0E7C86"/>
                <w:sz w:val="19"/>
                <w:szCs w:val="19"/>
              </w:rPr>
              <w:t>42% motile</w:t>
            </w:r>
          </w:p>
        </w:tc>
      </w:tr>
      <w:tr w:rsidR="000C07F5" w14:paraId="4D56A807"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1C346CE1" w14:textId="77777777" w:rsidR="000C07F5" w:rsidRDefault="00000000">
            <w:pPr>
              <w:spacing w:line="248" w:lineRule="auto"/>
            </w:pPr>
            <w:r>
              <w:rPr>
                <w:sz w:val="19"/>
                <w:szCs w:val="19"/>
              </w:rPr>
              <w:t>Progressive motility</w:t>
            </w:r>
          </w:p>
        </w:tc>
        <w:tc>
          <w:tcPr>
            <w:tcW w:w="43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2241B201" w14:textId="77777777" w:rsidR="000C07F5" w:rsidRDefault="00000000">
            <w:pPr>
              <w:spacing w:line="248" w:lineRule="auto"/>
            </w:pPr>
            <w:r>
              <w:rPr>
                <w:sz w:val="19"/>
                <w:szCs w:val="19"/>
              </w:rPr>
              <w:t>30%</w:t>
            </w:r>
          </w:p>
        </w:tc>
      </w:tr>
      <w:tr w:rsidR="000C07F5" w14:paraId="670E18BC"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10790251" w14:textId="77777777" w:rsidR="000C07F5" w:rsidRDefault="00000000">
            <w:pPr>
              <w:spacing w:line="248" w:lineRule="auto"/>
            </w:pPr>
            <w:r>
              <w:rPr>
                <w:sz w:val="19"/>
                <w:szCs w:val="19"/>
              </w:rPr>
              <w:t>Vitality</w:t>
            </w:r>
          </w:p>
        </w:tc>
        <w:tc>
          <w:tcPr>
            <w:tcW w:w="43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0D5A94E0" w14:textId="77777777" w:rsidR="000C07F5" w:rsidRDefault="00000000">
            <w:pPr>
              <w:spacing w:line="248" w:lineRule="auto"/>
            </w:pPr>
            <w:r>
              <w:rPr>
                <w:sz w:val="19"/>
                <w:szCs w:val="19"/>
              </w:rPr>
              <w:t>54% live spermatozoa</w:t>
            </w:r>
          </w:p>
        </w:tc>
      </w:tr>
      <w:tr w:rsidR="000C07F5" w14:paraId="0F3E22D9" w14:textId="77777777">
        <w:tblPrEx>
          <w:tblCellMar>
            <w:top w:w="0" w:type="dxa"/>
            <w:bottom w:w="0" w:type="dxa"/>
          </w:tblCellMar>
        </w:tblPrEx>
        <w:tc>
          <w:tcPr>
            <w:tcW w:w="54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22D7C974" w14:textId="77777777" w:rsidR="000C07F5" w:rsidRDefault="00000000">
            <w:pPr>
              <w:spacing w:line="248" w:lineRule="auto"/>
            </w:pPr>
            <w:r>
              <w:rPr>
                <w:b/>
                <w:bCs/>
                <w:sz w:val="19"/>
                <w:szCs w:val="19"/>
              </w:rPr>
              <w:t>Sperm morphology (normal forms)</w:t>
            </w:r>
          </w:p>
        </w:tc>
        <w:tc>
          <w:tcPr>
            <w:tcW w:w="43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4B5822DC" w14:textId="77777777" w:rsidR="000C07F5" w:rsidRDefault="00000000">
            <w:pPr>
              <w:spacing w:line="248" w:lineRule="auto"/>
            </w:pPr>
            <w:r>
              <w:rPr>
                <w:b/>
                <w:bCs/>
                <w:color w:val="0E7C86"/>
                <w:sz w:val="19"/>
                <w:szCs w:val="19"/>
              </w:rPr>
              <w:t>4% normal forms</w:t>
            </w:r>
          </w:p>
        </w:tc>
      </w:tr>
    </w:tbl>
    <w:p w14:paraId="5DCB98E6" w14:textId="77777777" w:rsidR="000C07F5" w:rsidRDefault="000C07F5">
      <w:pPr>
        <w:spacing w:after="60"/>
      </w:pPr>
    </w:p>
    <w:tbl>
      <w:tblPr>
        <w:tblW w:w="9746" w:type="dxa"/>
        <w:tblBorders>
          <w:top w:val="single" w:sz="4" w:space="0" w:color="FBF0D9"/>
          <w:left w:val="single" w:sz="26" w:space="0" w:color="B0730A"/>
          <w:bottom w:val="single" w:sz="4" w:space="0" w:color="FBF0D9"/>
          <w:right w:val="single" w:sz="4" w:space="0" w:color="FBF0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3C0E92AB" w14:textId="77777777">
        <w:tblPrEx>
          <w:tblCellMar>
            <w:top w:w="0" w:type="dxa"/>
            <w:bottom w:w="0" w:type="dxa"/>
          </w:tblCellMar>
        </w:tblPrEx>
        <w:tc>
          <w:tcPr>
            <w:tcW w:w="9746" w:type="dxa"/>
            <w:shd w:val="clear" w:color="auto" w:fill="FBF0D9"/>
            <w:tcMar>
              <w:top w:w="88" w:type="dxa"/>
              <w:left w:w="200" w:type="dxa"/>
              <w:bottom w:w="88" w:type="dxa"/>
              <w:right w:w="160" w:type="dxa"/>
            </w:tcMar>
          </w:tcPr>
          <w:p w14:paraId="66B5A6FD" w14:textId="77777777" w:rsidR="000C07F5" w:rsidRDefault="00000000">
            <w:pPr>
              <w:spacing w:after="60" w:line="264" w:lineRule="auto"/>
            </w:pPr>
            <w:r>
              <w:rPr>
                <w:b/>
                <w:bCs/>
                <w:color w:val="B0730A"/>
                <w:spacing w:val="20"/>
                <w:sz w:val="19"/>
                <w:szCs w:val="19"/>
              </w:rPr>
              <w:t>What changed — and why it matters</w:t>
            </w:r>
          </w:p>
          <w:p w14:paraId="61D42647" w14:textId="77777777" w:rsidR="000C07F5" w:rsidRDefault="00000000">
            <w:pPr>
              <w:spacing w:after="50" w:line="268" w:lineRule="auto"/>
            </w:pPr>
            <w:r>
              <w:rPr>
                <w:sz w:val="20"/>
                <w:szCs w:val="20"/>
              </w:rPr>
              <w:t xml:space="preserve">Older teaching used the 1999 WHO figures: concentration &gt;20 million/mL, motility &gt;50%, morphology &gt;30% normal forms. </w:t>
            </w:r>
            <w:r>
              <w:rPr>
                <w:b/>
                <w:bCs/>
                <w:color w:val="B0480F"/>
                <w:sz w:val="20"/>
                <w:szCs w:val="20"/>
              </w:rPr>
              <w:t>These are out of date.</w:t>
            </w:r>
          </w:p>
          <w:p w14:paraId="22CD60FD" w14:textId="77777777" w:rsidR="000C07F5" w:rsidRDefault="00000000">
            <w:pPr>
              <w:spacing w:line="268" w:lineRule="auto"/>
            </w:pPr>
            <w:r>
              <w:rPr>
                <w:sz w:val="20"/>
                <w:szCs w:val="20"/>
              </w:rPr>
              <w:t xml:space="preserve">The current limits are markedly lower — most strikingly morphology, now </w:t>
            </w:r>
            <w:r>
              <w:rPr>
                <w:b/>
                <w:bCs/>
                <w:sz w:val="20"/>
                <w:szCs w:val="20"/>
              </w:rPr>
              <w:t>4% (not 30%)</w:t>
            </w:r>
            <w:r>
              <w:rPr>
                <w:sz w:val="20"/>
                <w:szCs w:val="20"/>
              </w:rPr>
              <w:t>. Judging a modern sample by the old numbers wrongly labels many fertile men as abnormal and causes needless worry and referral.</w:t>
            </w:r>
          </w:p>
        </w:tc>
      </w:tr>
    </w:tbl>
    <w:p w14:paraId="161D6BE9" w14:textId="77777777" w:rsidR="000C07F5" w:rsidRDefault="00000000">
      <w:pPr>
        <w:spacing w:after="80" w:line="256" w:lineRule="auto"/>
      </w:pPr>
      <w:r>
        <w:rPr>
          <w:b/>
          <w:bCs/>
          <w:color w:val="15263F"/>
        </w:rPr>
        <w:t>Acting on the result.</w:t>
      </w:r>
      <w:r>
        <w:t xml:space="preserve"> Treat a single result with caution — collection and timing strongly affect it.</w:t>
      </w:r>
    </w:p>
    <w:tbl>
      <w:tblPr>
        <w:tblW w:w="9746" w:type="dxa"/>
        <w:tblBorders>
          <w:top w:val="single" w:sz="3" w:space="0" w:color="D4DCE6"/>
          <w:left w:val="single" w:sz="3" w:space="0" w:color="D4DCE6"/>
          <w:bottom w:val="single" w:sz="3" w:space="0" w:color="D4DCE6"/>
          <w:right w:val="single" w:sz="3" w:space="0" w:color="D4DCE6"/>
          <w:insideH w:val="single" w:sz="3" w:space="0" w:color="D4DCE6"/>
          <w:insideV w:val="single" w:sz="3" w:space="0" w:color="D4DCE6"/>
        </w:tblBorders>
        <w:tblCellMar>
          <w:left w:w="10" w:type="dxa"/>
          <w:right w:w="10" w:type="dxa"/>
        </w:tblCellMar>
        <w:tblLook w:val="04A0" w:firstRow="1" w:lastRow="0" w:firstColumn="1" w:lastColumn="0" w:noHBand="0" w:noVBand="1"/>
      </w:tblPr>
      <w:tblGrid>
        <w:gridCol w:w="3100"/>
        <w:gridCol w:w="6646"/>
      </w:tblGrid>
      <w:tr w:rsidR="000C07F5" w14:paraId="7CEA6E51" w14:textId="77777777">
        <w:tblPrEx>
          <w:tblCellMar>
            <w:top w:w="0" w:type="dxa"/>
            <w:bottom w:w="0" w:type="dxa"/>
          </w:tblCellMar>
        </w:tblPrEx>
        <w:trPr>
          <w:tblHeader/>
        </w:trPr>
        <w:tc>
          <w:tcPr>
            <w:tcW w:w="310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01C18F8F" w14:textId="77777777" w:rsidR="000C07F5" w:rsidRDefault="00000000">
            <w:pPr>
              <w:spacing w:line="248" w:lineRule="auto"/>
            </w:pPr>
            <w:r>
              <w:rPr>
                <w:b/>
                <w:bCs/>
                <w:color w:val="FFFFFF"/>
                <w:sz w:val="19"/>
                <w:szCs w:val="19"/>
              </w:rPr>
              <w:t>Recognise</w:t>
            </w:r>
          </w:p>
        </w:tc>
        <w:tc>
          <w:tcPr>
            <w:tcW w:w="6646"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79AD001E" w14:textId="77777777" w:rsidR="000C07F5" w:rsidRDefault="00000000">
            <w:pPr>
              <w:spacing w:line="248" w:lineRule="auto"/>
            </w:pPr>
            <w:r>
              <w:rPr>
                <w:b/>
                <w:bCs/>
                <w:color w:val="FFFFFF"/>
                <w:sz w:val="19"/>
                <w:szCs w:val="19"/>
              </w:rPr>
              <w:t>Act</w:t>
            </w:r>
          </w:p>
        </w:tc>
      </w:tr>
      <w:tr w:rsidR="000C07F5" w14:paraId="5029B5FE" w14:textId="77777777">
        <w:tblPrEx>
          <w:tblCellMar>
            <w:top w:w="0" w:type="dxa"/>
            <w:bottom w:w="0" w:type="dxa"/>
          </w:tblCellMar>
        </w:tblPrEx>
        <w:tc>
          <w:tcPr>
            <w:tcW w:w="31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48970E17" w14:textId="77777777" w:rsidR="000C07F5" w:rsidRDefault="00000000">
            <w:pPr>
              <w:spacing w:line="248" w:lineRule="auto"/>
            </w:pPr>
            <w:r>
              <w:rPr>
                <w:b/>
                <w:bCs/>
                <w:sz w:val="19"/>
                <w:szCs w:val="19"/>
              </w:rPr>
              <w:t>First sample abnormal</w:t>
            </w:r>
          </w:p>
        </w:tc>
        <w:tc>
          <w:tcPr>
            <w:tcW w:w="66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6045B26" w14:textId="77777777" w:rsidR="000C07F5" w:rsidRDefault="00000000">
            <w:pPr>
              <w:spacing w:line="248" w:lineRule="auto"/>
            </w:pPr>
            <w:r>
              <w:rPr>
                <w:sz w:val="19"/>
                <w:szCs w:val="19"/>
              </w:rPr>
              <w:t>You must offer a repeat confirmatory test. Time it about 3 months after the first, to cover one full sperm-production cycle.</w:t>
            </w:r>
          </w:p>
        </w:tc>
      </w:tr>
      <w:tr w:rsidR="000C07F5" w14:paraId="4D9B82FB" w14:textId="77777777">
        <w:tblPrEx>
          <w:tblCellMar>
            <w:top w:w="0" w:type="dxa"/>
            <w:bottom w:w="0" w:type="dxa"/>
          </w:tblCellMar>
        </w:tblPrEx>
        <w:tc>
          <w:tcPr>
            <w:tcW w:w="31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6B37AE68" w14:textId="77777777" w:rsidR="000C07F5" w:rsidRDefault="00000000">
            <w:pPr>
              <w:spacing w:line="248" w:lineRule="auto"/>
            </w:pPr>
            <w:r>
              <w:rPr>
                <w:b/>
                <w:bCs/>
                <w:color w:val="C62A2A"/>
                <w:sz w:val="19"/>
                <w:szCs w:val="19"/>
              </w:rPr>
              <w:t xml:space="preserve">Azoospermia or severe </w:t>
            </w:r>
            <w:proofErr w:type="spellStart"/>
            <w:r>
              <w:rPr>
                <w:b/>
                <w:bCs/>
                <w:color w:val="C62A2A"/>
                <w:sz w:val="19"/>
                <w:szCs w:val="19"/>
              </w:rPr>
              <w:t>oligozoospermia</w:t>
            </w:r>
            <w:proofErr w:type="spellEnd"/>
          </w:p>
        </w:tc>
        <w:tc>
          <w:tcPr>
            <w:tcW w:w="66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522AC384" w14:textId="77777777" w:rsidR="000C07F5" w:rsidRDefault="00000000">
            <w:pPr>
              <w:spacing w:line="248" w:lineRule="auto"/>
            </w:pPr>
            <w:r>
              <w:rPr>
                <w:sz w:val="19"/>
                <w:szCs w:val="19"/>
              </w:rPr>
              <w:t xml:space="preserve">Do not wait 3 months — </w:t>
            </w:r>
            <w:r>
              <w:rPr>
                <w:b/>
                <w:bCs/>
                <w:color w:val="C62A2A"/>
                <w:sz w:val="19"/>
                <w:szCs w:val="19"/>
              </w:rPr>
              <w:t>repeat as soon as possible</w:t>
            </w:r>
            <w:r>
              <w:rPr>
                <w:sz w:val="19"/>
                <w:szCs w:val="19"/>
              </w:rPr>
              <w:t xml:space="preserve"> and refer.</w:t>
            </w:r>
          </w:p>
        </w:tc>
      </w:tr>
      <w:tr w:rsidR="000C07F5" w14:paraId="2470CB25" w14:textId="77777777">
        <w:tblPrEx>
          <w:tblCellMar>
            <w:top w:w="0" w:type="dxa"/>
            <w:bottom w:w="0" w:type="dxa"/>
          </w:tblCellMar>
        </w:tblPrEx>
        <w:tc>
          <w:tcPr>
            <w:tcW w:w="31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1FCC3D4" w14:textId="77777777" w:rsidR="000C07F5" w:rsidRDefault="00000000">
            <w:pPr>
              <w:spacing w:line="248" w:lineRule="auto"/>
            </w:pPr>
            <w:r>
              <w:rPr>
                <w:b/>
                <w:bCs/>
                <w:sz w:val="19"/>
                <w:szCs w:val="19"/>
              </w:rPr>
              <w:t>Two or more abnormal samples</w:t>
            </w:r>
          </w:p>
        </w:tc>
        <w:tc>
          <w:tcPr>
            <w:tcW w:w="66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38F18464" w14:textId="77777777" w:rsidR="000C07F5" w:rsidRDefault="00000000">
            <w:pPr>
              <w:spacing w:line="248" w:lineRule="auto"/>
            </w:pPr>
            <w:r>
              <w:rPr>
                <w:sz w:val="19"/>
                <w:szCs w:val="19"/>
              </w:rPr>
              <w:t>Examine the scrotum and testes, consider serum testosterone and gonadotrophins, and refer to secondary care.</w:t>
            </w:r>
          </w:p>
        </w:tc>
      </w:tr>
    </w:tbl>
    <w:p w14:paraId="162E039D" w14:textId="77777777" w:rsidR="000C07F5" w:rsidRDefault="000C07F5">
      <w:pPr>
        <w:spacing w:after="60"/>
      </w:pPr>
    </w:p>
    <w:tbl>
      <w:tblPr>
        <w:tblW w:w="9746" w:type="dxa"/>
        <w:tblBorders>
          <w:top w:val="single" w:sz="4" w:space="0" w:color="FBEAEA"/>
          <w:left w:val="single" w:sz="26" w:space="0" w:color="C62A2A"/>
          <w:bottom w:val="single" w:sz="4" w:space="0" w:color="FBEAEA"/>
          <w:right w:val="single" w:sz="4" w:space="0" w:color="FBEAE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6FACF88A" w14:textId="77777777">
        <w:tblPrEx>
          <w:tblCellMar>
            <w:top w:w="0" w:type="dxa"/>
            <w:bottom w:w="0" w:type="dxa"/>
          </w:tblCellMar>
        </w:tblPrEx>
        <w:tc>
          <w:tcPr>
            <w:tcW w:w="9746" w:type="dxa"/>
            <w:shd w:val="clear" w:color="auto" w:fill="FBEAEA"/>
            <w:tcMar>
              <w:top w:w="88" w:type="dxa"/>
              <w:left w:w="200" w:type="dxa"/>
              <w:bottom w:w="88" w:type="dxa"/>
              <w:right w:w="160" w:type="dxa"/>
            </w:tcMar>
          </w:tcPr>
          <w:p w14:paraId="7E4D6836" w14:textId="77777777" w:rsidR="000C07F5" w:rsidRDefault="00000000">
            <w:pPr>
              <w:spacing w:after="60" w:line="264" w:lineRule="auto"/>
            </w:pPr>
            <w:r>
              <w:rPr>
                <w:b/>
                <w:bCs/>
                <w:color w:val="C62A2A"/>
                <w:spacing w:val="20"/>
                <w:sz w:val="19"/>
                <w:szCs w:val="19"/>
              </w:rPr>
              <w:t>Do NOT</w:t>
            </w:r>
          </w:p>
          <w:p w14:paraId="7AA3D913" w14:textId="77777777" w:rsidR="000C07F5" w:rsidRDefault="00000000">
            <w:pPr>
              <w:spacing w:after="50" w:line="268" w:lineRule="auto"/>
            </w:pPr>
            <w:r>
              <w:rPr>
                <w:sz w:val="20"/>
                <w:szCs w:val="20"/>
              </w:rPr>
              <w:t xml:space="preserve">•  Do not routinely test for </w:t>
            </w:r>
            <w:proofErr w:type="spellStart"/>
            <w:r>
              <w:rPr>
                <w:sz w:val="20"/>
                <w:szCs w:val="20"/>
              </w:rPr>
              <w:t>antisperm</w:t>
            </w:r>
            <w:proofErr w:type="spellEnd"/>
            <w:r>
              <w:rPr>
                <w:sz w:val="20"/>
                <w:szCs w:val="20"/>
              </w:rPr>
              <w:t xml:space="preserve"> antibodies.</w:t>
            </w:r>
          </w:p>
          <w:p w14:paraId="7ACB98AC" w14:textId="77777777" w:rsidR="000C07F5" w:rsidRDefault="00000000">
            <w:pPr>
              <w:spacing w:line="268" w:lineRule="auto"/>
            </w:pPr>
            <w:r>
              <w:rPr>
                <w:sz w:val="20"/>
                <w:szCs w:val="20"/>
              </w:rPr>
              <w:t>•  Do not request sperm DNA fragmentation testing — NICE NG257 recommends against it.</w:t>
            </w:r>
          </w:p>
        </w:tc>
      </w:tr>
    </w:tbl>
    <w:p w14:paraId="59C7C24A" w14:textId="77777777" w:rsidR="000C07F5" w:rsidRDefault="00000000">
      <w:pPr>
        <w:spacing w:after="40" w:line="256" w:lineRule="auto"/>
      </w:pPr>
      <w:r>
        <w:rPr>
          <w:b/>
          <w:bCs/>
          <w:color w:val="15263F"/>
          <w:sz w:val="20"/>
          <w:szCs w:val="20"/>
        </w:rPr>
        <w:lastRenderedPageBreak/>
        <w:t>Practical tip.</w:t>
      </w:r>
      <w:r>
        <w:rPr>
          <w:color w:val="6A7A92"/>
          <w:sz w:val="20"/>
          <w:szCs w:val="20"/>
        </w:rPr>
        <w:t xml:space="preserve"> A common cause of a falsely abnormal result is poor collection or transport. Give every man clear written </w:t>
      </w:r>
      <w:proofErr w:type="gramStart"/>
      <w:r>
        <w:rPr>
          <w:color w:val="6A7A92"/>
          <w:sz w:val="20"/>
          <w:szCs w:val="20"/>
        </w:rPr>
        <w:t>instructions</w:t>
      </w:r>
      <w:proofErr w:type="gramEnd"/>
      <w:r>
        <w:rPr>
          <w:color w:val="6A7A92"/>
          <w:sz w:val="20"/>
          <w:szCs w:val="20"/>
        </w:rPr>
        <w:t xml:space="preserve"> from your local laboratory on abstinence and getting the sample to the lab promptly. Source: WHO laboratory manual, 6th edition (2021); NICE NG257.</w:t>
      </w:r>
    </w:p>
    <w:p w14:paraId="5F7569F9" w14:textId="77777777" w:rsidR="000C07F5" w:rsidRDefault="00000000">
      <w:pPr>
        <w:keepNext/>
        <w:keepLines/>
        <w:spacing w:before="150"/>
      </w:pPr>
      <w:r>
        <w:rPr>
          <w:b/>
          <w:bCs/>
          <w:color w:val="0E7C86"/>
          <w:spacing w:val="30"/>
          <w:sz w:val="17"/>
          <w:szCs w:val="17"/>
        </w:rPr>
        <w:t>STEP 3 · THE WOMAN, PART 1</w:t>
      </w:r>
    </w:p>
    <w:p w14:paraId="366F4E2C" w14:textId="77777777" w:rsidR="000C07F5" w:rsidRDefault="00000000">
      <w:pPr>
        <w:keepNext/>
        <w:keepLines/>
        <w:pBdr>
          <w:bottom w:val="single" w:sz="10" w:space="6" w:color="DD5F1B"/>
        </w:pBdr>
        <w:spacing w:before="10" w:after="120"/>
      </w:pPr>
      <w:r>
        <w:rPr>
          <w:b/>
          <w:bCs/>
          <w:color w:val="15263F"/>
          <w:sz w:val="27"/>
          <w:szCs w:val="27"/>
        </w:rPr>
        <w:t>Is she ovulating?</w:t>
      </w:r>
    </w:p>
    <w:p w14:paraId="6716CA38" w14:textId="77777777" w:rsidR="000C07F5" w:rsidRDefault="00000000">
      <w:pPr>
        <w:spacing w:after="90" w:line="256" w:lineRule="auto"/>
      </w:pPr>
      <w:r>
        <w:t>Regular monthly periods are reassuring — a woman with a regular cycle is probably ovulating. But you must still confirm it, because the answer shapes everything that follows. The key test is a mid-luteal serum progesterone.</w:t>
      </w:r>
    </w:p>
    <w:tbl>
      <w:tblPr>
        <w:tblW w:w="9746" w:type="dxa"/>
        <w:tblBorders>
          <w:top w:val="single" w:sz="4" w:space="0" w:color="F1EAFA"/>
          <w:left w:val="single" w:sz="26" w:space="0" w:color="6A3FA0"/>
          <w:bottom w:val="single" w:sz="4" w:space="0" w:color="F1EAFA"/>
          <w:right w:val="single" w:sz="4" w:space="0" w:color="F1EAF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262F0149" w14:textId="77777777">
        <w:tblPrEx>
          <w:tblCellMar>
            <w:top w:w="0" w:type="dxa"/>
            <w:bottom w:w="0" w:type="dxa"/>
          </w:tblCellMar>
        </w:tblPrEx>
        <w:tc>
          <w:tcPr>
            <w:tcW w:w="9746" w:type="dxa"/>
            <w:shd w:val="clear" w:color="auto" w:fill="F1EAFA"/>
            <w:tcMar>
              <w:top w:w="88" w:type="dxa"/>
              <w:left w:w="200" w:type="dxa"/>
              <w:bottom w:w="88" w:type="dxa"/>
              <w:right w:w="160" w:type="dxa"/>
            </w:tcMar>
          </w:tcPr>
          <w:p w14:paraId="7058B72F" w14:textId="77777777" w:rsidR="000C07F5" w:rsidRDefault="00000000">
            <w:pPr>
              <w:spacing w:after="60" w:line="264" w:lineRule="auto"/>
            </w:pPr>
            <w:r>
              <w:rPr>
                <w:b/>
                <w:bCs/>
                <w:color w:val="6A3FA0"/>
                <w:spacing w:val="20"/>
                <w:sz w:val="19"/>
                <w:szCs w:val="19"/>
              </w:rPr>
              <w:t>Remember it as: “Seven days before, read it after”</w:t>
            </w:r>
          </w:p>
          <w:p w14:paraId="1678750C" w14:textId="77777777" w:rsidR="000C07F5" w:rsidRDefault="00000000">
            <w:pPr>
              <w:spacing w:line="268" w:lineRule="auto"/>
            </w:pPr>
            <w:r>
              <w:rPr>
                <w:sz w:val="20"/>
                <w:szCs w:val="20"/>
              </w:rPr>
              <w:t>Take the blood 7 days before the next expected period (day 21 of a 28-day cycle; day 28 of a 35-day cycle</w:t>
            </w:r>
            <w:proofErr w:type="gramStart"/>
            <w:r>
              <w:rPr>
                <w:sz w:val="20"/>
                <w:szCs w:val="20"/>
              </w:rPr>
              <w:t>), and</w:t>
            </w:r>
            <w:proofErr w:type="gramEnd"/>
            <w:r>
              <w:rPr>
                <w:sz w:val="20"/>
                <w:szCs w:val="20"/>
              </w:rPr>
              <w:t xml:space="preserve"> interpret the result once the next period has started. Offer this test even when cycles are regular.</w:t>
            </w:r>
          </w:p>
        </w:tc>
      </w:tr>
    </w:tbl>
    <w:p w14:paraId="745122A3" w14:textId="77777777" w:rsidR="000C07F5" w:rsidRDefault="00000000">
      <w:pPr>
        <w:spacing w:before="30" w:after="80"/>
        <w:jc w:val="center"/>
      </w:pPr>
      <w:r>
        <w:rPr>
          <w:noProof/>
        </w:rPr>
        <w:drawing>
          <wp:inline distT="0" distB="0" distL="0" distR="0" wp14:anchorId="2F106B0A" wp14:editId="23E7364D">
            <wp:extent cx="5181600" cy="1866900"/>
            <wp:effectExtent l="0" t="0" r="0" b="0"/>
            <wp:docPr id="1535400571" name="prog" descr="prog diagram" title="p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181600" cy="1866900"/>
                    </a:xfrm>
                    <a:prstGeom prst="rect">
                      <a:avLst/>
                    </a:prstGeom>
                  </pic:spPr>
                </pic:pic>
              </a:graphicData>
            </a:graphic>
          </wp:inline>
        </w:drawing>
      </w:r>
    </w:p>
    <w:tbl>
      <w:tblPr>
        <w:tblW w:w="9746" w:type="dxa"/>
        <w:tblBorders>
          <w:top w:val="single" w:sz="4" w:space="0" w:color="FBEAEA"/>
          <w:left w:val="single" w:sz="26" w:space="0" w:color="C62A2A"/>
          <w:bottom w:val="single" w:sz="4" w:space="0" w:color="FBEAEA"/>
          <w:right w:val="single" w:sz="4" w:space="0" w:color="FBEAE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7392037E" w14:textId="77777777">
        <w:tblPrEx>
          <w:tblCellMar>
            <w:top w:w="0" w:type="dxa"/>
            <w:bottom w:w="0" w:type="dxa"/>
          </w:tblCellMar>
        </w:tblPrEx>
        <w:tc>
          <w:tcPr>
            <w:tcW w:w="9746" w:type="dxa"/>
            <w:shd w:val="clear" w:color="auto" w:fill="FBEAEA"/>
            <w:tcMar>
              <w:top w:w="88" w:type="dxa"/>
              <w:left w:w="200" w:type="dxa"/>
              <w:bottom w:w="88" w:type="dxa"/>
              <w:right w:w="160" w:type="dxa"/>
            </w:tcMar>
          </w:tcPr>
          <w:p w14:paraId="67AAAE3D" w14:textId="77777777" w:rsidR="000C07F5" w:rsidRDefault="00000000">
            <w:pPr>
              <w:spacing w:after="60" w:line="264" w:lineRule="auto"/>
            </w:pPr>
            <w:r>
              <w:rPr>
                <w:b/>
                <w:bCs/>
                <w:color w:val="C62A2A"/>
                <w:spacing w:val="20"/>
                <w:sz w:val="19"/>
                <w:szCs w:val="19"/>
              </w:rPr>
              <w:t>Do NOT</w:t>
            </w:r>
          </w:p>
          <w:p w14:paraId="19EB5113" w14:textId="77777777" w:rsidR="000C07F5" w:rsidRDefault="00000000">
            <w:pPr>
              <w:spacing w:line="268" w:lineRule="auto"/>
            </w:pPr>
            <w:r>
              <w:rPr>
                <w:sz w:val="20"/>
                <w:szCs w:val="20"/>
              </w:rPr>
              <w:t>You must not use basal body temperature charts to confirm ovulation — they do not reliably predict it. Source: NICE NG257.</w:t>
            </w:r>
          </w:p>
        </w:tc>
      </w:tr>
      <w:tr w:rsidR="000C07F5" w14:paraId="770F0DBC" w14:textId="77777777">
        <w:tblPrEx>
          <w:tblBorders>
            <w:top w:val="single" w:sz="4" w:space="0" w:color="E8F1FB"/>
            <w:left w:val="single" w:sz="26" w:space="0" w:color="1763B0"/>
            <w:bottom w:val="single" w:sz="4" w:space="0" w:color="E8F1FB"/>
            <w:right w:val="single" w:sz="4" w:space="0" w:color="E8F1FB"/>
          </w:tblBorders>
          <w:tblCellMar>
            <w:top w:w="0" w:type="dxa"/>
            <w:bottom w:w="0" w:type="dxa"/>
          </w:tblCellMar>
        </w:tblPrEx>
        <w:tc>
          <w:tcPr>
            <w:tcW w:w="9746" w:type="dxa"/>
            <w:shd w:val="clear" w:color="auto" w:fill="E8F1FB"/>
            <w:tcMar>
              <w:top w:w="88" w:type="dxa"/>
              <w:left w:w="200" w:type="dxa"/>
              <w:bottom w:w="88" w:type="dxa"/>
              <w:right w:w="160" w:type="dxa"/>
            </w:tcMar>
          </w:tcPr>
          <w:p w14:paraId="439CDE74" w14:textId="77777777" w:rsidR="000C07F5" w:rsidRDefault="00000000">
            <w:pPr>
              <w:spacing w:after="60" w:line="264" w:lineRule="auto"/>
            </w:pPr>
            <w:r>
              <w:rPr>
                <w:b/>
                <w:bCs/>
                <w:color w:val="1763B0"/>
                <w:spacing w:val="20"/>
                <w:sz w:val="19"/>
                <w:szCs w:val="19"/>
              </w:rPr>
              <w:t>Where do urine LH kits fit?</w:t>
            </w:r>
          </w:p>
          <w:p w14:paraId="740ECE58" w14:textId="77777777" w:rsidR="000C07F5" w:rsidRDefault="00000000">
            <w:pPr>
              <w:spacing w:line="268" w:lineRule="auto"/>
            </w:pPr>
            <w:r>
              <w:rPr>
                <w:sz w:val="20"/>
                <w:szCs w:val="20"/>
              </w:rPr>
              <w:t xml:space="preserve">Urine LH kits </w:t>
            </w:r>
            <w:r>
              <w:rPr>
                <w:b/>
                <w:bCs/>
                <w:color w:val="1763B0"/>
                <w:sz w:val="20"/>
                <w:szCs w:val="20"/>
              </w:rPr>
              <w:t>predict</w:t>
            </w:r>
            <w:r>
              <w:rPr>
                <w:sz w:val="20"/>
                <w:szCs w:val="20"/>
              </w:rPr>
              <w:t xml:space="preserve"> ovulation (the surge comes just before it), so they can help a couple time intercourse — but they do not </w:t>
            </w:r>
            <w:r>
              <w:rPr>
                <w:b/>
                <w:bCs/>
                <w:color w:val="1763B0"/>
                <w:sz w:val="20"/>
                <w:szCs w:val="20"/>
              </w:rPr>
              <w:t>confirm</w:t>
            </w:r>
            <w:r>
              <w:rPr>
                <w:sz w:val="20"/>
                <w:szCs w:val="20"/>
              </w:rPr>
              <w:t xml:space="preserve"> that ovulation happened. NICE advises regular sex every 2–3 days rather than timing to ovulation: it is less stressful and works just as well. LH kits are unreliable in PCOS, where LH is often persistently high.</w:t>
            </w:r>
          </w:p>
        </w:tc>
      </w:tr>
    </w:tbl>
    <w:p w14:paraId="5C44C95B" w14:textId="77777777" w:rsidR="003B4154" w:rsidRDefault="003B4154">
      <w:pPr>
        <w:keepNext/>
        <w:keepLines/>
        <w:spacing w:before="150"/>
        <w:rPr>
          <w:b/>
          <w:bCs/>
          <w:color w:val="0E7C86"/>
          <w:spacing w:val="30"/>
          <w:sz w:val="17"/>
          <w:szCs w:val="17"/>
        </w:rPr>
      </w:pPr>
    </w:p>
    <w:p w14:paraId="178EEA99" w14:textId="6CA04A06" w:rsidR="000C07F5" w:rsidRDefault="00000000">
      <w:pPr>
        <w:keepNext/>
        <w:keepLines/>
        <w:spacing w:before="150"/>
      </w:pPr>
      <w:r>
        <w:rPr>
          <w:b/>
          <w:bCs/>
          <w:color w:val="0E7C86"/>
          <w:spacing w:val="30"/>
          <w:sz w:val="17"/>
          <w:szCs w:val="17"/>
        </w:rPr>
        <w:t>STEP 4 · THE WOMAN, PART 2</w:t>
      </w:r>
    </w:p>
    <w:p w14:paraId="60CAA873" w14:textId="77777777" w:rsidR="000C07F5" w:rsidRDefault="00000000">
      <w:pPr>
        <w:keepNext/>
        <w:keepLines/>
        <w:pBdr>
          <w:bottom w:val="single" w:sz="10" w:space="6" w:color="DD5F1B"/>
        </w:pBdr>
        <w:spacing w:before="10" w:after="120"/>
      </w:pPr>
      <w:r>
        <w:rPr>
          <w:b/>
          <w:bCs/>
          <w:color w:val="15263F"/>
          <w:sz w:val="27"/>
          <w:szCs w:val="27"/>
        </w:rPr>
        <w:t>When the cycle is irregular</w:t>
      </w:r>
    </w:p>
    <w:p w14:paraId="59AD3ECF" w14:textId="77777777" w:rsidR="000C07F5" w:rsidRDefault="00000000">
      <w:pPr>
        <w:spacing w:after="90" w:line="256" w:lineRule="auto"/>
      </w:pPr>
      <w:r>
        <w:t xml:space="preserve">Irregular or absent periods point to a problem with ovulation. Here, hormone levels help find the cause: </w:t>
      </w:r>
      <w:r>
        <w:rPr>
          <w:b/>
          <w:bCs/>
          <w:color w:val="15263F"/>
        </w:rPr>
        <w:t>offer serum gonadotrophins — FSH and luteinising hormone (LH).</w:t>
      </w:r>
    </w:p>
    <w:tbl>
      <w:tblPr>
        <w:tblW w:w="9746" w:type="dxa"/>
        <w:tblBorders>
          <w:top w:val="single" w:sz="3" w:space="0" w:color="D4DCE6"/>
          <w:left w:val="single" w:sz="3" w:space="0" w:color="D4DCE6"/>
          <w:bottom w:val="single" w:sz="3" w:space="0" w:color="D4DCE6"/>
          <w:right w:val="single" w:sz="3" w:space="0" w:color="D4DCE6"/>
          <w:insideH w:val="single" w:sz="3" w:space="0" w:color="D4DCE6"/>
          <w:insideV w:val="single" w:sz="3" w:space="0" w:color="D4DCE6"/>
        </w:tblBorders>
        <w:tblCellMar>
          <w:left w:w="10" w:type="dxa"/>
          <w:right w:w="10" w:type="dxa"/>
        </w:tblCellMar>
        <w:tblLook w:val="04A0" w:firstRow="1" w:lastRow="0" w:firstColumn="1" w:lastColumn="0" w:noHBand="0" w:noVBand="1"/>
      </w:tblPr>
      <w:tblGrid>
        <w:gridCol w:w="4250"/>
        <w:gridCol w:w="5496"/>
      </w:tblGrid>
      <w:tr w:rsidR="000C07F5" w14:paraId="5BFB0983" w14:textId="77777777">
        <w:tblPrEx>
          <w:tblCellMar>
            <w:top w:w="0" w:type="dxa"/>
            <w:bottom w:w="0" w:type="dxa"/>
          </w:tblCellMar>
        </w:tblPrEx>
        <w:trPr>
          <w:tblHeader/>
        </w:trPr>
        <w:tc>
          <w:tcPr>
            <w:tcW w:w="425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664F6EC7" w14:textId="77777777" w:rsidR="000C07F5" w:rsidRDefault="00000000">
            <w:pPr>
              <w:spacing w:line="248" w:lineRule="auto"/>
            </w:pPr>
            <w:r>
              <w:rPr>
                <w:b/>
                <w:bCs/>
                <w:color w:val="FFFFFF"/>
                <w:sz w:val="19"/>
                <w:szCs w:val="19"/>
              </w:rPr>
              <w:t>Hormone pattern</w:t>
            </w:r>
          </w:p>
        </w:tc>
        <w:tc>
          <w:tcPr>
            <w:tcW w:w="5496"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1059B17F" w14:textId="77777777" w:rsidR="000C07F5" w:rsidRDefault="00000000">
            <w:pPr>
              <w:spacing w:line="248" w:lineRule="auto"/>
            </w:pPr>
            <w:r>
              <w:rPr>
                <w:b/>
                <w:bCs/>
                <w:color w:val="FFFFFF"/>
                <w:sz w:val="19"/>
                <w:szCs w:val="19"/>
              </w:rPr>
              <w:t>Suggests</w:t>
            </w:r>
          </w:p>
        </w:tc>
      </w:tr>
      <w:tr w:rsidR="000C07F5" w14:paraId="5DC9D119" w14:textId="77777777">
        <w:tblPrEx>
          <w:tblCellMar>
            <w:top w:w="0" w:type="dxa"/>
            <w:bottom w:w="0" w:type="dxa"/>
          </w:tblCellMar>
        </w:tblPrEx>
        <w:tc>
          <w:tcPr>
            <w:tcW w:w="42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48A8BF28" w14:textId="77777777" w:rsidR="000C07F5" w:rsidRDefault="00000000">
            <w:pPr>
              <w:spacing w:line="248" w:lineRule="auto"/>
            </w:pPr>
            <w:r>
              <w:rPr>
                <w:b/>
                <w:bCs/>
                <w:sz w:val="19"/>
                <w:szCs w:val="19"/>
              </w:rPr>
              <w:t>High FSH + low oestradiol</w:t>
            </w:r>
          </w:p>
        </w:tc>
        <w:tc>
          <w:tcPr>
            <w:tcW w:w="549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0CBA2FD6" w14:textId="77777777" w:rsidR="000C07F5" w:rsidRDefault="00000000">
            <w:pPr>
              <w:spacing w:line="248" w:lineRule="auto"/>
            </w:pPr>
            <w:r>
              <w:rPr>
                <w:b/>
                <w:bCs/>
                <w:sz w:val="19"/>
                <w:szCs w:val="19"/>
              </w:rPr>
              <w:t>Primary (premature) ovarian insufficiency</w:t>
            </w:r>
            <w:r>
              <w:rPr>
                <w:sz w:val="19"/>
                <w:szCs w:val="19"/>
              </w:rPr>
              <w:t xml:space="preserve"> — the modern term for what older notes called “primary ovarian failure”.</w:t>
            </w:r>
          </w:p>
        </w:tc>
      </w:tr>
      <w:tr w:rsidR="000C07F5" w14:paraId="78E0716E" w14:textId="77777777">
        <w:tblPrEx>
          <w:tblCellMar>
            <w:top w:w="0" w:type="dxa"/>
            <w:bottom w:w="0" w:type="dxa"/>
          </w:tblCellMar>
        </w:tblPrEx>
        <w:tc>
          <w:tcPr>
            <w:tcW w:w="42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22679A4E" w14:textId="77777777" w:rsidR="000C07F5" w:rsidRDefault="00000000">
            <w:pPr>
              <w:spacing w:line="248" w:lineRule="auto"/>
            </w:pPr>
            <w:r>
              <w:rPr>
                <w:b/>
                <w:bCs/>
                <w:sz w:val="19"/>
                <w:szCs w:val="19"/>
              </w:rPr>
              <w:t>High LH with normal FSH</w:t>
            </w:r>
          </w:p>
        </w:tc>
        <w:tc>
          <w:tcPr>
            <w:tcW w:w="549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7B975D3A" w14:textId="77777777" w:rsidR="000C07F5" w:rsidRDefault="00000000">
            <w:pPr>
              <w:spacing w:line="248" w:lineRule="auto"/>
            </w:pPr>
            <w:r>
              <w:rPr>
                <w:sz w:val="19"/>
                <w:szCs w:val="19"/>
              </w:rPr>
              <w:t>Polycystic ovary syndrome (a raised LH:FSH ratio is a classic clue, though not essential for the diagnosis).</w:t>
            </w:r>
          </w:p>
        </w:tc>
      </w:tr>
      <w:tr w:rsidR="000C07F5" w14:paraId="0AE4A0CE" w14:textId="77777777">
        <w:tblPrEx>
          <w:tblCellMar>
            <w:top w:w="0" w:type="dxa"/>
            <w:bottom w:w="0" w:type="dxa"/>
          </w:tblCellMar>
        </w:tblPrEx>
        <w:tc>
          <w:tcPr>
            <w:tcW w:w="42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556C7070" w14:textId="77777777" w:rsidR="000C07F5" w:rsidRDefault="00000000">
            <w:pPr>
              <w:spacing w:line="248" w:lineRule="auto"/>
            </w:pPr>
            <w:r>
              <w:rPr>
                <w:b/>
                <w:bCs/>
                <w:sz w:val="19"/>
                <w:szCs w:val="19"/>
              </w:rPr>
              <w:t>Low FSH, LH and oestradiol</w:t>
            </w:r>
          </w:p>
        </w:tc>
        <w:tc>
          <w:tcPr>
            <w:tcW w:w="549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3C224CAF" w14:textId="77777777" w:rsidR="000C07F5" w:rsidRDefault="00000000">
            <w:pPr>
              <w:spacing w:line="248" w:lineRule="auto"/>
            </w:pPr>
            <w:proofErr w:type="spellStart"/>
            <w:r>
              <w:rPr>
                <w:sz w:val="19"/>
                <w:szCs w:val="19"/>
              </w:rPr>
              <w:t>Hypogonadotrophic</w:t>
            </w:r>
            <w:proofErr w:type="spellEnd"/>
            <w:r>
              <w:rPr>
                <w:sz w:val="19"/>
                <w:szCs w:val="19"/>
              </w:rPr>
              <w:t xml:space="preserve"> hypogonadism — the problem lies above the ovary, in the pituitary or hypothalamus.</w:t>
            </w:r>
          </w:p>
        </w:tc>
      </w:tr>
      <w:tr w:rsidR="000C07F5" w14:paraId="3EEC6148" w14:textId="77777777">
        <w:tblPrEx>
          <w:tblCellMar>
            <w:top w:w="0" w:type="dxa"/>
            <w:bottom w:w="0" w:type="dxa"/>
          </w:tblCellMar>
        </w:tblPrEx>
        <w:tc>
          <w:tcPr>
            <w:tcW w:w="42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7FF9C065" w14:textId="77777777" w:rsidR="000C07F5" w:rsidRDefault="00000000">
            <w:pPr>
              <w:spacing w:line="248" w:lineRule="auto"/>
            </w:pPr>
            <w:r>
              <w:rPr>
                <w:b/>
                <w:bCs/>
                <w:sz w:val="19"/>
                <w:szCs w:val="19"/>
              </w:rPr>
              <w:t>High prolactin</w:t>
            </w:r>
          </w:p>
        </w:tc>
        <w:tc>
          <w:tcPr>
            <w:tcW w:w="549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2B56E06C" w14:textId="77777777" w:rsidR="000C07F5" w:rsidRDefault="00000000">
            <w:pPr>
              <w:spacing w:line="248" w:lineRule="auto"/>
            </w:pPr>
            <w:r>
              <w:rPr>
                <w:sz w:val="19"/>
                <w:szCs w:val="19"/>
              </w:rPr>
              <w:t>Hyperprolactinaemia — look for galactorrhoea and consider a pituitary cause.</w:t>
            </w:r>
          </w:p>
        </w:tc>
      </w:tr>
      <w:tr w:rsidR="000C07F5" w14:paraId="6A8A8BE2" w14:textId="77777777">
        <w:tblPrEx>
          <w:tblCellMar>
            <w:top w:w="0" w:type="dxa"/>
            <w:bottom w:w="0" w:type="dxa"/>
          </w:tblCellMar>
        </w:tblPrEx>
        <w:tc>
          <w:tcPr>
            <w:tcW w:w="42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0D5CDD07" w14:textId="77777777" w:rsidR="000C07F5" w:rsidRDefault="00000000">
            <w:pPr>
              <w:spacing w:line="248" w:lineRule="auto"/>
            </w:pPr>
            <w:r>
              <w:rPr>
                <w:b/>
                <w:bCs/>
                <w:sz w:val="19"/>
                <w:szCs w:val="19"/>
              </w:rPr>
              <w:t>High testosterone</w:t>
            </w:r>
          </w:p>
        </w:tc>
        <w:tc>
          <w:tcPr>
            <w:tcW w:w="549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3E980F2A" w14:textId="77777777" w:rsidR="000C07F5" w:rsidRDefault="00000000">
            <w:pPr>
              <w:spacing w:line="248" w:lineRule="auto"/>
            </w:pPr>
            <w:r>
              <w:rPr>
                <w:sz w:val="19"/>
                <w:szCs w:val="19"/>
              </w:rPr>
              <w:t>Polycystic ovary syndrome (a sign of excess androgens).</w:t>
            </w:r>
          </w:p>
        </w:tc>
      </w:tr>
    </w:tbl>
    <w:p w14:paraId="60253DD5" w14:textId="77777777" w:rsidR="000C07F5" w:rsidRDefault="000C07F5">
      <w:pPr>
        <w:spacing w:after="60"/>
      </w:pPr>
    </w:p>
    <w:tbl>
      <w:tblPr>
        <w:tblW w:w="9746" w:type="dxa"/>
        <w:tblBorders>
          <w:top w:val="single" w:sz="4" w:space="0" w:color="FBF0D9"/>
          <w:left w:val="single" w:sz="26" w:space="0" w:color="B0730A"/>
          <w:bottom w:val="single" w:sz="4" w:space="0" w:color="FBF0D9"/>
          <w:right w:val="single" w:sz="4" w:space="0" w:color="FBF0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683E8666" w14:textId="77777777">
        <w:tblPrEx>
          <w:tblCellMar>
            <w:top w:w="0" w:type="dxa"/>
            <w:bottom w:w="0" w:type="dxa"/>
          </w:tblCellMar>
        </w:tblPrEx>
        <w:tc>
          <w:tcPr>
            <w:tcW w:w="9746" w:type="dxa"/>
            <w:shd w:val="clear" w:color="auto" w:fill="FBF0D9"/>
            <w:tcMar>
              <w:top w:w="88" w:type="dxa"/>
              <w:left w:w="200" w:type="dxa"/>
              <w:bottom w:w="88" w:type="dxa"/>
              <w:right w:w="160" w:type="dxa"/>
            </w:tcMar>
          </w:tcPr>
          <w:p w14:paraId="0FC20154" w14:textId="77777777" w:rsidR="000C07F5" w:rsidRDefault="00000000">
            <w:pPr>
              <w:spacing w:after="60" w:line="264" w:lineRule="auto"/>
            </w:pPr>
            <w:r>
              <w:rPr>
                <w:b/>
                <w:bCs/>
                <w:color w:val="B0730A"/>
                <w:spacing w:val="20"/>
                <w:sz w:val="19"/>
                <w:szCs w:val="19"/>
              </w:rPr>
              <w:lastRenderedPageBreak/>
              <w:t>Read the numbers with care</w:t>
            </w:r>
          </w:p>
          <w:p w14:paraId="20B9AB0A" w14:textId="77777777" w:rsidR="000C07F5" w:rsidRDefault="00000000">
            <w:pPr>
              <w:spacing w:after="50" w:line="268" w:lineRule="auto"/>
            </w:pPr>
            <w:r>
              <w:rPr>
                <w:sz w:val="20"/>
                <w:szCs w:val="20"/>
              </w:rPr>
              <w:t>Hormone reference ranges depend on the assay, the laboratory, and where in the cycle the blood is taken. Always interpret against your local lab's ranges — never a memorised set of numbers.</w:t>
            </w:r>
          </w:p>
          <w:p w14:paraId="0DE368F7" w14:textId="77777777" w:rsidR="000C07F5" w:rsidRDefault="00000000">
            <w:pPr>
              <w:spacing w:line="268" w:lineRule="auto"/>
            </w:pPr>
            <w:r>
              <w:rPr>
                <w:b/>
                <w:bCs/>
                <w:color w:val="B0480F"/>
                <w:sz w:val="20"/>
                <w:szCs w:val="20"/>
              </w:rPr>
              <w:t>NICE NG257 no longer recommends FSH as a routine predictor of natural conception or of ovarian reserve.</w:t>
            </w:r>
          </w:p>
        </w:tc>
      </w:tr>
    </w:tbl>
    <w:p w14:paraId="14779C67" w14:textId="77777777" w:rsidR="003B4154" w:rsidRDefault="003B4154">
      <w:pPr>
        <w:keepNext/>
        <w:keepLines/>
        <w:spacing w:before="150"/>
        <w:rPr>
          <w:b/>
          <w:bCs/>
          <w:color w:val="B0730A"/>
          <w:spacing w:val="30"/>
          <w:sz w:val="17"/>
          <w:szCs w:val="17"/>
        </w:rPr>
      </w:pPr>
    </w:p>
    <w:p w14:paraId="41B6D983" w14:textId="55ED8797" w:rsidR="000C07F5" w:rsidRDefault="00000000">
      <w:pPr>
        <w:keepNext/>
        <w:keepLines/>
        <w:spacing w:before="150"/>
      </w:pPr>
      <w:r>
        <w:rPr>
          <w:b/>
          <w:bCs/>
          <w:color w:val="B0730A"/>
          <w:spacing w:val="30"/>
          <w:sz w:val="17"/>
          <w:szCs w:val="17"/>
        </w:rPr>
        <w:t>STEP 5 · CHOOSING WISELY</w:t>
      </w:r>
    </w:p>
    <w:p w14:paraId="1EC343FE" w14:textId="77777777" w:rsidR="000C07F5" w:rsidRDefault="00000000">
      <w:pPr>
        <w:keepNext/>
        <w:keepLines/>
        <w:pBdr>
          <w:bottom w:val="single" w:sz="10" w:space="6" w:color="DD5F1B"/>
        </w:pBdr>
        <w:spacing w:before="10" w:after="120"/>
      </w:pPr>
      <w:r>
        <w:rPr>
          <w:b/>
          <w:bCs/>
          <w:color w:val="15263F"/>
          <w:sz w:val="27"/>
          <w:szCs w:val="27"/>
        </w:rPr>
        <w:t>Targeted tests: test with a reason</w:t>
      </w:r>
    </w:p>
    <w:p w14:paraId="4414331A" w14:textId="77777777" w:rsidR="000C07F5" w:rsidRDefault="00000000">
      <w:pPr>
        <w:spacing w:after="80" w:line="256" w:lineRule="auto"/>
      </w:pPr>
      <w:r>
        <w:t xml:space="preserve">Order a test only when its result will change what you do. Blanket hormone panels cause false alarms and delay. NICE NG257 is explicit about when </w:t>
      </w:r>
      <w:r>
        <w:rPr>
          <w:i/>
          <w:iCs/>
        </w:rPr>
        <w:t>not</w:t>
      </w:r>
      <w:r>
        <w:t xml:space="preserve"> to test:</w:t>
      </w:r>
    </w:p>
    <w:tbl>
      <w:tblPr>
        <w:tblW w:w="9746" w:type="dxa"/>
        <w:tblBorders>
          <w:top w:val="single" w:sz="3" w:space="0" w:color="D4DCE6"/>
          <w:left w:val="single" w:sz="3" w:space="0" w:color="D4DCE6"/>
          <w:bottom w:val="single" w:sz="3" w:space="0" w:color="D4DCE6"/>
          <w:right w:val="single" w:sz="3" w:space="0" w:color="D4DCE6"/>
          <w:insideH w:val="single" w:sz="3" w:space="0" w:color="D4DCE6"/>
          <w:insideV w:val="single" w:sz="3" w:space="0" w:color="D4DCE6"/>
        </w:tblBorders>
        <w:tblCellMar>
          <w:left w:w="10" w:type="dxa"/>
          <w:right w:w="10" w:type="dxa"/>
        </w:tblCellMar>
        <w:tblLook w:val="04A0" w:firstRow="1" w:lastRow="0" w:firstColumn="1" w:lastColumn="0" w:noHBand="0" w:noVBand="1"/>
      </w:tblPr>
      <w:tblGrid>
        <w:gridCol w:w="3000"/>
        <w:gridCol w:w="6746"/>
      </w:tblGrid>
      <w:tr w:rsidR="000C07F5" w14:paraId="1B999340" w14:textId="77777777">
        <w:tblPrEx>
          <w:tblCellMar>
            <w:top w:w="0" w:type="dxa"/>
            <w:bottom w:w="0" w:type="dxa"/>
          </w:tblCellMar>
        </w:tblPrEx>
        <w:trPr>
          <w:tblHeader/>
        </w:trPr>
        <w:tc>
          <w:tcPr>
            <w:tcW w:w="300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55F93F64" w14:textId="77777777" w:rsidR="000C07F5" w:rsidRDefault="00000000">
            <w:pPr>
              <w:spacing w:line="248" w:lineRule="auto"/>
            </w:pPr>
            <w:r>
              <w:rPr>
                <w:b/>
                <w:bCs/>
                <w:color w:val="FFFFFF"/>
                <w:sz w:val="19"/>
                <w:szCs w:val="19"/>
              </w:rPr>
              <w:t>Test</w:t>
            </w:r>
          </w:p>
        </w:tc>
        <w:tc>
          <w:tcPr>
            <w:tcW w:w="6746"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5601BC17" w14:textId="77777777" w:rsidR="000C07F5" w:rsidRDefault="00000000">
            <w:pPr>
              <w:spacing w:line="248" w:lineRule="auto"/>
            </w:pPr>
            <w:r>
              <w:rPr>
                <w:b/>
                <w:bCs/>
                <w:color w:val="FFFFFF"/>
                <w:sz w:val="19"/>
                <w:szCs w:val="19"/>
              </w:rPr>
              <w:t>Offer only when…</w:t>
            </w:r>
          </w:p>
        </w:tc>
      </w:tr>
      <w:tr w:rsidR="000C07F5" w14:paraId="4E9D9745" w14:textId="77777777">
        <w:tblPrEx>
          <w:tblCellMar>
            <w:top w:w="0" w:type="dxa"/>
            <w:bottom w:w="0" w:type="dxa"/>
          </w:tblCellMar>
        </w:tblPrEx>
        <w:tc>
          <w:tcPr>
            <w:tcW w:w="30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DB2D05E" w14:textId="77777777" w:rsidR="000C07F5" w:rsidRDefault="00000000">
            <w:pPr>
              <w:spacing w:line="248" w:lineRule="auto"/>
            </w:pPr>
            <w:r>
              <w:rPr>
                <w:b/>
                <w:bCs/>
                <w:sz w:val="19"/>
                <w:szCs w:val="19"/>
              </w:rPr>
              <w:t>Prolactin</w:t>
            </w:r>
          </w:p>
        </w:tc>
        <w:tc>
          <w:tcPr>
            <w:tcW w:w="67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7FF0A958" w14:textId="77777777" w:rsidR="000C07F5" w:rsidRDefault="00000000">
            <w:pPr>
              <w:spacing w:line="248" w:lineRule="auto"/>
            </w:pPr>
            <w:r>
              <w:rPr>
                <w:sz w:val="19"/>
                <w:szCs w:val="19"/>
              </w:rPr>
              <w:t xml:space="preserve">there is an ovulatory disorder, galactorrhoea, or a suspected pituitary tumour. </w:t>
            </w:r>
            <w:r>
              <w:rPr>
                <w:b/>
                <w:bCs/>
                <w:color w:val="C62A2A"/>
                <w:sz w:val="19"/>
                <w:szCs w:val="19"/>
              </w:rPr>
              <w:t>Do not check routinely.</w:t>
            </w:r>
          </w:p>
        </w:tc>
      </w:tr>
      <w:tr w:rsidR="000C07F5" w14:paraId="49AEB507" w14:textId="77777777">
        <w:tblPrEx>
          <w:tblCellMar>
            <w:top w:w="0" w:type="dxa"/>
            <w:bottom w:w="0" w:type="dxa"/>
          </w:tblCellMar>
        </w:tblPrEx>
        <w:tc>
          <w:tcPr>
            <w:tcW w:w="30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0EC1071D" w14:textId="77777777" w:rsidR="000C07F5" w:rsidRDefault="00000000">
            <w:pPr>
              <w:spacing w:line="248" w:lineRule="auto"/>
            </w:pPr>
            <w:r>
              <w:rPr>
                <w:b/>
                <w:bCs/>
                <w:sz w:val="19"/>
                <w:szCs w:val="19"/>
              </w:rPr>
              <w:t>Thyroid function</w:t>
            </w:r>
          </w:p>
        </w:tc>
        <w:tc>
          <w:tcPr>
            <w:tcW w:w="67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1E3A9D3B" w14:textId="77777777" w:rsidR="000C07F5" w:rsidRDefault="00000000">
            <w:pPr>
              <w:spacing w:line="248" w:lineRule="auto"/>
            </w:pPr>
            <w:r>
              <w:rPr>
                <w:sz w:val="19"/>
                <w:szCs w:val="19"/>
              </w:rPr>
              <w:t xml:space="preserve">there are symptoms of thyroid disease. </w:t>
            </w:r>
            <w:r>
              <w:rPr>
                <w:b/>
                <w:bCs/>
                <w:color w:val="C62A2A"/>
                <w:sz w:val="19"/>
                <w:szCs w:val="19"/>
              </w:rPr>
              <w:t>Do not check routinely.</w:t>
            </w:r>
          </w:p>
        </w:tc>
      </w:tr>
      <w:tr w:rsidR="000C07F5" w14:paraId="30F1A0C6" w14:textId="77777777">
        <w:tblPrEx>
          <w:tblCellMar>
            <w:top w:w="0" w:type="dxa"/>
            <w:bottom w:w="0" w:type="dxa"/>
          </w:tblCellMar>
        </w:tblPrEx>
        <w:tc>
          <w:tcPr>
            <w:tcW w:w="30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4E63AA27" w14:textId="77777777" w:rsidR="000C07F5" w:rsidRDefault="00000000">
            <w:pPr>
              <w:spacing w:line="248" w:lineRule="auto"/>
            </w:pPr>
            <w:r>
              <w:rPr>
                <w:b/>
                <w:bCs/>
                <w:sz w:val="19"/>
                <w:szCs w:val="19"/>
              </w:rPr>
              <w:t>AMH / FSH for “ovarian reserve”</w:t>
            </w:r>
          </w:p>
        </w:tc>
        <w:tc>
          <w:tcPr>
            <w:tcW w:w="67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083877D" w14:textId="77777777" w:rsidR="000C07F5" w:rsidRDefault="00000000">
            <w:pPr>
              <w:spacing w:line="248" w:lineRule="auto"/>
            </w:pPr>
            <w:r>
              <w:rPr>
                <w:b/>
                <w:bCs/>
                <w:color w:val="C62A2A"/>
                <w:sz w:val="19"/>
                <w:szCs w:val="19"/>
              </w:rPr>
              <w:t>Do not</w:t>
            </w:r>
            <w:r>
              <w:rPr>
                <w:sz w:val="19"/>
                <w:szCs w:val="19"/>
              </w:rPr>
              <w:t xml:space="preserve"> use these to predict natural conception. AMH and antral follicle count belong in the fertility clinic, to guide IVF — not in primary care.</w:t>
            </w:r>
          </w:p>
        </w:tc>
      </w:tr>
      <w:tr w:rsidR="000C07F5" w14:paraId="3BED8E45" w14:textId="77777777">
        <w:tblPrEx>
          <w:tblCellMar>
            <w:top w:w="0" w:type="dxa"/>
            <w:bottom w:w="0" w:type="dxa"/>
          </w:tblCellMar>
        </w:tblPrEx>
        <w:tc>
          <w:tcPr>
            <w:tcW w:w="30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40B1A804" w14:textId="77777777" w:rsidR="000C07F5" w:rsidRDefault="00000000">
            <w:pPr>
              <w:spacing w:line="248" w:lineRule="auto"/>
            </w:pPr>
            <w:r>
              <w:rPr>
                <w:b/>
                <w:bCs/>
                <w:sz w:val="19"/>
                <w:szCs w:val="19"/>
              </w:rPr>
              <w:t>Coeliac serology</w:t>
            </w:r>
          </w:p>
        </w:tc>
        <w:tc>
          <w:tcPr>
            <w:tcW w:w="67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7A87845B" w14:textId="77777777" w:rsidR="000C07F5" w:rsidRDefault="00000000">
            <w:pPr>
              <w:spacing w:line="248" w:lineRule="auto"/>
            </w:pPr>
            <w:r>
              <w:rPr>
                <w:sz w:val="19"/>
                <w:szCs w:val="19"/>
              </w:rPr>
              <w:t>Consider it in unexplained subfertility (a 2026 addition to NICE guidance).</w:t>
            </w:r>
          </w:p>
        </w:tc>
      </w:tr>
    </w:tbl>
    <w:p w14:paraId="2377C69C" w14:textId="77777777" w:rsidR="000C07F5" w:rsidRDefault="000C07F5">
      <w:pPr>
        <w:spacing w:after="50"/>
      </w:pPr>
    </w:p>
    <w:p w14:paraId="450B0478" w14:textId="77777777" w:rsidR="000C07F5" w:rsidRDefault="00000000">
      <w:pPr>
        <w:spacing w:after="40" w:line="256" w:lineRule="auto"/>
      </w:pPr>
      <w:r>
        <w:rPr>
          <w:b/>
          <w:bCs/>
          <w:color w:val="15263F"/>
        </w:rPr>
        <w:t>Round out the baseline screen.</w:t>
      </w:r>
      <w:r>
        <w:t xml:space="preserve"> Around referral, also: screen for </w:t>
      </w:r>
      <w:r>
        <w:rPr>
          <w:b/>
          <w:bCs/>
        </w:rPr>
        <w:t>chlamydia</w:t>
      </w:r>
      <w:r>
        <w:t xml:space="preserve"> before any uterine instrumentation; check </w:t>
      </w:r>
      <w:r>
        <w:rPr>
          <w:b/>
          <w:bCs/>
        </w:rPr>
        <w:t>rubella</w:t>
      </w:r>
      <w:r>
        <w:t xml:space="preserve"> susceptibility and vaccinate if not immune (avoiding pregnancy for one month afterwards); and confirm </w:t>
      </w:r>
      <w:r>
        <w:rPr>
          <w:b/>
          <w:bCs/>
        </w:rPr>
        <w:t>cervical screening</w:t>
      </w:r>
      <w:r>
        <w:t xml:space="preserve"> is up to date. For IVF, HIV and hepatitis B and C are also checked. Source: NICE NG257.</w:t>
      </w:r>
    </w:p>
    <w:p w14:paraId="64864480" w14:textId="77777777" w:rsidR="003B4154" w:rsidRDefault="003B4154">
      <w:pPr>
        <w:keepNext/>
        <w:keepLines/>
        <w:spacing w:before="150"/>
        <w:rPr>
          <w:b/>
          <w:bCs/>
          <w:color w:val="6A3FA0"/>
          <w:spacing w:val="30"/>
          <w:sz w:val="17"/>
          <w:szCs w:val="17"/>
        </w:rPr>
      </w:pPr>
    </w:p>
    <w:p w14:paraId="52B75977" w14:textId="4BB7C826" w:rsidR="000C07F5" w:rsidRDefault="00000000">
      <w:pPr>
        <w:keepNext/>
        <w:keepLines/>
        <w:spacing w:before="150"/>
      </w:pPr>
      <w:r>
        <w:rPr>
          <w:b/>
          <w:bCs/>
          <w:color w:val="6A3FA0"/>
          <w:spacing w:val="30"/>
          <w:sz w:val="17"/>
          <w:szCs w:val="17"/>
        </w:rPr>
        <w:t>STEP 6 · PULL IT TOGETHER</w:t>
      </w:r>
    </w:p>
    <w:p w14:paraId="5EF01D52" w14:textId="77777777" w:rsidR="000C07F5" w:rsidRDefault="00000000">
      <w:pPr>
        <w:keepNext/>
        <w:keepLines/>
        <w:pBdr>
          <w:bottom w:val="single" w:sz="10" w:space="6" w:color="DD5F1B"/>
        </w:pBdr>
        <w:spacing w:before="10" w:after="120"/>
      </w:pPr>
      <w:r>
        <w:rPr>
          <w:b/>
          <w:bCs/>
          <w:color w:val="15263F"/>
          <w:sz w:val="27"/>
          <w:szCs w:val="27"/>
        </w:rPr>
        <w:t>The whole work-up on one page</w:t>
      </w:r>
    </w:p>
    <w:tbl>
      <w:tblPr>
        <w:tblW w:w="9746" w:type="dxa"/>
        <w:tblBorders>
          <w:top w:val="single" w:sz="3" w:space="0" w:color="D4DCE6"/>
          <w:left w:val="single" w:sz="3" w:space="0" w:color="D4DCE6"/>
          <w:bottom w:val="single" w:sz="3" w:space="0" w:color="D4DCE6"/>
          <w:right w:val="single" w:sz="3" w:space="0" w:color="D4DCE6"/>
          <w:insideH w:val="single" w:sz="3" w:space="0" w:color="D4DCE6"/>
          <w:insideV w:val="single" w:sz="3" w:space="0" w:color="D4DCE6"/>
        </w:tblBorders>
        <w:tblCellMar>
          <w:left w:w="10" w:type="dxa"/>
          <w:right w:w="10" w:type="dxa"/>
        </w:tblCellMar>
        <w:tblLook w:val="04A0" w:firstRow="1" w:lastRow="0" w:firstColumn="1" w:lastColumn="0" w:noHBand="0" w:noVBand="1"/>
      </w:tblPr>
      <w:tblGrid>
        <w:gridCol w:w="2550"/>
        <w:gridCol w:w="2850"/>
        <w:gridCol w:w="1900"/>
        <w:gridCol w:w="2446"/>
      </w:tblGrid>
      <w:tr w:rsidR="000C07F5" w14:paraId="29670524" w14:textId="77777777">
        <w:tblPrEx>
          <w:tblCellMar>
            <w:top w:w="0" w:type="dxa"/>
            <w:bottom w:w="0" w:type="dxa"/>
          </w:tblCellMar>
        </w:tblPrEx>
        <w:trPr>
          <w:tblHeader/>
        </w:trPr>
        <w:tc>
          <w:tcPr>
            <w:tcW w:w="255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3CA1ACA1" w14:textId="77777777" w:rsidR="000C07F5" w:rsidRDefault="00000000">
            <w:pPr>
              <w:spacing w:line="248" w:lineRule="auto"/>
            </w:pPr>
            <w:r>
              <w:rPr>
                <w:b/>
                <w:bCs/>
                <w:color w:val="FFFFFF"/>
                <w:sz w:val="19"/>
                <w:szCs w:val="19"/>
              </w:rPr>
              <w:t>Question</w:t>
            </w:r>
          </w:p>
        </w:tc>
        <w:tc>
          <w:tcPr>
            <w:tcW w:w="285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21686E2A" w14:textId="77777777" w:rsidR="000C07F5" w:rsidRDefault="00000000">
            <w:pPr>
              <w:spacing w:line="248" w:lineRule="auto"/>
            </w:pPr>
            <w:r>
              <w:rPr>
                <w:b/>
                <w:bCs/>
                <w:color w:val="FFFFFF"/>
                <w:sz w:val="19"/>
                <w:szCs w:val="19"/>
              </w:rPr>
              <w:t>First-line test</w:t>
            </w:r>
          </w:p>
        </w:tc>
        <w:tc>
          <w:tcPr>
            <w:tcW w:w="1900"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3E56F449" w14:textId="77777777" w:rsidR="000C07F5" w:rsidRDefault="00000000">
            <w:pPr>
              <w:spacing w:line="248" w:lineRule="auto"/>
            </w:pPr>
            <w:r>
              <w:rPr>
                <w:b/>
                <w:bCs/>
                <w:color w:val="FFFFFF"/>
                <w:sz w:val="19"/>
                <w:szCs w:val="19"/>
              </w:rPr>
              <w:t>Reassuring</w:t>
            </w:r>
          </w:p>
        </w:tc>
        <w:tc>
          <w:tcPr>
            <w:tcW w:w="2446" w:type="dxa"/>
            <w:tcBorders>
              <w:top w:val="single" w:sz="3" w:space="0" w:color="D4DCE6"/>
              <w:left w:val="single" w:sz="3" w:space="0" w:color="D4DCE6"/>
              <w:bottom w:val="single" w:sz="3" w:space="0" w:color="D4DCE6"/>
              <w:right w:val="single" w:sz="3" w:space="0" w:color="D4DCE6"/>
            </w:tcBorders>
            <w:shd w:val="clear" w:color="auto" w:fill="15263F"/>
            <w:tcMar>
              <w:top w:w="48" w:type="dxa"/>
              <w:left w:w="130" w:type="dxa"/>
              <w:bottom w:w="48" w:type="dxa"/>
              <w:right w:w="120" w:type="dxa"/>
            </w:tcMar>
            <w:vAlign w:val="center"/>
          </w:tcPr>
          <w:p w14:paraId="28E662BF" w14:textId="77777777" w:rsidR="000C07F5" w:rsidRDefault="00000000">
            <w:pPr>
              <w:spacing w:line="248" w:lineRule="auto"/>
            </w:pPr>
            <w:r>
              <w:rPr>
                <w:b/>
                <w:bCs/>
                <w:color w:val="FFFFFF"/>
                <w:sz w:val="19"/>
                <w:szCs w:val="19"/>
              </w:rPr>
              <w:t>Act / refer if…</w:t>
            </w:r>
          </w:p>
        </w:tc>
      </w:tr>
      <w:tr w:rsidR="000C07F5" w14:paraId="7283810C" w14:textId="77777777">
        <w:tblPrEx>
          <w:tblCellMar>
            <w:top w:w="0" w:type="dxa"/>
            <w:bottom w:w="0" w:type="dxa"/>
          </w:tblCellMar>
        </w:tblPrEx>
        <w:tc>
          <w:tcPr>
            <w:tcW w:w="25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703D020E" w14:textId="77777777" w:rsidR="000C07F5" w:rsidRDefault="00000000">
            <w:pPr>
              <w:spacing w:line="248" w:lineRule="auto"/>
            </w:pPr>
            <w:r>
              <w:rPr>
                <w:b/>
                <w:bCs/>
                <w:sz w:val="19"/>
                <w:szCs w:val="19"/>
              </w:rPr>
              <w:t>Healthy sperm?</w:t>
            </w:r>
          </w:p>
        </w:tc>
        <w:tc>
          <w:tcPr>
            <w:tcW w:w="28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F84B3F7" w14:textId="77777777" w:rsidR="000C07F5" w:rsidRDefault="00000000">
            <w:pPr>
              <w:spacing w:line="248" w:lineRule="auto"/>
            </w:pPr>
            <w:r>
              <w:rPr>
                <w:sz w:val="19"/>
                <w:szCs w:val="19"/>
              </w:rPr>
              <w:t>Semen analysis (WHO 6th-ed limits)</w:t>
            </w:r>
          </w:p>
        </w:tc>
        <w:tc>
          <w:tcPr>
            <w:tcW w:w="19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50F905B0" w14:textId="77777777" w:rsidR="000C07F5" w:rsidRDefault="00000000">
            <w:pPr>
              <w:spacing w:line="248" w:lineRule="auto"/>
            </w:pPr>
            <w:r>
              <w:rPr>
                <w:sz w:val="19"/>
                <w:szCs w:val="19"/>
              </w:rPr>
              <w:t>All values at or above the limits</w:t>
            </w:r>
          </w:p>
        </w:tc>
        <w:tc>
          <w:tcPr>
            <w:tcW w:w="24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7C5C0D9F" w14:textId="77777777" w:rsidR="000C07F5" w:rsidRDefault="00000000">
            <w:pPr>
              <w:spacing w:line="248" w:lineRule="auto"/>
            </w:pPr>
            <w:r>
              <w:rPr>
                <w:sz w:val="18"/>
                <w:szCs w:val="18"/>
              </w:rPr>
              <w:t>Any abnormal value → repeat; two abnormal → examine + refer</w:t>
            </w:r>
          </w:p>
        </w:tc>
      </w:tr>
      <w:tr w:rsidR="000C07F5" w14:paraId="0F559BC1" w14:textId="77777777">
        <w:tblPrEx>
          <w:tblCellMar>
            <w:top w:w="0" w:type="dxa"/>
            <w:bottom w:w="0" w:type="dxa"/>
          </w:tblCellMar>
        </w:tblPrEx>
        <w:tc>
          <w:tcPr>
            <w:tcW w:w="25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39FAA5F7" w14:textId="77777777" w:rsidR="000C07F5" w:rsidRDefault="00000000">
            <w:pPr>
              <w:spacing w:line="248" w:lineRule="auto"/>
            </w:pPr>
            <w:r>
              <w:rPr>
                <w:b/>
                <w:bCs/>
                <w:sz w:val="19"/>
                <w:szCs w:val="19"/>
              </w:rPr>
              <w:t>Ovulating — regular cycles?</w:t>
            </w:r>
          </w:p>
        </w:tc>
        <w:tc>
          <w:tcPr>
            <w:tcW w:w="28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5FBDD144" w14:textId="77777777" w:rsidR="000C07F5" w:rsidRDefault="00000000">
            <w:pPr>
              <w:spacing w:line="248" w:lineRule="auto"/>
            </w:pPr>
            <w:r>
              <w:rPr>
                <w:sz w:val="19"/>
                <w:szCs w:val="19"/>
              </w:rPr>
              <w:t>Mid-luteal progesterone (day 21 / 28)</w:t>
            </w:r>
          </w:p>
        </w:tc>
        <w:tc>
          <w:tcPr>
            <w:tcW w:w="19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1012040F" w14:textId="77777777" w:rsidR="000C07F5" w:rsidRDefault="00000000">
            <w:pPr>
              <w:spacing w:line="248" w:lineRule="auto"/>
            </w:pPr>
            <w:r>
              <w:rPr>
                <w:sz w:val="19"/>
                <w:szCs w:val="19"/>
              </w:rPr>
              <w:t>&gt;30 nmol/L</w:t>
            </w:r>
          </w:p>
        </w:tc>
        <w:tc>
          <w:tcPr>
            <w:tcW w:w="24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1E326B93" w14:textId="77777777" w:rsidR="000C07F5" w:rsidRDefault="00000000">
            <w:pPr>
              <w:spacing w:line="248" w:lineRule="auto"/>
            </w:pPr>
            <w:r>
              <w:rPr>
                <w:sz w:val="18"/>
                <w:szCs w:val="18"/>
              </w:rPr>
              <w:t>Borderline → repeat; persistently low → investigate anovulation</w:t>
            </w:r>
          </w:p>
        </w:tc>
      </w:tr>
      <w:tr w:rsidR="000C07F5" w14:paraId="36872EF8" w14:textId="77777777">
        <w:tblPrEx>
          <w:tblCellMar>
            <w:top w:w="0" w:type="dxa"/>
            <w:bottom w:w="0" w:type="dxa"/>
          </w:tblCellMar>
        </w:tblPrEx>
        <w:tc>
          <w:tcPr>
            <w:tcW w:w="25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6244FB2D" w14:textId="77777777" w:rsidR="000C07F5" w:rsidRDefault="00000000">
            <w:pPr>
              <w:spacing w:line="248" w:lineRule="auto"/>
            </w:pPr>
            <w:r>
              <w:rPr>
                <w:b/>
                <w:bCs/>
                <w:sz w:val="19"/>
                <w:szCs w:val="19"/>
              </w:rPr>
              <w:t>Ovulating — irregular cycles?</w:t>
            </w:r>
          </w:p>
        </w:tc>
        <w:tc>
          <w:tcPr>
            <w:tcW w:w="285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0B64D2CE" w14:textId="77777777" w:rsidR="000C07F5" w:rsidRDefault="00000000">
            <w:pPr>
              <w:spacing w:line="248" w:lineRule="auto"/>
            </w:pPr>
            <w:r>
              <w:rPr>
                <w:sz w:val="19"/>
                <w:szCs w:val="19"/>
              </w:rPr>
              <w:t>FSH + LH (± prolactin / TFT if indicated)</w:t>
            </w:r>
          </w:p>
        </w:tc>
        <w:tc>
          <w:tcPr>
            <w:tcW w:w="1900"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35F7DA11" w14:textId="77777777" w:rsidR="000C07F5" w:rsidRDefault="00000000">
            <w:pPr>
              <w:spacing w:line="248" w:lineRule="auto"/>
            </w:pPr>
            <w:r>
              <w:rPr>
                <w:sz w:val="19"/>
                <w:szCs w:val="19"/>
              </w:rPr>
              <w:t>Pattern fits ovulation</w:t>
            </w:r>
          </w:p>
        </w:tc>
        <w:tc>
          <w:tcPr>
            <w:tcW w:w="2446" w:type="dxa"/>
            <w:tcBorders>
              <w:top w:val="single" w:sz="3" w:space="0" w:color="D4DCE6"/>
              <w:left w:val="single" w:sz="3" w:space="0" w:color="D4DCE6"/>
              <w:bottom w:val="single" w:sz="3" w:space="0" w:color="D4DCE6"/>
              <w:right w:val="single" w:sz="3" w:space="0" w:color="D4DCE6"/>
            </w:tcBorders>
            <w:shd w:val="clear" w:color="auto" w:fill="FFFFFF"/>
            <w:tcMar>
              <w:top w:w="48" w:type="dxa"/>
              <w:left w:w="130" w:type="dxa"/>
              <w:bottom w:w="48" w:type="dxa"/>
              <w:right w:w="120" w:type="dxa"/>
            </w:tcMar>
            <w:vAlign w:val="center"/>
          </w:tcPr>
          <w:p w14:paraId="00757E9E" w14:textId="77777777" w:rsidR="000C07F5" w:rsidRDefault="00000000">
            <w:pPr>
              <w:spacing w:line="248" w:lineRule="auto"/>
            </w:pPr>
            <w:r>
              <w:rPr>
                <w:sz w:val="18"/>
                <w:szCs w:val="18"/>
              </w:rPr>
              <w:t>Abnormal pattern → identify the cause and refer</w:t>
            </w:r>
          </w:p>
        </w:tc>
      </w:tr>
      <w:tr w:rsidR="000C07F5" w14:paraId="45946F3B" w14:textId="77777777">
        <w:tblPrEx>
          <w:tblCellMar>
            <w:top w:w="0" w:type="dxa"/>
            <w:bottom w:w="0" w:type="dxa"/>
          </w:tblCellMar>
        </w:tblPrEx>
        <w:tc>
          <w:tcPr>
            <w:tcW w:w="25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7B21A314" w14:textId="77777777" w:rsidR="000C07F5" w:rsidRDefault="00000000">
            <w:pPr>
              <w:spacing w:line="248" w:lineRule="auto"/>
            </w:pPr>
            <w:r>
              <w:rPr>
                <w:b/>
                <w:bCs/>
                <w:sz w:val="19"/>
                <w:szCs w:val="19"/>
              </w:rPr>
              <w:t>Clear path for egg &amp; sperm?</w:t>
            </w:r>
          </w:p>
        </w:tc>
        <w:tc>
          <w:tcPr>
            <w:tcW w:w="285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547A2A67" w14:textId="77777777" w:rsidR="000C07F5" w:rsidRDefault="00000000">
            <w:pPr>
              <w:spacing w:line="248" w:lineRule="auto"/>
            </w:pPr>
            <w:r>
              <w:rPr>
                <w:sz w:val="19"/>
                <w:szCs w:val="19"/>
              </w:rPr>
              <w:t>Secondary care: HSG (laparoscopy if comorbidity)</w:t>
            </w:r>
          </w:p>
        </w:tc>
        <w:tc>
          <w:tcPr>
            <w:tcW w:w="1900"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6DB9A03C" w14:textId="77777777" w:rsidR="000C07F5" w:rsidRDefault="00000000">
            <w:pPr>
              <w:spacing w:line="248" w:lineRule="auto"/>
            </w:pPr>
            <w:r>
              <w:rPr>
                <w:sz w:val="19"/>
                <w:szCs w:val="19"/>
              </w:rPr>
              <w:t>Patent tubes</w:t>
            </w:r>
          </w:p>
        </w:tc>
        <w:tc>
          <w:tcPr>
            <w:tcW w:w="2446" w:type="dxa"/>
            <w:tcBorders>
              <w:top w:val="single" w:sz="3" w:space="0" w:color="D4DCE6"/>
              <w:left w:val="single" w:sz="3" w:space="0" w:color="D4DCE6"/>
              <w:bottom w:val="single" w:sz="3" w:space="0" w:color="D4DCE6"/>
              <w:right w:val="single" w:sz="3" w:space="0" w:color="D4DCE6"/>
            </w:tcBorders>
            <w:shd w:val="clear" w:color="auto" w:fill="F6F8FB"/>
            <w:tcMar>
              <w:top w:w="48" w:type="dxa"/>
              <w:left w:w="130" w:type="dxa"/>
              <w:bottom w:w="48" w:type="dxa"/>
              <w:right w:w="120" w:type="dxa"/>
            </w:tcMar>
            <w:vAlign w:val="center"/>
          </w:tcPr>
          <w:p w14:paraId="05451071" w14:textId="77777777" w:rsidR="000C07F5" w:rsidRDefault="00000000">
            <w:pPr>
              <w:spacing w:line="248" w:lineRule="auto"/>
            </w:pPr>
            <w:r>
              <w:rPr>
                <w:sz w:val="19"/>
                <w:szCs w:val="19"/>
              </w:rPr>
              <w:t>Refer for imaging</w:t>
            </w:r>
          </w:p>
        </w:tc>
      </w:tr>
    </w:tbl>
    <w:p w14:paraId="6A7BFC67" w14:textId="77777777" w:rsidR="000C07F5" w:rsidRDefault="000C07F5">
      <w:pPr>
        <w:spacing w:after="50"/>
      </w:pPr>
    </w:p>
    <w:tbl>
      <w:tblPr>
        <w:tblW w:w="9746" w:type="dxa"/>
        <w:tblBorders>
          <w:top w:val="single" w:sz="4" w:space="0" w:color="FCEDE3"/>
          <w:left w:val="single" w:sz="26" w:space="0" w:color="DD5F1B"/>
          <w:bottom w:val="single" w:sz="4" w:space="0" w:color="FCEDE3"/>
          <w:right w:val="single" w:sz="4" w:space="0" w:color="FCEDE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C07F5" w14:paraId="00F1E0A3" w14:textId="77777777">
        <w:tblPrEx>
          <w:tblCellMar>
            <w:top w:w="0" w:type="dxa"/>
            <w:bottom w:w="0" w:type="dxa"/>
          </w:tblCellMar>
        </w:tblPrEx>
        <w:tc>
          <w:tcPr>
            <w:tcW w:w="9746" w:type="dxa"/>
            <w:shd w:val="clear" w:color="auto" w:fill="FCEDE3"/>
            <w:tcMar>
              <w:top w:w="88" w:type="dxa"/>
              <w:left w:w="200" w:type="dxa"/>
              <w:bottom w:w="88" w:type="dxa"/>
              <w:right w:w="160" w:type="dxa"/>
            </w:tcMar>
          </w:tcPr>
          <w:p w14:paraId="318EF0AF" w14:textId="77777777" w:rsidR="000C07F5" w:rsidRDefault="00000000">
            <w:pPr>
              <w:spacing w:after="60" w:line="264" w:lineRule="auto"/>
            </w:pPr>
            <w:r>
              <w:rPr>
                <w:b/>
                <w:bCs/>
                <w:color w:val="DD5F1B"/>
                <w:spacing w:val="20"/>
                <w:sz w:val="19"/>
                <w:szCs w:val="19"/>
              </w:rPr>
              <w:t>Safety net — refer promptly</w:t>
            </w:r>
          </w:p>
          <w:p w14:paraId="53B42750" w14:textId="77777777" w:rsidR="000C07F5" w:rsidRDefault="00000000">
            <w:pPr>
              <w:spacing w:after="50" w:line="268" w:lineRule="auto"/>
            </w:pPr>
            <w:r>
              <w:rPr>
                <w:sz w:val="20"/>
                <w:szCs w:val="20"/>
              </w:rPr>
              <w:t>Refer at presentation if the woman is 36 or over, there is a known or suspected cause or risk factor, or a planned treatment may harm fertility.</w:t>
            </w:r>
          </w:p>
          <w:p w14:paraId="41551BAD" w14:textId="77777777" w:rsidR="000C07F5" w:rsidRDefault="00000000">
            <w:pPr>
              <w:spacing w:after="50" w:line="268" w:lineRule="auto"/>
            </w:pPr>
            <w:r>
              <w:rPr>
                <w:b/>
                <w:bCs/>
                <w:color w:val="B0480F"/>
                <w:sz w:val="20"/>
                <w:szCs w:val="20"/>
              </w:rPr>
              <w:t xml:space="preserve">Azoospermia or severe </w:t>
            </w:r>
            <w:proofErr w:type="spellStart"/>
            <w:r>
              <w:rPr>
                <w:b/>
                <w:bCs/>
                <w:color w:val="B0480F"/>
                <w:sz w:val="20"/>
                <w:szCs w:val="20"/>
              </w:rPr>
              <w:t>oligozoospermia</w:t>
            </w:r>
            <w:proofErr w:type="spellEnd"/>
            <w:r>
              <w:rPr>
                <w:sz w:val="20"/>
                <w:szCs w:val="20"/>
              </w:rPr>
              <w:t xml:space="preserve"> needs an urgent repeat and referral — do not wait.</w:t>
            </w:r>
          </w:p>
          <w:p w14:paraId="7913A019" w14:textId="77777777" w:rsidR="000C07F5" w:rsidRDefault="00000000">
            <w:pPr>
              <w:spacing w:line="268" w:lineRule="auto"/>
            </w:pPr>
            <w:r>
              <w:rPr>
                <w:sz w:val="20"/>
                <w:szCs w:val="20"/>
              </w:rPr>
              <w:t>Throughout, offer support: infertility is stressful, and a clear plan helps as much as any test.</w:t>
            </w:r>
          </w:p>
        </w:tc>
      </w:tr>
      <w:tr w:rsidR="000C07F5" w14:paraId="2FC61C9F" w14:textId="77777777">
        <w:tblPrEx>
          <w:tblBorders>
            <w:top w:val="single" w:sz="4" w:space="0" w:color="E1F1F2"/>
            <w:left w:val="single" w:sz="26" w:space="0" w:color="0E7C86"/>
            <w:bottom w:val="single" w:sz="4" w:space="0" w:color="E1F1F2"/>
            <w:right w:val="single" w:sz="4" w:space="0" w:color="E1F1F2"/>
          </w:tblBorders>
          <w:tblCellMar>
            <w:top w:w="0" w:type="dxa"/>
            <w:bottom w:w="0" w:type="dxa"/>
          </w:tblCellMar>
        </w:tblPrEx>
        <w:tc>
          <w:tcPr>
            <w:tcW w:w="9746" w:type="dxa"/>
            <w:shd w:val="clear" w:color="auto" w:fill="E1F1F2"/>
            <w:tcMar>
              <w:top w:w="88" w:type="dxa"/>
              <w:left w:w="200" w:type="dxa"/>
              <w:bottom w:w="88" w:type="dxa"/>
              <w:right w:w="160" w:type="dxa"/>
            </w:tcMar>
          </w:tcPr>
          <w:p w14:paraId="0451FBD4" w14:textId="77777777" w:rsidR="003B4154" w:rsidRDefault="003B4154">
            <w:pPr>
              <w:spacing w:after="60" w:line="264" w:lineRule="auto"/>
              <w:rPr>
                <w:b/>
                <w:bCs/>
                <w:color w:val="0E7C86"/>
                <w:spacing w:val="20"/>
                <w:sz w:val="19"/>
                <w:szCs w:val="19"/>
              </w:rPr>
            </w:pPr>
          </w:p>
          <w:p w14:paraId="4329256E" w14:textId="77777777" w:rsidR="003B4154" w:rsidRDefault="003B4154">
            <w:pPr>
              <w:spacing w:after="60" w:line="264" w:lineRule="auto"/>
              <w:rPr>
                <w:b/>
                <w:bCs/>
                <w:color w:val="0E7C86"/>
                <w:spacing w:val="20"/>
                <w:sz w:val="19"/>
                <w:szCs w:val="19"/>
              </w:rPr>
            </w:pPr>
          </w:p>
          <w:p w14:paraId="04DA061E" w14:textId="77777777" w:rsidR="003B4154" w:rsidRDefault="003B4154">
            <w:pPr>
              <w:spacing w:after="60" w:line="264" w:lineRule="auto"/>
              <w:rPr>
                <w:b/>
                <w:bCs/>
                <w:color w:val="0E7C86"/>
                <w:spacing w:val="20"/>
                <w:sz w:val="19"/>
                <w:szCs w:val="19"/>
              </w:rPr>
            </w:pPr>
          </w:p>
          <w:p w14:paraId="3B076FB5" w14:textId="77777777" w:rsidR="003B4154" w:rsidRDefault="003B4154">
            <w:pPr>
              <w:spacing w:after="60" w:line="264" w:lineRule="auto"/>
              <w:rPr>
                <w:b/>
                <w:bCs/>
                <w:color w:val="0E7C86"/>
                <w:spacing w:val="20"/>
                <w:sz w:val="19"/>
                <w:szCs w:val="19"/>
              </w:rPr>
            </w:pPr>
          </w:p>
          <w:p w14:paraId="5A4382F0" w14:textId="3B2950A4" w:rsidR="000C07F5" w:rsidRDefault="00000000">
            <w:pPr>
              <w:spacing w:after="60" w:line="264" w:lineRule="auto"/>
            </w:pPr>
            <w:r>
              <w:rPr>
                <w:b/>
                <w:bCs/>
                <w:color w:val="0E7C86"/>
                <w:spacing w:val="20"/>
                <w:sz w:val="19"/>
                <w:szCs w:val="19"/>
              </w:rPr>
              <w:lastRenderedPageBreak/>
              <w:t>Sources used</w:t>
            </w:r>
          </w:p>
          <w:p w14:paraId="6B031417" w14:textId="77777777" w:rsidR="000C07F5" w:rsidRDefault="00000000">
            <w:pPr>
              <w:spacing w:after="50" w:line="268" w:lineRule="auto"/>
            </w:pPr>
            <w:r>
              <w:rPr>
                <w:sz w:val="18"/>
                <w:szCs w:val="18"/>
              </w:rPr>
              <w:t>• NICE NG257, Fertility problems: assessment and treatment (published 31 March 2026) — the current UK guideline, which replaced CG156.</w:t>
            </w:r>
          </w:p>
          <w:p w14:paraId="7026B907" w14:textId="77777777" w:rsidR="000C07F5" w:rsidRDefault="00000000">
            <w:pPr>
              <w:spacing w:after="50" w:line="268" w:lineRule="auto"/>
            </w:pPr>
            <w:r>
              <w:rPr>
                <w:sz w:val="18"/>
                <w:szCs w:val="18"/>
              </w:rPr>
              <w:t>• WHO laboratory manual for the examination and processing of human semen, 6th edition (2021).</w:t>
            </w:r>
          </w:p>
          <w:p w14:paraId="1895395B" w14:textId="77777777" w:rsidR="000C07F5" w:rsidRDefault="00000000">
            <w:pPr>
              <w:spacing w:line="268" w:lineRule="auto"/>
            </w:pPr>
            <w:r>
              <w:rPr>
                <w:sz w:val="18"/>
                <w:szCs w:val="18"/>
              </w:rPr>
              <w:t xml:space="preserve">• Progesterone interpretation thresholds: NICE; NHS clinical-biochemistry laboratory handbooks; </w:t>
            </w:r>
            <w:proofErr w:type="spellStart"/>
            <w:r>
              <w:rPr>
                <w:sz w:val="18"/>
                <w:szCs w:val="18"/>
              </w:rPr>
              <w:t>GPnotebook</w:t>
            </w:r>
            <w:proofErr w:type="spellEnd"/>
            <w:r>
              <w:rPr>
                <w:sz w:val="18"/>
                <w:szCs w:val="18"/>
              </w:rPr>
              <w:t>.</w:t>
            </w:r>
          </w:p>
        </w:tc>
      </w:tr>
      <w:tr w:rsidR="000C07F5" w14:paraId="5BF0EB81" w14:textId="77777777">
        <w:tblPrEx>
          <w:tblBorders>
            <w:top w:val="single" w:sz="4" w:space="0" w:color="EEF2F7"/>
            <w:left w:val="single" w:sz="26" w:space="0" w:color="6A7A92"/>
            <w:bottom w:val="single" w:sz="4" w:space="0" w:color="EEF2F7"/>
            <w:right w:val="single" w:sz="4" w:space="0" w:color="EEF2F7"/>
          </w:tblBorders>
          <w:tblCellMar>
            <w:top w:w="0" w:type="dxa"/>
            <w:bottom w:w="0" w:type="dxa"/>
          </w:tblCellMar>
        </w:tblPrEx>
        <w:tc>
          <w:tcPr>
            <w:tcW w:w="9746" w:type="dxa"/>
            <w:shd w:val="clear" w:color="auto" w:fill="EEF2F7"/>
            <w:tcMar>
              <w:top w:w="88" w:type="dxa"/>
              <w:left w:w="200" w:type="dxa"/>
              <w:bottom w:w="88" w:type="dxa"/>
              <w:right w:w="160" w:type="dxa"/>
            </w:tcMar>
          </w:tcPr>
          <w:p w14:paraId="5E44BAF4" w14:textId="77777777" w:rsidR="000C07F5" w:rsidRDefault="00000000">
            <w:pPr>
              <w:spacing w:after="60" w:line="264" w:lineRule="auto"/>
            </w:pPr>
            <w:r>
              <w:rPr>
                <w:b/>
                <w:bCs/>
                <w:color w:val="6A7A92"/>
                <w:spacing w:val="20"/>
                <w:sz w:val="19"/>
                <w:szCs w:val="19"/>
              </w:rPr>
              <w:lastRenderedPageBreak/>
              <w:t>Disclaimer</w:t>
            </w:r>
          </w:p>
          <w:p w14:paraId="0DC50F84" w14:textId="77777777" w:rsidR="000C07F5" w:rsidRDefault="00000000">
            <w:pPr>
              <w:spacing w:line="268" w:lineRule="auto"/>
            </w:pPr>
            <w:r>
              <w:rPr>
                <w:i/>
                <w:iCs/>
                <w:color w:val="3F516B"/>
                <w:sz w:val="18"/>
                <w:szCs w:val="18"/>
              </w:rPr>
              <w:t>Provided exclusively as an educational teaching aid; it does not constitute formal clinical guidance. Clinicians must independently verify all information against current national guidance, local policies, and the relevant regulatory bodies before clinical use.</w:t>
            </w:r>
          </w:p>
        </w:tc>
      </w:tr>
    </w:tbl>
    <w:p w14:paraId="4487A8AD" w14:textId="77777777" w:rsidR="00ED2A3A" w:rsidRDefault="00ED2A3A"/>
    <w:sectPr w:rsidR="00ED2A3A">
      <w:footerReference w:type="default" r:id="rId10"/>
      <w:pgSz w:w="11906" w:h="16838"/>
      <w:pgMar w:top="1000" w:right="1080" w:bottom="11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BC59" w14:textId="77777777" w:rsidR="00ED2A3A" w:rsidRDefault="00ED2A3A">
      <w:r>
        <w:separator/>
      </w:r>
    </w:p>
  </w:endnote>
  <w:endnote w:type="continuationSeparator" w:id="0">
    <w:p w14:paraId="7EAC1565" w14:textId="77777777" w:rsidR="00ED2A3A" w:rsidRDefault="00ED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3A4A" w14:textId="77777777" w:rsidR="000C07F5" w:rsidRDefault="00000000">
    <w:pPr>
      <w:pBdr>
        <w:top w:val="single" w:sz="6" w:space="6" w:color="DD5F1B"/>
      </w:pBdr>
      <w:tabs>
        <w:tab w:val="right" w:pos="9746"/>
      </w:tabs>
      <w:spacing w:before="60"/>
    </w:pPr>
    <w:r>
      <w:rPr>
        <w:color w:val="6A7A92"/>
        <w:sz w:val="14"/>
        <w:szCs w:val="14"/>
      </w:rPr>
      <w:t xml:space="preserve">Bradford VTS Teaching </w:t>
    </w:r>
    <w:proofErr w:type="gramStart"/>
    <w:r>
      <w:rPr>
        <w:color w:val="6A7A92"/>
        <w:sz w:val="14"/>
        <w:szCs w:val="14"/>
      </w:rPr>
      <w:t>Aids  ·</w:t>
    </w:r>
    <w:proofErr w:type="gramEnd"/>
    <w:r>
      <w:rPr>
        <w:color w:val="6A7A92"/>
        <w:sz w:val="14"/>
        <w:szCs w:val="14"/>
      </w:rPr>
      <w:t xml:space="preserve">  Educational use only — verify against current national guidance and local policy before clinical use.</w:t>
    </w:r>
    <w:r>
      <w:rPr>
        <w:b/>
        <w:bCs/>
        <w:color w:val="6A7A92"/>
        <w:sz w:val="14"/>
        <w:szCs w:val="14"/>
      </w:rPr>
      <w:tab/>
      <w:t>June 2026</w:t>
    </w:r>
  </w:p>
  <w:p w14:paraId="5A97F1A3" w14:textId="77777777" w:rsidR="000C07F5" w:rsidRDefault="00000000">
    <w:pPr>
      <w:spacing w:before="20"/>
      <w:jc w:val="right"/>
    </w:pPr>
    <w:r>
      <w:rPr>
        <w:color w:val="6A7A92"/>
        <w:sz w:val="14"/>
        <w:szCs w:val="14"/>
      </w:rPr>
      <w:t xml:space="preserve">Page </w:t>
    </w:r>
    <w:r>
      <w:rPr>
        <w:color w:val="6A7A92"/>
        <w:sz w:val="14"/>
        <w:szCs w:val="14"/>
      </w:rPr>
      <w:fldChar w:fldCharType="begin"/>
    </w:r>
    <w:r>
      <w:rPr>
        <w:color w:val="6A7A92"/>
        <w:sz w:val="14"/>
        <w:szCs w:val="14"/>
      </w:rPr>
      <w:instrText>PAGE</w:instrText>
    </w:r>
    <w:r>
      <w:rPr>
        <w:color w:val="6A7A92"/>
        <w:sz w:val="14"/>
        <w:szCs w:val="14"/>
      </w:rPr>
      <w:fldChar w:fldCharType="separate"/>
    </w:r>
    <w:r w:rsidR="003B4154">
      <w:rPr>
        <w:noProof/>
        <w:color w:val="6A7A92"/>
        <w:sz w:val="14"/>
        <w:szCs w:val="14"/>
      </w:rPr>
      <w:t>1</w:t>
    </w:r>
    <w:r>
      <w:rPr>
        <w:color w:val="6A7A92"/>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D441" w14:textId="77777777" w:rsidR="00ED2A3A" w:rsidRDefault="00ED2A3A">
      <w:r>
        <w:separator/>
      </w:r>
    </w:p>
  </w:footnote>
  <w:footnote w:type="continuationSeparator" w:id="0">
    <w:p w14:paraId="0385C840" w14:textId="77777777" w:rsidR="00ED2A3A" w:rsidRDefault="00ED2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42C"/>
    <w:multiLevelType w:val="hybridMultilevel"/>
    <w:tmpl w:val="B13E4EFA"/>
    <w:lvl w:ilvl="0" w:tplc="37D8ABCA">
      <w:start w:val="1"/>
      <w:numFmt w:val="bullet"/>
      <w:lvlText w:val="●"/>
      <w:lvlJc w:val="left"/>
      <w:pPr>
        <w:ind w:left="720" w:hanging="360"/>
      </w:pPr>
    </w:lvl>
    <w:lvl w:ilvl="1" w:tplc="E42E6E26">
      <w:start w:val="1"/>
      <w:numFmt w:val="bullet"/>
      <w:lvlText w:val="○"/>
      <w:lvlJc w:val="left"/>
      <w:pPr>
        <w:ind w:left="1440" w:hanging="360"/>
      </w:pPr>
    </w:lvl>
    <w:lvl w:ilvl="2" w:tplc="2F30A3BC">
      <w:start w:val="1"/>
      <w:numFmt w:val="bullet"/>
      <w:lvlText w:val="■"/>
      <w:lvlJc w:val="left"/>
      <w:pPr>
        <w:ind w:left="2160" w:hanging="360"/>
      </w:pPr>
    </w:lvl>
    <w:lvl w:ilvl="3" w:tplc="CDA000A8">
      <w:start w:val="1"/>
      <w:numFmt w:val="bullet"/>
      <w:lvlText w:val="●"/>
      <w:lvlJc w:val="left"/>
      <w:pPr>
        <w:ind w:left="2880" w:hanging="360"/>
      </w:pPr>
    </w:lvl>
    <w:lvl w:ilvl="4" w:tplc="7F50A222">
      <w:start w:val="1"/>
      <w:numFmt w:val="bullet"/>
      <w:lvlText w:val="○"/>
      <w:lvlJc w:val="left"/>
      <w:pPr>
        <w:ind w:left="3600" w:hanging="360"/>
      </w:pPr>
    </w:lvl>
    <w:lvl w:ilvl="5" w:tplc="744E44AE">
      <w:start w:val="1"/>
      <w:numFmt w:val="bullet"/>
      <w:lvlText w:val="■"/>
      <w:lvlJc w:val="left"/>
      <w:pPr>
        <w:ind w:left="4320" w:hanging="360"/>
      </w:pPr>
    </w:lvl>
    <w:lvl w:ilvl="6" w:tplc="52C820A8">
      <w:start w:val="1"/>
      <w:numFmt w:val="bullet"/>
      <w:lvlText w:val="●"/>
      <w:lvlJc w:val="left"/>
      <w:pPr>
        <w:ind w:left="5040" w:hanging="360"/>
      </w:pPr>
    </w:lvl>
    <w:lvl w:ilvl="7" w:tplc="2F5C5290">
      <w:start w:val="1"/>
      <w:numFmt w:val="bullet"/>
      <w:lvlText w:val="●"/>
      <w:lvlJc w:val="left"/>
      <w:pPr>
        <w:ind w:left="5760" w:hanging="360"/>
      </w:pPr>
    </w:lvl>
    <w:lvl w:ilvl="8" w:tplc="F91E75DC">
      <w:start w:val="1"/>
      <w:numFmt w:val="bullet"/>
      <w:lvlText w:val="●"/>
      <w:lvlJc w:val="left"/>
      <w:pPr>
        <w:ind w:left="6480" w:hanging="360"/>
      </w:pPr>
    </w:lvl>
  </w:abstractNum>
  <w:num w:numId="1" w16cid:durableId="10701506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7F5"/>
    <w:rsid w:val="000C07F5"/>
    <w:rsid w:val="00265B99"/>
    <w:rsid w:val="003B4154"/>
    <w:rsid w:val="00ED2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269A"/>
  <w15:docId w15:val="{182739AE-012D-4162-BB68-9D740084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B36"/>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1245</Words>
  <Characters>7097</Characters>
  <Application>Microsoft Office Word</Application>
  <DocSecurity>0</DocSecurity>
  <Lines>59</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2026-06-11T17:43:00Z</dcterms:created>
  <dcterms:modified xsi:type="dcterms:W3CDTF">2026-06-12T00:07:00Z</dcterms:modified>
</cp:coreProperties>
</file>