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7A32A842" w14:textId="77777777">
        <w:tblPrEx>
          <w:tblCellMar>
            <w:top w:w="0" w:type="dxa"/>
            <w:bottom w:w="0" w:type="dxa"/>
          </w:tblCellMar>
        </w:tblPrEx>
        <w:tc>
          <w:tcPr>
            <w:tcW w:w="9746" w:type="dxa"/>
            <w:shd w:val="clear" w:color="auto" w:fill="E8740C"/>
            <w:tcMar>
              <w:top w:w="130" w:type="dxa"/>
              <w:left w:w="220" w:type="dxa"/>
              <w:bottom w:w="130" w:type="dxa"/>
              <w:right w:w="200" w:type="dxa"/>
            </w:tcMar>
          </w:tcPr>
          <w:p w14:paraId="2D56E8ED" w14:textId="77777777" w:rsidR="00C63B67" w:rsidRDefault="00000000">
            <w:r>
              <w:rPr>
                <w:b/>
                <w:bCs/>
                <w:color w:val="FFFFFF"/>
                <w:sz w:val="32"/>
                <w:szCs w:val="32"/>
              </w:rPr>
              <w:t>BRADFORD VTS TEACHING AIDS</w:t>
            </w:r>
          </w:p>
        </w:tc>
      </w:tr>
    </w:tbl>
    <w:p w14:paraId="046DD5DB" w14:textId="77777777" w:rsidR="00C63B67" w:rsidRDefault="00000000">
      <w:pPr>
        <w:spacing w:before="60" w:after="30"/>
      </w:pPr>
      <w:r>
        <w:rPr>
          <w:b/>
          <w:bCs/>
          <w:color w:val="5B6770"/>
          <w:sz w:val="20"/>
          <w:szCs w:val="20"/>
        </w:rPr>
        <w:t>June 2026</w:t>
      </w:r>
    </w:p>
    <w:p w14:paraId="04B1D900" w14:textId="77777777" w:rsidR="00C63B67" w:rsidRDefault="00000000">
      <w:pPr>
        <w:spacing w:before="60" w:after="30"/>
      </w:pPr>
      <w:r>
        <w:rPr>
          <w:b/>
          <w:bCs/>
          <w:color w:val="1B3A5B"/>
          <w:sz w:val="40"/>
          <w:szCs w:val="40"/>
        </w:rPr>
        <w:t>Examination of the Pregnant Abdomen</w:t>
      </w:r>
    </w:p>
    <w:p w14:paraId="35DE8F72" w14:textId="77777777" w:rsidR="00C63B67" w:rsidRDefault="00000000">
      <w:pPr>
        <w:pBdr>
          <w:bottom w:val="single" w:sz="12" w:space="6" w:color="0E7C7B"/>
        </w:pBdr>
        <w:spacing w:after="120"/>
      </w:pPr>
      <w:r>
        <w:rPr>
          <w:i/>
          <w:iCs/>
          <w:color w:val="5B6770"/>
          <w:sz w:val="21"/>
          <w:szCs w:val="21"/>
        </w:rPr>
        <w:t>A practical, hands-on guide for GP trainees and international medical graduates in UK primary care</w:t>
      </w:r>
    </w:p>
    <w:p w14:paraId="3631D5F7" w14:textId="77777777" w:rsidR="00C63B67" w:rsidRDefault="00000000">
      <w:pPr>
        <w:spacing w:after="120" w:line="276" w:lineRule="auto"/>
      </w:pPr>
      <w:r>
        <w:t xml:space="preserve">The pregnant abdomen tells a story you can read with your hands. A calm, well-ordered examination reassures the woman, tracks how the baby is growing, and catches the few problems that need fast action. The trick is to do it the same way every time. Use one simple spine: </w:t>
      </w:r>
      <w:r>
        <w:rPr>
          <w:b/>
          <w:bCs/>
          <w:color w:val="1B3A5B"/>
        </w:rPr>
        <w:t>Look, Feel, Listen.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8"/>
        <w:gridCol w:w="3249"/>
        <w:gridCol w:w="3249"/>
      </w:tblGrid>
      <w:tr w:rsidR="00C63B67" w14:paraId="244F045A" w14:textId="77777777">
        <w:tblPrEx>
          <w:tblCellMar>
            <w:top w:w="0" w:type="dxa"/>
            <w:bottom w:w="0" w:type="dxa"/>
          </w:tblCellMar>
        </w:tblPrEx>
        <w:tc>
          <w:tcPr>
            <w:tcW w:w="3249" w:type="dxa"/>
            <w:tcBorders>
              <w:top w:val="single" w:sz="2" w:space="0" w:color="FFFFFF"/>
              <w:left w:val="single" w:sz="2" w:space="0" w:color="FFFFFF"/>
              <w:bottom w:val="single" w:sz="2" w:space="0" w:color="FFFFFF"/>
              <w:right w:val="single" w:sz="2" w:space="0" w:color="FFFFFF"/>
            </w:tcBorders>
            <w:shd w:val="clear" w:color="auto" w:fill="1B3A5B"/>
            <w:tcMar>
              <w:top w:w="120" w:type="dxa"/>
              <w:left w:w="150" w:type="dxa"/>
              <w:bottom w:w="120" w:type="dxa"/>
              <w:right w:w="150" w:type="dxa"/>
            </w:tcMar>
          </w:tcPr>
          <w:p w14:paraId="30EA3E7F" w14:textId="77777777" w:rsidR="00C63B67" w:rsidRDefault="00000000">
            <w:pPr>
              <w:spacing w:after="30"/>
              <w:jc w:val="center"/>
            </w:pPr>
            <w:proofErr w:type="gramStart"/>
            <w:r>
              <w:rPr>
                <w:b/>
                <w:bCs/>
                <w:color w:val="FFFFFF"/>
              </w:rPr>
              <w:t>1  LOOK</w:t>
            </w:r>
            <w:proofErr w:type="gramEnd"/>
          </w:p>
          <w:p w14:paraId="256C58D8" w14:textId="77777777" w:rsidR="00C63B67" w:rsidRDefault="00000000">
            <w:pPr>
              <w:jc w:val="center"/>
            </w:pPr>
            <w:r>
              <w:rPr>
                <w:color w:val="FFFFFF"/>
                <w:sz w:val="18"/>
                <w:szCs w:val="18"/>
              </w:rPr>
              <w:t>Inspect: size, shape, scars, skin, movements</w:t>
            </w:r>
          </w:p>
        </w:tc>
        <w:tc>
          <w:tcPr>
            <w:tcW w:w="3249" w:type="dxa"/>
            <w:tcBorders>
              <w:top w:val="single" w:sz="2" w:space="0" w:color="FFFFFF"/>
              <w:left w:val="single" w:sz="2" w:space="0" w:color="FFFFFF"/>
              <w:bottom w:val="single" w:sz="2" w:space="0" w:color="FFFFFF"/>
              <w:right w:val="single" w:sz="2" w:space="0" w:color="FFFFFF"/>
            </w:tcBorders>
            <w:shd w:val="clear" w:color="auto" w:fill="0E7C7B"/>
            <w:tcMar>
              <w:top w:w="120" w:type="dxa"/>
              <w:left w:w="150" w:type="dxa"/>
              <w:bottom w:w="120" w:type="dxa"/>
              <w:right w:w="150" w:type="dxa"/>
            </w:tcMar>
          </w:tcPr>
          <w:p w14:paraId="48990D9E" w14:textId="77777777" w:rsidR="00C63B67" w:rsidRDefault="00000000">
            <w:pPr>
              <w:spacing w:after="30"/>
              <w:jc w:val="center"/>
            </w:pPr>
            <w:proofErr w:type="gramStart"/>
            <w:r>
              <w:rPr>
                <w:b/>
                <w:bCs/>
                <w:color w:val="FFFFFF"/>
              </w:rPr>
              <w:t>2  FEEL</w:t>
            </w:r>
            <w:proofErr w:type="gramEnd"/>
          </w:p>
          <w:p w14:paraId="32AC3440" w14:textId="77777777" w:rsidR="00C63B67" w:rsidRDefault="00000000">
            <w:pPr>
              <w:jc w:val="center"/>
            </w:pPr>
            <w:r>
              <w:rPr>
                <w:color w:val="FFFFFF"/>
                <w:sz w:val="18"/>
                <w:szCs w:val="18"/>
              </w:rPr>
              <w:t>Palpate: height, lie, presentation, engagement</w:t>
            </w:r>
          </w:p>
        </w:tc>
        <w:tc>
          <w:tcPr>
            <w:tcW w:w="3249" w:type="dxa"/>
            <w:tcBorders>
              <w:top w:val="single" w:sz="2" w:space="0" w:color="FFFFFF"/>
              <w:left w:val="single" w:sz="2" w:space="0" w:color="FFFFFF"/>
              <w:bottom w:val="single" w:sz="2" w:space="0" w:color="FFFFFF"/>
              <w:right w:val="single" w:sz="2" w:space="0" w:color="FFFFFF"/>
            </w:tcBorders>
            <w:shd w:val="clear" w:color="auto" w:fill="3E6B8C"/>
            <w:tcMar>
              <w:top w:w="120" w:type="dxa"/>
              <w:left w:w="150" w:type="dxa"/>
              <w:bottom w:w="120" w:type="dxa"/>
              <w:right w:w="150" w:type="dxa"/>
            </w:tcMar>
          </w:tcPr>
          <w:p w14:paraId="135D4A87" w14:textId="77777777" w:rsidR="00C63B67" w:rsidRDefault="00000000">
            <w:pPr>
              <w:spacing w:after="30"/>
              <w:jc w:val="center"/>
            </w:pPr>
            <w:proofErr w:type="gramStart"/>
            <w:r>
              <w:rPr>
                <w:b/>
                <w:bCs/>
                <w:color w:val="FFFFFF"/>
              </w:rPr>
              <w:t>3  LISTEN</w:t>
            </w:r>
            <w:proofErr w:type="gramEnd"/>
          </w:p>
          <w:p w14:paraId="7D00D742" w14:textId="77777777" w:rsidR="00C63B67" w:rsidRDefault="00000000">
            <w:pPr>
              <w:jc w:val="center"/>
            </w:pPr>
            <w:r>
              <w:rPr>
                <w:color w:val="FFFFFF"/>
                <w:sz w:val="18"/>
                <w:szCs w:val="18"/>
              </w:rPr>
              <w:t xml:space="preserve">Auscultate the </w:t>
            </w:r>
            <w:proofErr w:type="spellStart"/>
            <w:r>
              <w:rPr>
                <w:color w:val="FFFFFF"/>
                <w:sz w:val="18"/>
                <w:szCs w:val="18"/>
              </w:rPr>
              <w:t>fetal</w:t>
            </w:r>
            <w:proofErr w:type="spellEnd"/>
            <w:r>
              <w:rPr>
                <w:color w:val="FFFFFF"/>
                <w:sz w:val="18"/>
                <w:szCs w:val="18"/>
              </w:rPr>
              <w:t xml:space="preserve"> heart — only if she wants it</w:t>
            </w:r>
          </w:p>
        </w:tc>
      </w:tr>
    </w:tbl>
    <w:p w14:paraId="0666B077" w14:textId="77777777" w:rsidR="00C63B67" w:rsidRDefault="00C63B67">
      <w:pPr>
        <w:spacing w:after="60"/>
      </w:pPr>
    </w:p>
    <w:tbl>
      <w:tblPr>
        <w:tblW w:w="9746" w:type="dxa"/>
        <w:tblBorders>
          <w:top w:val="none" w:sz="0" w:space="0" w:color="FFFFFF"/>
          <w:left w:val="single" w:sz="28" w:space="0" w:color="1E7A48"/>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4E5D1E65" w14:textId="77777777">
        <w:tblPrEx>
          <w:tblCellMar>
            <w:top w:w="0" w:type="dxa"/>
            <w:bottom w:w="0" w:type="dxa"/>
          </w:tblCellMar>
        </w:tblPrEx>
        <w:tc>
          <w:tcPr>
            <w:tcW w:w="9746" w:type="dxa"/>
            <w:shd w:val="clear" w:color="auto" w:fill="E7F4EC"/>
            <w:tcMar>
              <w:top w:w="120" w:type="dxa"/>
              <w:left w:w="200" w:type="dxa"/>
              <w:bottom w:w="120" w:type="dxa"/>
              <w:right w:w="160" w:type="dxa"/>
            </w:tcMar>
          </w:tcPr>
          <w:p w14:paraId="2C8C6873" w14:textId="77777777" w:rsidR="00C63B67" w:rsidRDefault="00000000">
            <w:pPr>
              <w:spacing w:after="50"/>
            </w:pPr>
            <w:r>
              <w:rPr>
                <w:b/>
                <w:bCs/>
                <w:color w:val="1E7A48"/>
              </w:rPr>
              <w:t>What you are trying to achieve</w:t>
            </w:r>
          </w:p>
          <w:p w14:paraId="218FC57E" w14:textId="77777777" w:rsidR="00C63B67" w:rsidRDefault="00000000">
            <w:pPr>
              <w:pStyle w:val="ListParagraph"/>
              <w:numPr>
                <w:ilvl w:val="0"/>
                <w:numId w:val="2"/>
              </w:numPr>
              <w:spacing w:after="30" w:line="260" w:lineRule="auto"/>
            </w:pPr>
            <w:r>
              <w:rPr>
                <w:sz w:val="21"/>
                <w:szCs w:val="21"/>
              </w:rPr>
              <w:t>Confirm the baby is growing in line with the dates.</w:t>
            </w:r>
          </w:p>
          <w:p w14:paraId="239831B7" w14:textId="77777777" w:rsidR="00C63B67" w:rsidRDefault="00000000">
            <w:pPr>
              <w:pStyle w:val="ListParagraph"/>
              <w:numPr>
                <w:ilvl w:val="0"/>
                <w:numId w:val="2"/>
              </w:numPr>
              <w:spacing w:after="30" w:line="260" w:lineRule="auto"/>
            </w:pPr>
            <w:r>
              <w:rPr>
                <w:sz w:val="21"/>
                <w:szCs w:val="21"/>
              </w:rPr>
              <w:t xml:space="preserve">Work out the baby’s </w:t>
            </w:r>
            <w:r>
              <w:rPr>
                <w:b/>
                <w:bCs/>
                <w:sz w:val="21"/>
                <w:szCs w:val="21"/>
              </w:rPr>
              <w:t>lie, presentation and engagement</w:t>
            </w:r>
            <w:r>
              <w:rPr>
                <w:sz w:val="21"/>
                <w:szCs w:val="21"/>
              </w:rPr>
              <w:t>.</w:t>
            </w:r>
          </w:p>
          <w:p w14:paraId="20B80323" w14:textId="77777777" w:rsidR="00C63B67" w:rsidRDefault="00000000">
            <w:pPr>
              <w:pStyle w:val="ListParagraph"/>
              <w:numPr>
                <w:ilvl w:val="0"/>
                <w:numId w:val="2"/>
              </w:numPr>
              <w:spacing w:after="30" w:line="260" w:lineRule="auto"/>
            </w:pPr>
            <w:r>
              <w:rPr>
                <w:sz w:val="21"/>
                <w:szCs w:val="21"/>
              </w:rPr>
              <w:t>Spot the red flags early — and act on them.</w:t>
            </w:r>
          </w:p>
        </w:tc>
      </w:tr>
    </w:tbl>
    <w:p w14:paraId="6563E9DF" w14:textId="77777777" w:rsidR="00C63B67" w:rsidRDefault="00000000">
      <w:pPr>
        <w:keepNext/>
        <w:pBdr>
          <w:bottom w:val="single" w:sz="18" w:space="4" w:color="E8740C"/>
        </w:pBdr>
        <w:spacing w:before="240" w:after="120"/>
      </w:pPr>
      <w:r>
        <w:rPr>
          <w:b/>
          <w:bCs/>
          <w:color w:val="1B3A5B"/>
          <w:sz w:val="30"/>
          <w:szCs w:val="30"/>
        </w:rPr>
        <w:t>1.  Before you start</w:t>
      </w:r>
    </w:p>
    <w:p w14:paraId="45100067" w14:textId="77777777" w:rsidR="00C63B67" w:rsidRDefault="00000000">
      <w:pPr>
        <w:pStyle w:val="ListParagraph"/>
        <w:numPr>
          <w:ilvl w:val="0"/>
          <w:numId w:val="2"/>
        </w:numPr>
        <w:spacing w:after="60" w:line="264" w:lineRule="auto"/>
      </w:pPr>
      <w:r>
        <w:rPr>
          <w:b/>
          <w:bCs/>
          <w:sz w:val="21"/>
          <w:szCs w:val="21"/>
        </w:rPr>
        <w:t>Wash your hands</w:t>
      </w:r>
      <w:r>
        <w:rPr>
          <w:sz w:val="21"/>
          <w:szCs w:val="21"/>
        </w:rPr>
        <w:t xml:space="preserve"> before and after touching the woman.</w:t>
      </w:r>
    </w:p>
    <w:p w14:paraId="11EC5AF1" w14:textId="77777777" w:rsidR="00C63B67" w:rsidRDefault="00000000">
      <w:pPr>
        <w:pStyle w:val="ListParagraph"/>
        <w:numPr>
          <w:ilvl w:val="0"/>
          <w:numId w:val="2"/>
        </w:numPr>
        <w:spacing w:after="60" w:line="264" w:lineRule="auto"/>
      </w:pPr>
      <w:r>
        <w:rPr>
          <w:sz w:val="21"/>
          <w:szCs w:val="21"/>
        </w:rPr>
        <w:t xml:space="preserve">Introduce yourself, check her identity, explain what you will do and why, and </w:t>
      </w:r>
      <w:r>
        <w:rPr>
          <w:b/>
          <w:bCs/>
          <w:sz w:val="21"/>
          <w:szCs w:val="21"/>
        </w:rPr>
        <w:t>gain consent first.</w:t>
      </w:r>
    </w:p>
    <w:p w14:paraId="33699C21" w14:textId="77777777" w:rsidR="00C63B67" w:rsidRDefault="00000000">
      <w:pPr>
        <w:pStyle w:val="ListParagraph"/>
        <w:numPr>
          <w:ilvl w:val="0"/>
          <w:numId w:val="2"/>
        </w:numPr>
        <w:spacing w:after="60" w:line="264" w:lineRule="auto"/>
      </w:pPr>
      <w:r>
        <w:rPr>
          <w:sz w:val="21"/>
          <w:szCs w:val="21"/>
        </w:rPr>
        <w:t>Offer a chaperone and record who is present (GMC guidance).</w:t>
      </w:r>
    </w:p>
    <w:p w14:paraId="759769E3" w14:textId="77777777" w:rsidR="00C63B67" w:rsidRDefault="00000000">
      <w:pPr>
        <w:pStyle w:val="ListParagraph"/>
        <w:numPr>
          <w:ilvl w:val="0"/>
          <w:numId w:val="2"/>
        </w:numPr>
        <w:spacing w:after="60" w:line="264" w:lineRule="auto"/>
      </w:pPr>
      <w:r>
        <w:rPr>
          <w:sz w:val="21"/>
          <w:szCs w:val="21"/>
        </w:rPr>
        <w:t xml:space="preserve">Ask her to </w:t>
      </w:r>
      <w:r>
        <w:rPr>
          <w:b/>
          <w:bCs/>
          <w:sz w:val="21"/>
          <w:szCs w:val="21"/>
        </w:rPr>
        <w:t>empty her bladder.</w:t>
      </w:r>
      <w:r>
        <w:rPr>
          <w:sz w:val="21"/>
          <w:szCs w:val="21"/>
        </w:rPr>
        <w:t xml:space="preserve"> A full bladder is uncomfortable and pushes the fundus up, making the height measurement wrong.</w:t>
      </w:r>
    </w:p>
    <w:p w14:paraId="4CC629BE" w14:textId="77777777" w:rsidR="00C63B67" w:rsidRDefault="00000000">
      <w:pPr>
        <w:pStyle w:val="ListParagraph"/>
        <w:numPr>
          <w:ilvl w:val="0"/>
          <w:numId w:val="2"/>
        </w:numPr>
        <w:spacing w:after="60" w:line="264" w:lineRule="auto"/>
      </w:pPr>
      <w:r>
        <w:rPr>
          <w:sz w:val="21"/>
          <w:szCs w:val="21"/>
        </w:rPr>
        <w:t>Position her semi-reclined (propped at about 45°). Expose from the bottom of the breastbone to the pubic bone; keep the rest covered for dignity and warmth.</w:t>
      </w:r>
    </w:p>
    <w:tbl>
      <w:tblPr>
        <w:tblW w:w="9746" w:type="dxa"/>
        <w:tblBorders>
          <w:top w:val="none" w:sz="0" w:space="0" w:color="FFFFFF"/>
          <w:left w:val="single" w:sz="28" w:space="0" w:color="E08A1E"/>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05D6F426" w14:textId="77777777">
        <w:tblPrEx>
          <w:tblCellMar>
            <w:top w:w="0" w:type="dxa"/>
            <w:bottom w:w="0" w:type="dxa"/>
          </w:tblCellMar>
        </w:tblPrEx>
        <w:tc>
          <w:tcPr>
            <w:tcW w:w="9746" w:type="dxa"/>
            <w:shd w:val="clear" w:color="auto" w:fill="FDF3E2"/>
            <w:tcMar>
              <w:top w:w="120" w:type="dxa"/>
              <w:left w:w="200" w:type="dxa"/>
              <w:bottom w:w="120" w:type="dxa"/>
              <w:right w:w="160" w:type="dxa"/>
            </w:tcMar>
          </w:tcPr>
          <w:p w14:paraId="693C36A9" w14:textId="77777777" w:rsidR="00C63B67" w:rsidRDefault="00000000">
            <w:pPr>
              <w:spacing w:after="50"/>
            </w:pPr>
            <w:proofErr w:type="gramStart"/>
            <w:r>
              <w:rPr>
                <w:b/>
                <w:bCs/>
                <w:color w:val="B9770E"/>
              </w:rPr>
              <w:t>⚠  Do</w:t>
            </w:r>
            <w:proofErr w:type="gramEnd"/>
            <w:r>
              <w:rPr>
                <w:b/>
                <w:bCs/>
                <w:color w:val="B9770E"/>
              </w:rPr>
              <w:t xml:space="preserve"> not lay her flat on her back for long (after ~16–20 weeks)</w:t>
            </w:r>
          </w:p>
          <w:p w14:paraId="4609ED07" w14:textId="77777777" w:rsidR="00C63B67" w:rsidRDefault="00000000">
            <w:pPr>
              <w:spacing w:after="40" w:line="264" w:lineRule="auto"/>
            </w:pPr>
            <w:r>
              <w:rPr>
                <w:sz w:val="21"/>
                <w:szCs w:val="21"/>
              </w:rPr>
              <w:t xml:space="preserve">The heavy uterus can press on the main vein (inferior vena cava) and drop her blood pressure — </w:t>
            </w:r>
            <w:r>
              <w:rPr>
                <w:b/>
                <w:bCs/>
                <w:sz w:val="21"/>
                <w:szCs w:val="21"/>
              </w:rPr>
              <w:t>supine hypotension.</w:t>
            </w:r>
            <w:r>
              <w:rPr>
                <w:sz w:val="21"/>
                <w:szCs w:val="21"/>
              </w:rPr>
              <w:t xml:space="preserve"> If she feels faint, dizzy or nauseated, </w:t>
            </w:r>
            <w:r>
              <w:rPr>
                <w:b/>
                <w:bCs/>
                <w:sz w:val="21"/>
                <w:szCs w:val="21"/>
              </w:rPr>
              <w:t>tilt her onto her left side</w:t>
            </w:r>
            <w:r>
              <w:rPr>
                <w:sz w:val="21"/>
                <w:szCs w:val="21"/>
              </w:rPr>
              <w:t xml:space="preserve"> straight away.</w:t>
            </w:r>
          </w:p>
        </w:tc>
      </w:tr>
    </w:tbl>
    <w:p w14:paraId="2260F7AD" w14:textId="77777777" w:rsidR="00C63B67" w:rsidRDefault="00000000">
      <w:pPr>
        <w:keepNext/>
        <w:pBdr>
          <w:bottom w:val="single" w:sz="18" w:space="4" w:color="E8740C"/>
        </w:pBdr>
        <w:spacing w:before="240" w:after="120"/>
      </w:pPr>
      <w:r>
        <w:rPr>
          <w:b/>
          <w:bCs/>
          <w:color w:val="1B3A5B"/>
          <w:sz w:val="30"/>
          <w:szCs w:val="30"/>
        </w:rPr>
        <w:t>2.  Quick checks at every visit</w:t>
      </w:r>
    </w:p>
    <w:p w14:paraId="7D0A5F37" w14:textId="77777777" w:rsidR="00C63B67" w:rsidRDefault="00000000">
      <w:pPr>
        <w:spacing w:after="100" w:line="272" w:lineRule="auto"/>
      </w:pPr>
      <w:r>
        <w:t xml:space="preserve">At each antenatal contact, measure </w:t>
      </w:r>
      <w:r>
        <w:rPr>
          <w:b/>
          <w:bCs/>
        </w:rPr>
        <w:t>blood pressure</w:t>
      </w:r>
      <w:r>
        <w:t xml:space="preserve"> and test the </w:t>
      </w:r>
      <w:r>
        <w:rPr>
          <w:b/>
          <w:bCs/>
        </w:rPr>
        <w:t>urine</w:t>
      </w:r>
      <w:r>
        <w:t xml:space="preserve"> with a dipstick. Together these screen for pre-eclampsia (high blood pressure plus protein in the urine). They sit alongside the abdominal examination, not instead of it.</w:t>
      </w:r>
    </w:p>
    <w:p w14:paraId="11F3CA1A" w14:textId="77777777" w:rsidR="00C63B67" w:rsidRDefault="00000000">
      <w:pPr>
        <w:keepNext/>
        <w:pBdr>
          <w:bottom w:val="single" w:sz="18" w:space="4" w:color="E8740C"/>
        </w:pBdr>
        <w:spacing w:before="240" w:after="120"/>
      </w:pPr>
      <w:r>
        <w:rPr>
          <w:b/>
          <w:bCs/>
          <w:color w:val="1B3A5B"/>
          <w:sz w:val="30"/>
          <w:szCs w:val="30"/>
        </w:rPr>
        <w:t>3.  LOOK — Inspection</w:t>
      </w:r>
    </w:p>
    <w:p w14:paraId="509D0A81" w14:textId="77777777" w:rsidR="00C63B67" w:rsidRDefault="00000000">
      <w:pPr>
        <w:pStyle w:val="ListParagraph"/>
        <w:numPr>
          <w:ilvl w:val="0"/>
          <w:numId w:val="2"/>
        </w:numPr>
        <w:spacing w:after="60" w:line="264" w:lineRule="auto"/>
      </w:pPr>
      <w:r>
        <w:rPr>
          <w:b/>
          <w:bCs/>
          <w:sz w:val="21"/>
          <w:szCs w:val="21"/>
        </w:rPr>
        <w:t>Size:</w:t>
      </w:r>
      <w:r>
        <w:rPr>
          <w:sz w:val="21"/>
          <w:szCs w:val="21"/>
        </w:rPr>
        <w:t xml:space="preserve"> does the bump look right for the dates?</w:t>
      </w:r>
    </w:p>
    <w:p w14:paraId="33A8E682" w14:textId="77777777" w:rsidR="00C63B67" w:rsidRDefault="00000000">
      <w:pPr>
        <w:pStyle w:val="ListParagraph"/>
        <w:numPr>
          <w:ilvl w:val="0"/>
          <w:numId w:val="2"/>
        </w:numPr>
        <w:spacing w:after="60" w:line="264" w:lineRule="auto"/>
      </w:pPr>
      <w:r>
        <w:rPr>
          <w:b/>
          <w:bCs/>
          <w:sz w:val="21"/>
          <w:szCs w:val="21"/>
        </w:rPr>
        <w:t>Shape:</w:t>
      </w:r>
      <w:r>
        <w:rPr>
          <w:sz w:val="21"/>
          <w:szCs w:val="21"/>
        </w:rPr>
        <w:t xml:space="preserve"> a first pregnancy often looks more pointed (ovoid); later pregnancies look rounder, because the abdominal muscles are looser.</w:t>
      </w:r>
    </w:p>
    <w:p w14:paraId="719FD56D" w14:textId="77777777" w:rsidR="00C63B67" w:rsidRDefault="00000000">
      <w:pPr>
        <w:pStyle w:val="ListParagraph"/>
        <w:numPr>
          <w:ilvl w:val="0"/>
          <w:numId w:val="2"/>
        </w:numPr>
        <w:spacing w:after="60" w:line="264" w:lineRule="auto"/>
      </w:pPr>
      <w:r>
        <w:rPr>
          <w:b/>
          <w:bCs/>
          <w:sz w:val="21"/>
          <w:szCs w:val="21"/>
        </w:rPr>
        <w:t>Scars:</w:t>
      </w:r>
      <w:r>
        <w:rPr>
          <w:sz w:val="21"/>
          <w:szCs w:val="21"/>
        </w:rPr>
        <w:t xml:space="preserve"> a low scar may signal a previous caesarean — always ask about it.</w:t>
      </w:r>
    </w:p>
    <w:p w14:paraId="1BCBAC63" w14:textId="77777777" w:rsidR="00C63B67" w:rsidRDefault="00000000">
      <w:pPr>
        <w:pStyle w:val="ListParagraph"/>
        <w:numPr>
          <w:ilvl w:val="0"/>
          <w:numId w:val="2"/>
        </w:numPr>
        <w:spacing w:after="60" w:line="264" w:lineRule="auto"/>
      </w:pPr>
      <w:r>
        <w:rPr>
          <w:b/>
          <w:bCs/>
          <w:sz w:val="21"/>
          <w:szCs w:val="21"/>
        </w:rPr>
        <w:t>Skin:</w:t>
      </w:r>
      <w:r>
        <w:rPr>
          <w:sz w:val="21"/>
          <w:szCs w:val="21"/>
        </w:rPr>
        <w:t xml:space="preserve"> a dark midline (</w:t>
      </w:r>
      <w:proofErr w:type="spellStart"/>
      <w:r>
        <w:rPr>
          <w:sz w:val="21"/>
          <w:szCs w:val="21"/>
        </w:rPr>
        <w:t>linea</w:t>
      </w:r>
      <w:proofErr w:type="spellEnd"/>
      <w:r>
        <w:rPr>
          <w:sz w:val="21"/>
          <w:szCs w:val="21"/>
        </w:rPr>
        <w:t xml:space="preserve"> nigra) and stretch marks (striae gravidarum) are normal.</w:t>
      </w:r>
    </w:p>
    <w:p w14:paraId="6FA11A1E" w14:textId="77777777" w:rsidR="00C63B67" w:rsidRDefault="00000000">
      <w:pPr>
        <w:pStyle w:val="ListParagraph"/>
        <w:numPr>
          <w:ilvl w:val="0"/>
          <w:numId w:val="2"/>
        </w:numPr>
        <w:spacing w:after="60" w:line="264" w:lineRule="auto"/>
      </w:pPr>
      <w:r>
        <w:rPr>
          <w:b/>
          <w:bCs/>
          <w:sz w:val="21"/>
          <w:szCs w:val="21"/>
        </w:rPr>
        <w:t>Movements:</w:t>
      </w:r>
      <w:r>
        <w:rPr>
          <w:sz w:val="21"/>
          <w:szCs w:val="21"/>
        </w:rPr>
        <w:t xml:space="preserve"> you may see the baby move.</w:t>
      </w:r>
    </w:p>
    <w:p w14:paraId="1273EE08" w14:textId="77777777" w:rsidR="00C63B67" w:rsidRDefault="00000000">
      <w:pPr>
        <w:keepNext/>
        <w:pBdr>
          <w:bottom w:val="single" w:sz="18" w:space="4" w:color="E8740C"/>
        </w:pBdr>
        <w:spacing w:before="240" w:after="120"/>
      </w:pPr>
      <w:r>
        <w:rPr>
          <w:b/>
          <w:bCs/>
          <w:color w:val="1B3A5B"/>
          <w:sz w:val="30"/>
          <w:szCs w:val="30"/>
        </w:rPr>
        <w:lastRenderedPageBreak/>
        <w:t>4.  FEEL — Palpation</w:t>
      </w:r>
    </w:p>
    <w:p w14:paraId="047F6993" w14:textId="77777777" w:rsidR="00C63B67" w:rsidRDefault="00000000">
      <w:pPr>
        <w:keepNext/>
        <w:spacing w:before="200" w:after="90"/>
      </w:pPr>
      <w:proofErr w:type="gramStart"/>
      <w:r>
        <w:rPr>
          <w:b/>
          <w:bCs/>
          <w:color w:val="0E7C7B"/>
          <w:sz w:val="24"/>
          <w:szCs w:val="24"/>
        </w:rPr>
        <w:t>4.1  Symphysis</w:t>
      </w:r>
      <w:proofErr w:type="gramEnd"/>
      <w:r>
        <w:rPr>
          <w:b/>
          <w:bCs/>
          <w:color w:val="0E7C7B"/>
          <w:sz w:val="24"/>
          <w:szCs w:val="24"/>
        </w:rPr>
        <w:t>–fundal height (SFH)</w:t>
      </w:r>
    </w:p>
    <w:p w14:paraId="2701D684" w14:textId="77777777" w:rsidR="00C63B67" w:rsidRDefault="00000000">
      <w:pPr>
        <w:spacing w:after="80" w:line="272" w:lineRule="auto"/>
      </w:pPr>
      <w:r>
        <w:t xml:space="preserve">This is the distance, in centimetres, from the top of the pubic bone to the top of the uterus (the fundus), measured with a tape. </w:t>
      </w:r>
      <w:r>
        <w:rPr>
          <w:b/>
          <w:bCs/>
        </w:rPr>
        <w:t>Rule of thumb: from 20 weeks the SFH in cm roughly equals the weeks of pregnancy, give or take 2 cm</w:t>
      </w:r>
      <w:r>
        <w:t xml:space="preserve"> (for example, ~30 cm at 30 weeks).</w:t>
      </w:r>
    </w:p>
    <w:tbl>
      <w:tblPr>
        <w:tblW w:w="9746" w:type="dxa"/>
        <w:tblBorders>
          <w:top w:val="none" w:sz="0" w:space="0" w:color="FFFFFF"/>
          <w:left w:val="single" w:sz="28" w:space="0" w:color="0E7C7B"/>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02067358" w14:textId="77777777">
        <w:tblPrEx>
          <w:tblCellMar>
            <w:top w:w="0" w:type="dxa"/>
            <w:bottom w:w="0" w:type="dxa"/>
          </w:tblCellMar>
        </w:tblPrEx>
        <w:tc>
          <w:tcPr>
            <w:tcW w:w="9746" w:type="dxa"/>
            <w:shd w:val="clear" w:color="auto" w:fill="E6F2F1"/>
            <w:tcMar>
              <w:top w:w="120" w:type="dxa"/>
              <w:left w:w="200" w:type="dxa"/>
              <w:bottom w:w="120" w:type="dxa"/>
              <w:right w:w="160" w:type="dxa"/>
            </w:tcMar>
          </w:tcPr>
          <w:p w14:paraId="0C8F3C94" w14:textId="77777777" w:rsidR="00C63B67" w:rsidRDefault="00000000">
            <w:pPr>
              <w:spacing w:after="50"/>
            </w:pPr>
            <w:r>
              <w:rPr>
                <w:b/>
                <w:bCs/>
                <w:color w:val="0E7C7B"/>
              </w:rPr>
              <w:t>NICE — what you must do</w:t>
            </w:r>
          </w:p>
          <w:p w14:paraId="6E13BD33" w14:textId="77777777" w:rsidR="00C63B67" w:rsidRDefault="00000000">
            <w:pPr>
              <w:spacing w:after="40" w:line="264" w:lineRule="auto"/>
            </w:pPr>
            <w:r>
              <w:rPr>
                <w:b/>
                <w:bCs/>
                <w:color w:val="0E7C7B"/>
                <w:sz w:val="21"/>
                <w:szCs w:val="21"/>
              </w:rPr>
              <w:t>You must measure and plot the SFH at every antenatal appointment from 24 weeks</w:t>
            </w:r>
            <w:r>
              <w:rPr>
                <w:sz w:val="21"/>
                <w:szCs w:val="21"/>
              </w:rPr>
              <w:t xml:space="preserve"> (no more often than every 2 weeks) for a single baby, unless she is having regular growth scans. Plot each reading on a growth chart.</w:t>
            </w:r>
          </w:p>
          <w:p w14:paraId="064E39A7" w14:textId="77777777" w:rsidR="00C63B67" w:rsidRDefault="00000000">
            <w:pPr>
              <w:spacing w:after="40" w:line="264" w:lineRule="auto"/>
            </w:pPr>
            <w:r>
              <w:rPr>
                <w:i/>
                <w:iCs/>
                <w:color w:val="5B6770"/>
                <w:sz w:val="18"/>
                <w:szCs w:val="18"/>
              </w:rPr>
              <w:t>Source: NICE NG201, Antenatal care.</w:t>
            </w:r>
          </w:p>
        </w:tc>
      </w:tr>
    </w:tbl>
    <w:p w14:paraId="4C83A8DF" w14:textId="77777777" w:rsidR="00C63B67" w:rsidRDefault="00000000">
      <w:pPr>
        <w:spacing w:before="80" w:after="120"/>
        <w:jc w:val="center"/>
      </w:pPr>
      <w:r>
        <w:rPr>
          <w:noProof/>
        </w:rPr>
        <w:drawing>
          <wp:inline distT="0" distB="0" distL="0" distR="0" wp14:anchorId="6C56625A" wp14:editId="49080909">
            <wp:extent cx="5334000" cy="3248025"/>
            <wp:effectExtent l="0" t="0" r="0" b="0"/>
            <wp:docPr id="1" name="fundal_height.png" descr="fundal_height.png" title="fundal_h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334000" cy="3248025"/>
                    </a:xfrm>
                    <a:prstGeom prst="rect">
                      <a:avLst/>
                    </a:prstGeom>
                  </pic:spPr>
                </pic:pic>
              </a:graphicData>
            </a:graphic>
          </wp:inline>
        </w:drawing>
      </w:r>
    </w:p>
    <w:p w14:paraId="71F24BCD" w14:textId="77777777" w:rsidR="00C63B67" w:rsidRDefault="00000000">
      <w:pPr>
        <w:spacing w:before="40" w:after="80"/>
      </w:pPr>
      <w:r>
        <w:rPr>
          <w:b/>
          <w:bCs/>
          <w:color w:val="1B3A5B"/>
          <w:sz w:val="21"/>
          <w:szCs w:val="21"/>
        </w:rPr>
        <w:t>Landmark guide (approximate — use as a quick mental check, not a measurement):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8146"/>
      </w:tblGrid>
      <w:tr w:rsidR="00C63B67" w14:paraId="7BE88565" w14:textId="77777777">
        <w:tblPrEx>
          <w:tblCellMar>
            <w:top w:w="0" w:type="dxa"/>
            <w:bottom w:w="0" w:type="dxa"/>
          </w:tblCellMar>
        </w:tblPrEx>
        <w:trPr>
          <w:tblHeader/>
        </w:trPr>
        <w:tc>
          <w:tcPr>
            <w:tcW w:w="1600" w:type="dxa"/>
            <w:tcBorders>
              <w:top w:val="single" w:sz="4" w:space="0" w:color="D7DEE3"/>
              <w:left w:val="single" w:sz="4" w:space="0" w:color="D7DEE3"/>
              <w:bottom w:val="single" w:sz="4" w:space="0" w:color="D7DEE3"/>
              <w:right w:val="single" w:sz="4" w:space="0" w:color="D7DEE3"/>
            </w:tcBorders>
            <w:shd w:val="clear" w:color="auto" w:fill="1B3A5B"/>
            <w:tcMar>
              <w:top w:w="70" w:type="dxa"/>
              <w:left w:w="120" w:type="dxa"/>
              <w:bottom w:w="70" w:type="dxa"/>
              <w:right w:w="120" w:type="dxa"/>
            </w:tcMar>
            <w:vAlign w:val="center"/>
          </w:tcPr>
          <w:p w14:paraId="7752F1AD" w14:textId="77777777" w:rsidR="00C63B67" w:rsidRDefault="00000000">
            <w:r>
              <w:rPr>
                <w:b/>
                <w:bCs/>
                <w:color w:val="FFFFFF"/>
                <w:sz w:val="20"/>
                <w:szCs w:val="20"/>
              </w:rPr>
              <w:t>Weeks</w:t>
            </w:r>
          </w:p>
        </w:tc>
        <w:tc>
          <w:tcPr>
            <w:tcW w:w="8146" w:type="dxa"/>
            <w:tcBorders>
              <w:top w:val="single" w:sz="4" w:space="0" w:color="D7DEE3"/>
              <w:left w:val="single" w:sz="4" w:space="0" w:color="D7DEE3"/>
              <w:bottom w:val="single" w:sz="4" w:space="0" w:color="D7DEE3"/>
              <w:right w:val="single" w:sz="4" w:space="0" w:color="D7DEE3"/>
            </w:tcBorders>
            <w:shd w:val="clear" w:color="auto" w:fill="1B3A5B"/>
            <w:tcMar>
              <w:top w:w="70" w:type="dxa"/>
              <w:left w:w="120" w:type="dxa"/>
              <w:bottom w:w="70" w:type="dxa"/>
              <w:right w:w="120" w:type="dxa"/>
            </w:tcMar>
            <w:vAlign w:val="center"/>
          </w:tcPr>
          <w:p w14:paraId="440E83F1" w14:textId="77777777" w:rsidR="00C63B67" w:rsidRDefault="00000000">
            <w:r>
              <w:rPr>
                <w:b/>
                <w:bCs/>
                <w:color w:val="FFFFFF"/>
                <w:sz w:val="20"/>
                <w:szCs w:val="20"/>
              </w:rPr>
              <w:t>Where the top of the uterus sits</w:t>
            </w:r>
          </w:p>
        </w:tc>
      </w:tr>
      <w:tr w:rsidR="00C63B67" w14:paraId="71A24AF6" w14:textId="77777777">
        <w:tblPrEx>
          <w:tblCellMar>
            <w:top w:w="0" w:type="dxa"/>
            <w:bottom w:w="0" w:type="dxa"/>
          </w:tblCellMar>
        </w:tblPrEx>
        <w:tc>
          <w:tcPr>
            <w:tcW w:w="160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22527385" w14:textId="77777777" w:rsidR="00C63B67" w:rsidRDefault="00000000">
            <w:r>
              <w:rPr>
                <w:sz w:val="20"/>
                <w:szCs w:val="20"/>
              </w:rPr>
              <w:t>12</w:t>
            </w:r>
          </w:p>
        </w:tc>
        <w:tc>
          <w:tcPr>
            <w:tcW w:w="8146"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50268AA9" w14:textId="77777777" w:rsidR="00C63B67" w:rsidRDefault="00000000">
            <w:r>
              <w:rPr>
                <w:sz w:val="20"/>
                <w:szCs w:val="20"/>
              </w:rPr>
              <w:t>Just above the pubic bone</w:t>
            </w:r>
          </w:p>
        </w:tc>
      </w:tr>
      <w:tr w:rsidR="00C63B67" w14:paraId="3EB8AC29" w14:textId="77777777">
        <w:tblPrEx>
          <w:tblCellMar>
            <w:top w:w="0" w:type="dxa"/>
            <w:bottom w:w="0" w:type="dxa"/>
          </w:tblCellMar>
        </w:tblPrEx>
        <w:tc>
          <w:tcPr>
            <w:tcW w:w="160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7A22A9D6" w14:textId="77777777" w:rsidR="00C63B67" w:rsidRDefault="00000000">
            <w:r>
              <w:rPr>
                <w:sz w:val="20"/>
                <w:szCs w:val="20"/>
              </w:rPr>
              <w:t>16</w:t>
            </w:r>
          </w:p>
        </w:tc>
        <w:tc>
          <w:tcPr>
            <w:tcW w:w="8146"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1EDA7B4B" w14:textId="77777777" w:rsidR="00C63B67" w:rsidRDefault="00000000">
            <w:r>
              <w:rPr>
                <w:sz w:val="20"/>
                <w:szCs w:val="20"/>
              </w:rPr>
              <w:t>Midway between pubic bone and umbilicus</w:t>
            </w:r>
          </w:p>
        </w:tc>
      </w:tr>
      <w:tr w:rsidR="00C63B67" w14:paraId="4187E3DF" w14:textId="77777777">
        <w:tblPrEx>
          <w:tblCellMar>
            <w:top w:w="0" w:type="dxa"/>
            <w:bottom w:w="0" w:type="dxa"/>
          </w:tblCellMar>
        </w:tblPrEx>
        <w:tc>
          <w:tcPr>
            <w:tcW w:w="160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4DB17869" w14:textId="77777777" w:rsidR="00C63B67" w:rsidRDefault="00000000">
            <w:r>
              <w:rPr>
                <w:sz w:val="20"/>
                <w:szCs w:val="20"/>
              </w:rPr>
              <w:t>20</w:t>
            </w:r>
          </w:p>
        </w:tc>
        <w:tc>
          <w:tcPr>
            <w:tcW w:w="8146"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2C6533FB" w14:textId="77777777" w:rsidR="00C63B67" w:rsidRDefault="00000000">
            <w:r>
              <w:rPr>
                <w:sz w:val="20"/>
                <w:szCs w:val="20"/>
              </w:rPr>
              <w:t>At the umbilicus</w:t>
            </w:r>
          </w:p>
        </w:tc>
      </w:tr>
      <w:tr w:rsidR="00C63B67" w14:paraId="04328AF5" w14:textId="77777777">
        <w:tblPrEx>
          <w:tblCellMar>
            <w:top w:w="0" w:type="dxa"/>
            <w:bottom w:w="0" w:type="dxa"/>
          </w:tblCellMar>
        </w:tblPrEx>
        <w:tc>
          <w:tcPr>
            <w:tcW w:w="160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153DCAFD" w14:textId="77777777" w:rsidR="00C63B67" w:rsidRDefault="00000000">
            <w:r>
              <w:rPr>
                <w:sz w:val="20"/>
                <w:szCs w:val="20"/>
              </w:rPr>
              <w:t>24</w:t>
            </w:r>
          </w:p>
        </w:tc>
        <w:tc>
          <w:tcPr>
            <w:tcW w:w="8146"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7EA111BD" w14:textId="77777777" w:rsidR="00C63B67" w:rsidRDefault="00000000">
            <w:r>
              <w:rPr>
                <w:sz w:val="20"/>
                <w:szCs w:val="20"/>
              </w:rPr>
              <w:t>Just above the umbilicus</w:t>
            </w:r>
          </w:p>
        </w:tc>
      </w:tr>
      <w:tr w:rsidR="00C63B67" w14:paraId="749A2AD0" w14:textId="77777777">
        <w:tblPrEx>
          <w:tblCellMar>
            <w:top w:w="0" w:type="dxa"/>
            <w:bottom w:w="0" w:type="dxa"/>
          </w:tblCellMar>
        </w:tblPrEx>
        <w:tc>
          <w:tcPr>
            <w:tcW w:w="160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22097FE5" w14:textId="77777777" w:rsidR="00C63B67" w:rsidRDefault="00000000">
            <w:r>
              <w:rPr>
                <w:sz w:val="20"/>
                <w:szCs w:val="20"/>
              </w:rPr>
              <w:t>28</w:t>
            </w:r>
          </w:p>
        </w:tc>
        <w:tc>
          <w:tcPr>
            <w:tcW w:w="8146"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617C3215" w14:textId="77777777" w:rsidR="00C63B67" w:rsidRDefault="00000000">
            <w:r>
              <w:rPr>
                <w:sz w:val="20"/>
                <w:szCs w:val="20"/>
              </w:rPr>
              <w:t>Midway between umbilicus and breastbone</w:t>
            </w:r>
          </w:p>
        </w:tc>
      </w:tr>
      <w:tr w:rsidR="00C63B67" w14:paraId="16DB6E99" w14:textId="77777777">
        <w:tblPrEx>
          <w:tblCellMar>
            <w:top w:w="0" w:type="dxa"/>
            <w:bottom w:w="0" w:type="dxa"/>
          </w:tblCellMar>
        </w:tblPrEx>
        <w:tc>
          <w:tcPr>
            <w:tcW w:w="160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59696FF0" w14:textId="77777777" w:rsidR="00C63B67" w:rsidRDefault="00000000">
            <w:r>
              <w:rPr>
                <w:sz w:val="20"/>
                <w:szCs w:val="20"/>
              </w:rPr>
              <w:t>34</w:t>
            </w:r>
          </w:p>
        </w:tc>
        <w:tc>
          <w:tcPr>
            <w:tcW w:w="8146"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3CF82620" w14:textId="77777777" w:rsidR="00C63B67" w:rsidRDefault="00000000">
            <w:r>
              <w:rPr>
                <w:sz w:val="20"/>
                <w:szCs w:val="20"/>
              </w:rPr>
              <w:t>Just below the breastbone (xiphisternum)</w:t>
            </w:r>
          </w:p>
        </w:tc>
      </w:tr>
      <w:tr w:rsidR="00C63B67" w14:paraId="236017BF" w14:textId="77777777">
        <w:tblPrEx>
          <w:tblCellMar>
            <w:top w:w="0" w:type="dxa"/>
            <w:bottom w:w="0" w:type="dxa"/>
          </w:tblCellMar>
        </w:tblPrEx>
        <w:tc>
          <w:tcPr>
            <w:tcW w:w="160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7B2E964E" w14:textId="77777777" w:rsidR="00C63B67" w:rsidRDefault="00000000">
            <w:r>
              <w:rPr>
                <w:sz w:val="20"/>
                <w:szCs w:val="20"/>
              </w:rPr>
              <w:t>36</w:t>
            </w:r>
          </w:p>
        </w:tc>
        <w:tc>
          <w:tcPr>
            <w:tcW w:w="8146"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45492D6A" w14:textId="77777777" w:rsidR="00C63B67" w:rsidRDefault="00000000">
            <w:r>
              <w:rPr>
                <w:sz w:val="20"/>
                <w:szCs w:val="20"/>
              </w:rPr>
              <w:t>At the breastbone</w:t>
            </w:r>
          </w:p>
        </w:tc>
      </w:tr>
      <w:tr w:rsidR="00C63B67" w14:paraId="45A034D4" w14:textId="77777777">
        <w:tblPrEx>
          <w:tblCellMar>
            <w:top w:w="0" w:type="dxa"/>
            <w:bottom w:w="0" w:type="dxa"/>
          </w:tblCellMar>
        </w:tblPrEx>
        <w:tc>
          <w:tcPr>
            <w:tcW w:w="160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387BC4DE" w14:textId="77777777" w:rsidR="00C63B67" w:rsidRDefault="00000000">
            <w:r>
              <w:rPr>
                <w:sz w:val="20"/>
                <w:szCs w:val="20"/>
              </w:rPr>
              <w:t>38–40</w:t>
            </w:r>
          </w:p>
        </w:tc>
        <w:tc>
          <w:tcPr>
            <w:tcW w:w="8146"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7F3C4140" w14:textId="77777777" w:rsidR="00C63B67" w:rsidRDefault="00000000">
            <w:r>
              <w:rPr>
                <w:sz w:val="20"/>
                <w:szCs w:val="20"/>
              </w:rPr>
              <w:t>Drops again as the head engages (“lightening”)</w:t>
            </w:r>
          </w:p>
        </w:tc>
      </w:tr>
    </w:tbl>
    <w:p w14:paraId="2E17772B" w14:textId="77777777" w:rsidR="00C63B67" w:rsidRDefault="00C63B67">
      <w:pPr>
        <w:spacing w:after="40"/>
      </w:pPr>
    </w:p>
    <w:tbl>
      <w:tblPr>
        <w:tblW w:w="9746" w:type="dxa"/>
        <w:tblBorders>
          <w:top w:val="none" w:sz="0" w:space="0" w:color="FFFFFF"/>
          <w:left w:val="single" w:sz="28" w:space="0" w:color="2E75B6"/>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36DE023F" w14:textId="77777777">
        <w:tblPrEx>
          <w:tblCellMar>
            <w:top w:w="0" w:type="dxa"/>
            <w:bottom w:w="0" w:type="dxa"/>
          </w:tblCellMar>
        </w:tblPrEx>
        <w:tc>
          <w:tcPr>
            <w:tcW w:w="9746" w:type="dxa"/>
            <w:shd w:val="clear" w:color="auto" w:fill="E8F1FA"/>
            <w:tcMar>
              <w:top w:w="120" w:type="dxa"/>
              <w:left w:w="200" w:type="dxa"/>
              <w:bottom w:w="120" w:type="dxa"/>
              <w:right w:w="160" w:type="dxa"/>
            </w:tcMar>
          </w:tcPr>
          <w:p w14:paraId="55437167" w14:textId="77777777" w:rsidR="00C63B67" w:rsidRDefault="00000000">
            <w:pPr>
              <w:spacing w:after="50"/>
            </w:pPr>
            <w:r>
              <w:rPr>
                <w:b/>
                <w:bCs/>
                <w:color w:val="2E75B6"/>
              </w:rPr>
              <w:t>Good to know</w:t>
            </w:r>
          </w:p>
          <w:p w14:paraId="176272E2" w14:textId="77777777" w:rsidR="00C63B67" w:rsidRDefault="00000000">
            <w:pPr>
              <w:spacing w:after="40" w:line="264" w:lineRule="auto"/>
            </w:pPr>
            <w:r>
              <w:rPr>
                <w:sz w:val="21"/>
                <w:szCs w:val="21"/>
              </w:rPr>
              <w:t xml:space="preserve">These landmarks are only a rough guide. The tape-measured, plotted SFH is what NICE relies on. SFH is </w:t>
            </w:r>
            <w:r>
              <w:rPr>
                <w:b/>
                <w:bCs/>
                <w:sz w:val="21"/>
                <w:szCs w:val="21"/>
              </w:rPr>
              <w:t>less reliable</w:t>
            </w:r>
            <w:r>
              <w:rPr>
                <w:sz w:val="21"/>
                <w:szCs w:val="21"/>
              </w:rPr>
              <w:t xml:space="preserve"> in obesity, twins, fibroids or excess fluid — in those cases trust the ultrasound, not the tape.</w:t>
            </w:r>
          </w:p>
        </w:tc>
      </w:tr>
    </w:tbl>
    <w:p w14:paraId="7E0902ED" w14:textId="77777777" w:rsidR="00C63B67" w:rsidRDefault="00000000">
      <w:pPr>
        <w:keepNext/>
        <w:spacing w:before="200" w:after="90"/>
      </w:pPr>
      <w:proofErr w:type="gramStart"/>
      <w:r>
        <w:rPr>
          <w:b/>
          <w:bCs/>
          <w:color w:val="0E7C7B"/>
          <w:sz w:val="24"/>
          <w:szCs w:val="24"/>
        </w:rPr>
        <w:lastRenderedPageBreak/>
        <w:t>4.2  The</w:t>
      </w:r>
      <w:proofErr w:type="gramEnd"/>
      <w:r>
        <w:rPr>
          <w:b/>
          <w:bCs/>
          <w:color w:val="0E7C7B"/>
          <w:sz w:val="24"/>
          <w:szCs w:val="24"/>
        </w:rPr>
        <w:t xml:space="preserve"> three grips — and the question each one answers</w:t>
      </w:r>
    </w:p>
    <w:p w14:paraId="3AC22859" w14:textId="77777777" w:rsidR="00C63B67" w:rsidRDefault="00000000">
      <w:pPr>
        <w:spacing w:before="80" w:after="120"/>
        <w:jc w:val="center"/>
      </w:pPr>
      <w:r>
        <w:rPr>
          <w:noProof/>
        </w:rPr>
        <w:drawing>
          <wp:inline distT="0" distB="0" distL="0" distR="0" wp14:anchorId="544F7F4D" wp14:editId="08D38F6F">
            <wp:extent cx="5905500" cy="2647950"/>
            <wp:effectExtent l="0" t="0" r="0" b="0"/>
            <wp:docPr id="965643590" name="manoeuvres.png" descr="manoeuvres.png" title="manoeuv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905500" cy="2647950"/>
                    </a:xfrm>
                    <a:prstGeom prst="rect">
                      <a:avLst/>
                    </a:prstGeom>
                  </pic:spPr>
                </pic:pic>
              </a:graphicData>
            </a:graphic>
          </wp:inline>
        </w:drawing>
      </w:r>
    </w:p>
    <w:p w14:paraId="4592A7B0" w14:textId="77777777" w:rsidR="00C63B67" w:rsidRDefault="00000000">
      <w:pPr>
        <w:spacing w:after="80"/>
      </w:pPr>
      <w:r>
        <w:t>Before you interpret the grips, fix four words in your mind:</w:t>
      </w:r>
    </w:p>
    <w:p w14:paraId="2637DE1C" w14:textId="77777777" w:rsidR="00C63B67" w:rsidRDefault="00000000">
      <w:pPr>
        <w:pStyle w:val="ListParagraph"/>
        <w:numPr>
          <w:ilvl w:val="0"/>
          <w:numId w:val="2"/>
        </w:numPr>
        <w:spacing w:after="60" w:line="264" w:lineRule="auto"/>
      </w:pPr>
      <w:r>
        <w:rPr>
          <w:b/>
          <w:bCs/>
          <w:color w:val="1B3A5B"/>
          <w:sz w:val="21"/>
          <w:szCs w:val="21"/>
        </w:rPr>
        <w:t>Lie</w:t>
      </w:r>
      <w:r>
        <w:rPr>
          <w:sz w:val="21"/>
          <w:szCs w:val="21"/>
        </w:rPr>
        <w:t xml:space="preserve"> = the baby’s long axis compared with the </w:t>
      </w:r>
      <w:proofErr w:type="gramStart"/>
      <w:r>
        <w:rPr>
          <w:sz w:val="21"/>
          <w:szCs w:val="21"/>
        </w:rPr>
        <w:t>mother’s</w:t>
      </w:r>
      <w:proofErr w:type="gramEnd"/>
      <w:r>
        <w:rPr>
          <w:sz w:val="21"/>
          <w:szCs w:val="21"/>
        </w:rPr>
        <w:t xml:space="preserve">. Picture a pencil in a tube: pointing along = </w:t>
      </w:r>
      <w:r>
        <w:rPr>
          <w:i/>
          <w:iCs/>
          <w:sz w:val="21"/>
          <w:szCs w:val="21"/>
        </w:rPr>
        <w:t>longitudinal</w:t>
      </w:r>
      <w:r>
        <w:rPr>
          <w:sz w:val="21"/>
          <w:szCs w:val="21"/>
        </w:rPr>
        <w:t xml:space="preserve">; across = </w:t>
      </w:r>
      <w:r>
        <w:rPr>
          <w:i/>
          <w:iCs/>
          <w:sz w:val="21"/>
          <w:szCs w:val="21"/>
        </w:rPr>
        <w:t>transverse</w:t>
      </w:r>
      <w:r>
        <w:rPr>
          <w:sz w:val="21"/>
          <w:szCs w:val="21"/>
        </w:rPr>
        <w:t xml:space="preserve">; diagonal = </w:t>
      </w:r>
      <w:r>
        <w:rPr>
          <w:i/>
          <w:iCs/>
          <w:sz w:val="21"/>
          <w:szCs w:val="21"/>
        </w:rPr>
        <w:t>oblique.</w:t>
      </w:r>
    </w:p>
    <w:p w14:paraId="4850A37A" w14:textId="77777777" w:rsidR="00C63B67" w:rsidRDefault="00000000">
      <w:pPr>
        <w:pStyle w:val="ListParagraph"/>
        <w:numPr>
          <w:ilvl w:val="0"/>
          <w:numId w:val="2"/>
        </w:numPr>
        <w:spacing w:after="60" w:line="264" w:lineRule="auto"/>
      </w:pPr>
      <w:r>
        <w:rPr>
          <w:b/>
          <w:bCs/>
          <w:color w:val="1B3A5B"/>
          <w:sz w:val="21"/>
          <w:szCs w:val="21"/>
        </w:rPr>
        <w:t>Presentation</w:t>
      </w:r>
      <w:r>
        <w:rPr>
          <w:sz w:val="21"/>
          <w:szCs w:val="21"/>
        </w:rPr>
        <w:t xml:space="preserve"> = the part lying over the pelvis. Usually the head (</w:t>
      </w:r>
      <w:r>
        <w:rPr>
          <w:i/>
          <w:iCs/>
          <w:sz w:val="21"/>
          <w:szCs w:val="21"/>
        </w:rPr>
        <w:t>cephalic</w:t>
      </w:r>
      <w:r>
        <w:rPr>
          <w:sz w:val="21"/>
          <w:szCs w:val="21"/>
        </w:rPr>
        <w:t>); sometimes the bottom (</w:t>
      </w:r>
      <w:r>
        <w:rPr>
          <w:i/>
          <w:iCs/>
          <w:sz w:val="21"/>
          <w:szCs w:val="21"/>
        </w:rPr>
        <w:t>breech</w:t>
      </w:r>
      <w:r>
        <w:rPr>
          <w:sz w:val="21"/>
          <w:szCs w:val="21"/>
        </w:rPr>
        <w:t>).</w:t>
      </w:r>
    </w:p>
    <w:p w14:paraId="589C47DA" w14:textId="77777777" w:rsidR="00C63B67" w:rsidRDefault="00000000">
      <w:pPr>
        <w:pStyle w:val="ListParagraph"/>
        <w:numPr>
          <w:ilvl w:val="0"/>
          <w:numId w:val="2"/>
        </w:numPr>
        <w:spacing w:after="60" w:line="264" w:lineRule="auto"/>
      </w:pPr>
      <w:r>
        <w:rPr>
          <w:b/>
          <w:bCs/>
          <w:color w:val="1B3A5B"/>
          <w:sz w:val="21"/>
          <w:szCs w:val="21"/>
        </w:rPr>
        <w:t>Position</w:t>
      </w:r>
      <w:r>
        <w:rPr>
          <w:sz w:val="21"/>
          <w:szCs w:val="21"/>
        </w:rPr>
        <w:t xml:space="preserve"> = which way the back faces.</w:t>
      </w:r>
    </w:p>
    <w:p w14:paraId="7E7D4970" w14:textId="77777777" w:rsidR="00C63B67" w:rsidRDefault="00000000">
      <w:pPr>
        <w:pStyle w:val="ListParagraph"/>
        <w:numPr>
          <w:ilvl w:val="0"/>
          <w:numId w:val="2"/>
        </w:numPr>
        <w:spacing w:after="60" w:line="264" w:lineRule="auto"/>
      </w:pPr>
      <w:r>
        <w:rPr>
          <w:b/>
          <w:bCs/>
          <w:color w:val="1B3A5B"/>
          <w:sz w:val="21"/>
          <w:szCs w:val="21"/>
        </w:rPr>
        <w:t>Engagement</w:t>
      </w:r>
      <w:r>
        <w:rPr>
          <w:sz w:val="21"/>
          <w:szCs w:val="21"/>
        </w:rPr>
        <w:t xml:space="preserve"> = how far the head has dropped into the pelvis, judged in </w:t>
      </w:r>
      <w:r>
        <w:rPr>
          <w:b/>
          <w:bCs/>
          <w:sz w:val="21"/>
          <w:szCs w:val="21"/>
        </w:rPr>
        <w:t>fifths palpable.</w:t>
      </w:r>
    </w:p>
    <w:p w14:paraId="27774653" w14:textId="77777777" w:rsidR="00C63B67" w:rsidRDefault="00C63B67">
      <w:pPr>
        <w:spacing w:after="40"/>
      </w:pPr>
    </w:p>
    <w:p w14:paraId="25D1A2B7" w14:textId="77777777" w:rsidR="00C63B67" w:rsidRDefault="00000000">
      <w:pPr>
        <w:spacing w:before="80" w:after="120"/>
        <w:jc w:val="center"/>
      </w:pPr>
      <w:r>
        <w:rPr>
          <w:noProof/>
        </w:rPr>
        <w:drawing>
          <wp:inline distT="0" distB="0" distL="0" distR="0" wp14:anchorId="37323C5D" wp14:editId="1D42879D">
            <wp:extent cx="5905500" cy="2333625"/>
            <wp:effectExtent l="0" t="0" r="0" b="0"/>
            <wp:docPr id="1795215478" name="lie_presentation.png" descr="lie_presentation.png" title="lie_pres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05500" cy="2333625"/>
                    </a:xfrm>
                    <a:prstGeom prst="rect">
                      <a:avLst/>
                    </a:prstGeom>
                  </pic:spPr>
                </pic:pic>
              </a:graphicData>
            </a:graphic>
          </wp:inline>
        </w:drawing>
      </w:r>
    </w:p>
    <w:tbl>
      <w:tblPr>
        <w:tblW w:w="9746" w:type="dxa"/>
        <w:tblBorders>
          <w:top w:val="none" w:sz="0" w:space="0" w:color="FFFFFF"/>
          <w:left w:val="single" w:sz="28" w:space="0" w:color="C0392B"/>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50B54A0D" w14:textId="77777777">
        <w:tblPrEx>
          <w:tblCellMar>
            <w:top w:w="0" w:type="dxa"/>
            <w:bottom w:w="0" w:type="dxa"/>
          </w:tblCellMar>
        </w:tblPrEx>
        <w:tc>
          <w:tcPr>
            <w:tcW w:w="9746" w:type="dxa"/>
            <w:shd w:val="clear" w:color="auto" w:fill="FBEAE8"/>
            <w:tcMar>
              <w:top w:w="120" w:type="dxa"/>
              <w:left w:w="200" w:type="dxa"/>
              <w:bottom w:w="120" w:type="dxa"/>
              <w:right w:w="160" w:type="dxa"/>
            </w:tcMar>
          </w:tcPr>
          <w:p w14:paraId="765C01AC" w14:textId="77777777" w:rsidR="00C63B67" w:rsidRDefault="00000000">
            <w:pPr>
              <w:spacing w:after="50"/>
            </w:pPr>
            <w:r>
              <w:rPr>
                <w:b/>
                <w:bCs/>
                <w:color w:val="C0392B"/>
              </w:rPr>
              <w:t>Refer — transverse or oblique lie near term</w:t>
            </w:r>
          </w:p>
          <w:p w14:paraId="42B9105B" w14:textId="77777777" w:rsidR="00C63B67" w:rsidRDefault="00000000">
            <w:pPr>
              <w:spacing w:after="40" w:line="264" w:lineRule="auto"/>
            </w:pPr>
            <w:r>
              <w:rPr>
                <w:sz w:val="21"/>
                <w:szCs w:val="21"/>
              </w:rPr>
              <w:t xml:space="preserve">A baby lying across or diagonally near term is unsafe: the cord can slip down first (cord prolapse) and labour can obstruct. </w:t>
            </w:r>
            <w:r>
              <w:rPr>
                <w:b/>
                <w:bCs/>
                <w:sz w:val="21"/>
                <w:szCs w:val="21"/>
              </w:rPr>
              <w:t>This needs obstetric referral.</w:t>
            </w:r>
          </w:p>
        </w:tc>
      </w:tr>
    </w:tbl>
    <w:p w14:paraId="55E6AA24" w14:textId="77777777" w:rsidR="00C63B67" w:rsidRDefault="00000000">
      <w:pPr>
        <w:keepNext/>
        <w:spacing w:before="200" w:after="90"/>
      </w:pPr>
      <w:proofErr w:type="gramStart"/>
      <w:r>
        <w:rPr>
          <w:b/>
          <w:bCs/>
          <w:color w:val="0E7C7B"/>
          <w:sz w:val="24"/>
          <w:szCs w:val="24"/>
        </w:rPr>
        <w:t>4.3  Engagement</w:t>
      </w:r>
      <w:proofErr w:type="gramEnd"/>
      <w:r>
        <w:rPr>
          <w:b/>
          <w:bCs/>
          <w:color w:val="0E7C7B"/>
          <w:sz w:val="24"/>
          <w:szCs w:val="24"/>
        </w:rPr>
        <w:t xml:space="preserve"> — counting in fifths</w:t>
      </w:r>
    </w:p>
    <w:p w14:paraId="0D1A039E" w14:textId="77777777" w:rsidR="00C63B67" w:rsidRDefault="00000000">
      <w:pPr>
        <w:spacing w:after="60" w:line="272" w:lineRule="auto"/>
      </w:pPr>
      <w:r>
        <w:t xml:space="preserve">Feel how much of the head you can still grip above the pubic bone. </w:t>
      </w:r>
      <w:r>
        <w:rPr>
          <w:b/>
          <w:bCs/>
        </w:rPr>
        <w:t>2/5 or fewer means the head is engaged</w:t>
      </w:r>
      <w:r>
        <w:t xml:space="preserve"> (its widest part has passed through the pelvic brim). The head usually engages around 37 weeks in a first pregnancy.</w:t>
      </w:r>
    </w:p>
    <w:tbl>
      <w:tblPr>
        <w:tblW w:w="9746" w:type="dxa"/>
        <w:tblBorders>
          <w:top w:val="none" w:sz="0" w:space="0" w:color="FFFFFF"/>
          <w:left w:val="single" w:sz="28" w:space="0" w:color="5B6770"/>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24D31F7E" w14:textId="77777777">
        <w:tblPrEx>
          <w:tblCellMar>
            <w:top w:w="0" w:type="dxa"/>
            <w:bottom w:w="0" w:type="dxa"/>
          </w:tblCellMar>
        </w:tblPrEx>
        <w:tc>
          <w:tcPr>
            <w:tcW w:w="9746" w:type="dxa"/>
            <w:shd w:val="clear" w:color="auto" w:fill="F6F8FA"/>
            <w:tcMar>
              <w:top w:w="120" w:type="dxa"/>
              <w:left w:w="200" w:type="dxa"/>
              <w:bottom w:w="120" w:type="dxa"/>
              <w:right w:w="160" w:type="dxa"/>
            </w:tcMar>
          </w:tcPr>
          <w:p w14:paraId="3A098463" w14:textId="77777777" w:rsidR="00C63B67" w:rsidRDefault="00000000">
            <w:pPr>
              <w:spacing w:after="50"/>
            </w:pPr>
            <w:r>
              <w:rPr>
                <w:b/>
                <w:bCs/>
                <w:color w:val="5B6770"/>
              </w:rPr>
              <w:t>A gentle point on technique</w:t>
            </w:r>
          </w:p>
          <w:p w14:paraId="1A28A874" w14:textId="77777777" w:rsidR="00C63B67" w:rsidRDefault="00000000">
            <w:pPr>
              <w:spacing w:after="40" w:line="264" w:lineRule="auto"/>
            </w:pPr>
            <w:r>
              <w:rPr>
                <w:sz w:val="21"/>
                <w:szCs w:val="21"/>
              </w:rPr>
              <w:lastRenderedPageBreak/>
              <w:t xml:space="preserve">The one-handed grasp over the lower pole (Pawlik’s grip) can be uncomfortable. Use it sparingly and gently; the </w:t>
            </w:r>
            <w:r>
              <w:rPr>
                <w:b/>
                <w:bCs/>
                <w:sz w:val="21"/>
                <w:szCs w:val="21"/>
              </w:rPr>
              <w:t>two-handed pelvic grip is preferred.</w:t>
            </w:r>
          </w:p>
        </w:tc>
      </w:tr>
    </w:tbl>
    <w:p w14:paraId="526BE4D6" w14:textId="77777777" w:rsidR="00C63B67" w:rsidRDefault="00000000">
      <w:pPr>
        <w:spacing w:before="80" w:after="120"/>
        <w:jc w:val="center"/>
      </w:pPr>
      <w:r>
        <w:rPr>
          <w:noProof/>
        </w:rPr>
        <w:lastRenderedPageBreak/>
        <w:drawing>
          <wp:inline distT="0" distB="0" distL="0" distR="0" wp14:anchorId="1C5964FC" wp14:editId="2C83CDF2">
            <wp:extent cx="5715000" cy="2667000"/>
            <wp:effectExtent l="0" t="0" r="0" b="0"/>
            <wp:docPr id="990269517" name="engagement.png" descr="engagement.png" title="enga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2667000"/>
                    </a:xfrm>
                    <a:prstGeom prst="rect">
                      <a:avLst/>
                    </a:prstGeom>
                  </pic:spPr>
                </pic:pic>
              </a:graphicData>
            </a:graphic>
          </wp:inline>
        </w:drawing>
      </w:r>
    </w:p>
    <w:p w14:paraId="1036CB33" w14:textId="77777777" w:rsidR="00C63B67" w:rsidRDefault="00000000">
      <w:pPr>
        <w:keepNext/>
        <w:pBdr>
          <w:bottom w:val="single" w:sz="18" w:space="4" w:color="E8740C"/>
        </w:pBdr>
        <w:spacing w:before="240" w:after="120"/>
      </w:pPr>
      <w:r>
        <w:rPr>
          <w:b/>
          <w:bCs/>
          <w:color w:val="1B3A5B"/>
          <w:sz w:val="30"/>
          <w:szCs w:val="30"/>
        </w:rPr>
        <w:t>5.  Liquor volume (the waters)</w:t>
      </w:r>
    </w:p>
    <w:p w14:paraId="211E14C2" w14:textId="77777777" w:rsidR="00C63B67" w:rsidRDefault="00000000">
      <w:pPr>
        <w:spacing w:before="80" w:after="120"/>
        <w:jc w:val="center"/>
      </w:pPr>
      <w:r>
        <w:rPr>
          <w:noProof/>
        </w:rPr>
        <w:drawing>
          <wp:inline distT="0" distB="0" distL="0" distR="0" wp14:anchorId="578091CF" wp14:editId="7A668451">
            <wp:extent cx="5715000" cy="2047875"/>
            <wp:effectExtent l="0" t="0" r="0" b="0"/>
            <wp:docPr id="497871356" name="liquor.png" descr="liquor.png" title="liqu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715000" cy="2047875"/>
                    </a:xfrm>
                    <a:prstGeom prst="rect">
                      <a:avLst/>
                    </a:prstGeom>
                  </pic:spPr>
                </pic:pic>
              </a:graphicData>
            </a:graphic>
          </wp:inline>
        </w:drawing>
      </w:r>
    </w:p>
    <w:p w14:paraId="1A0F16EB" w14:textId="77777777" w:rsidR="00C63B67" w:rsidRDefault="00000000">
      <w:pPr>
        <w:spacing w:after="80" w:line="272" w:lineRule="auto"/>
      </w:pPr>
      <w:r>
        <w:t>As you palpate, judge the fluid around the baby. Too little (</w:t>
      </w:r>
      <w:r>
        <w:rPr>
          <w:i/>
          <w:iCs/>
        </w:rPr>
        <w:t>oligohydramnios</w:t>
      </w:r>
      <w:r>
        <w:t>) makes the uterus feel small and compact, with the baby’s parts easy to feel. Too much (</w:t>
      </w:r>
      <w:r>
        <w:rPr>
          <w:i/>
          <w:iCs/>
        </w:rPr>
        <w:t>polyhydramnios</w:t>
      </w:r>
      <w:r>
        <w:t>) makes it feel large, tense and shiny, with parts hard to feel. If the fluid looks abnormal, arrange an ultrasound.</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4873"/>
      </w:tblGrid>
      <w:tr w:rsidR="00C63B67" w14:paraId="76ED4071" w14:textId="77777777">
        <w:tblPrEx>
          <w:tblCellMar>
            <w:top w:w="0" w:type="dxa"/>
            <w:bottom w:w="0" w:type="dxa"/>
          </w:tblCellMar>
        </w:tblPrEx>
        <w:trPr>
          <w:tblHeader/>
        </w:trPr>
        <w:tc>
          <w:tcPr>
            <w:tcW w:w="4873" w:type="dxa"/>
            <w:tcBorders>
              <w:top w:val="single" w:sz="4" w:space="0" w:color="D7DEE3"/>
              <w:left w:val="single" w:sz="4" w:space="0" w:color="D7DEE3"/>
              <w:bottom w:val="single" w:sz="4" w:space="0" w:color="D7DEE3"/>
              <w:right w:val="single" w:sz="4" w:space="0" w:color="D7DEE3"/>
            </w:tcBorders>
            <w:shd w:val="clear" w:color="auto" w:fill="0E7C7B"/>
            <w:tcMar>
              <w:top w:w="70" w:type="dxa"/>
              <w:left w:w="120" w:type="dxa"/>
              <w:bottom w:w="70" w:type="dxa"/>
              <w:right w:w="120" w:type="dxa"/>
            </w:tcMar>
            <w:vAlign w:val="center"/>
          </w:tcPr>
          <w:p w14:paraId="4FEEF0F0" w14:textId="77777777" w:rsidR="00C63B67" w:rsidRDefault="00000000">
            <w:r>
              <w:rPr>
                <w:b/>
                <w:bCs/>
                <w:color w:val="FFFFFF"/>
                <w:sz w:val="20"/>
                <w:szCs w:val="20"/>
              </w:rPr>
              <w:t>Too little — oligohydramnios</w:t>
            </w:r>
          </w:p>
        </w:tc>
        <w:tc>
          <w:tcPr>
            <w:tcW w:w="4873" w:type="dxa"/>
            <w:tcBorders>
              <w:top w:val="single" w:sz="4" w:space="0" w:color="D7DEE3"/>
              <w:left w:val="single" w:sz="4" w:space="0" w:color="D7DEE3"/>
              <w:bottom w:val="single" w:sz="4" w:space="0" w:color="D7DEE3"/>
              <w:right w:val="single" w:sz="4" w:space="0" w:color="D7DEE3"/>
            </w:tcBorders>
            <w:shd w:val="clear" w:color="auto" w:fill="0E7C7B"/>
            <w:tcMar>
              <w:top w:w="70" w:type="dxa"/>
              <w:left w:w="120" w:type="dxa"/>
              <w:bottom w:w="70" w:type="dxa"/>
              <w:right w:w="120" w:type="dxa"/>
            </w:tcMar>
            <w:vAlign w:val="center"/>
          </w:tcPr>
          <w:p w14:paraId="1C9E108A" w14:textId="77777777" w:rsidR="00C63B67" w:rsidRDefault="00000000">
            <w:r>
              <w:rPr>
                <w:b/>
                <w:bCs/>
                <w:color w:val="FFFFFF"/>
                <w:sz w:val="20"/>
                <w:szCs w:val="20"/>
              </w:rPr>
              <w:t>Too much — polyhydramnios</w:t>
            </w:r>
          </w:p>
        </w:tc>
      </w:tr>
      <w:tr w:rsidR="00C63B67" w14:paraId="382B1BCC" w14:textId="77777777">
        <w:tblPrEx>
          <w:tblCellMar>
            <w:top w:w="0" w:type="dxa"/>
            <w:bottom w:w="0" w:type="dxa"/>
          </w:tblCellMar>
        </w:tblPrEx>
        <w:tc>
          <w:tcPr>
            <w:tcW w:w="4873"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06CE25BE" w14:textId="77777777" w:rsidR="00C63B67" w:rsidRDefault="00000000">
            <w:r>
              <w:rPr>
                <w:sz w:val="20"/>
                <w:szCs w:val="20"/>
              </w:rPr>
              <w:t>Ruptured membranes (PROM / PPROM)</w:t>
            </w:r>
          </w:p>
        </w:tc>
        <w:tc>
          <w:tcPr>
            <w:tcW w:w="4873"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2D8A92B6" w14:textId="77777777" w:rsidR="00C63B67" w:rsidRDefault="00000000">
            <w:r>
              <w:rPr>
                <w:sz w:val="20"/>
                <w:szCs w:val="20"/>
              </w:rPr>
              <w:t>Maternal diabetes</w:t>
            </w:r>
          </w:p>
        </w:tc>
      </w:tr>
      <w:tr w:rsidR="00C63B67" w14:paraId="49643F10" w14:textId="77777777">
        <w:tblPrEx>
          <w:tblCellMar>
            <w:top w:w="0" w:type="dxa"/>
            <w:bottom w:w="0" w:type="dxa"/>
          </w:tblCellMar>
        </w:tblPrEx>
        <w:tc>
          <w:tcPr>
            <w:tcW w:w="4873"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68D6261E" w14:textId="77777777" w:rsidR="00C63B67" w:rsidRDefault="00000000">
            <w:r>
              <w:rPr>
                <w:sz w:val="20"/>
                <w:szCs w:val="20"/>
              </w:rPr>
              <w:t>Placental insufficiency / growth restriction</w:t>
            </w:r>
          </w:p>
        </w:tc>
        <w:tc>
          <w:tcPr>
            <w:tcW w:w="4873"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7A8131E6" w14:textId="77777777" w:rsidR="00C63B67" w:rsidRDefault="00000000">
            <w:r>
              <w:rPr>
                <w:sz w:val="20"/>
                <w:szCs w:val="20"/>
              </w:rPr>
              <w:t>Twins or higher multiple pregnancy</w:t>
            </w:r>
          </w:p>
        </w:tc>
      </w:tr>
      <w:tr w:rsidR="00C63B67" w14:paraId="525EBDDE" w14:textId="77777777">
        <w:tblPrEx>
          <w:tblCellMar>
            <w:top w:w="0" w:type="dxa"/>
            <w:bottom w:w="0" w:type="dxa"/>
          </w:tblCellMar>
        </w:tblPrEx>
        <w:tc>
          <w:tcPr>
            <w:tcW w:w="4873"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25D4220E" w14:textId="77777777" w:rsidR="00C63B67" w:rsidRDefault="00000000">
            <w:proofErr w:type="spellStart"/>
            <w:r>
              <w:rPr>
                <w:sz w:val="20"/>
                <w:szCs w:val="20"/>
              </w:rPr>
              <w:t>Fetal</w:t>
            </w:r>
            <w:proofErr w:type="spellEnd"/>
            <w:r>
              <w:rPr>
                <w:sz w:val="20"/>
                <w:szCs w:val="20"/>
              </w:rPr>
              <w:t xml:space="preserve"> kidney problems (e.g. renal agenesis)</w:t>
            </w:r>
          </w:p>
        </w:tc>
        <w:tc>
          <w:tcPr>
            <w:tcW w:w="4873"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562B3360" w14:textId="77777777" w:rsidR="00C63B67" w:rsidRDefault="00000000">
            <w:r>
              <w:rPr>
                <w:sz w:val="20"/>
                <w:szCs w:val="20"/>
              </w:rPr>
              <w:t>Swallowing blocked: oesophageal / duodenal atresia</w:t>
            </w:r>
          </w:p>
        </w:tc>
      </w:tr>
      <w:tr w:rsidR="00C63B67" w14:paraId="5D82965B" w14:textId="77777777">
        <w:tblPrEx>
          <w:tblCellMar>
            <w:top w:w="0" w:type="dxa"/>
            <w:bottom w:w="0" w:type="dxa"/>
          </w:tblCellMar>
        </w:tblPrEx>
        <w:tc>
          <w:tcPr>
            <w:tcW w:w="4873"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17A6DF3E" w14:textId="77777777" w:rsidR="00C63B67" w:rsidRDefault="00000000">
            <w:r>
              <w:rPr>
                <w:sz w:val="20"/>
                <w:szCs w:val="20"/>
              </w:rPr>
              <w:t>Post-dates pregnancy</w:t>
            </w:r>
          </w:p>
        </w:tc>
        <w:tc>
          <w:tcPr>
            <w:tcW w:w="4873"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77CF0F15" w14:textId="77777777" w:rsidR="00C63B67" w:rsidRDefault="00000000">
            <w:r>
              <w:rPr>
                <w:sz w:val="20"/>
                <w:szCs w:val="20"/>
              </w:rPr>
              <w:t xml:space="preserve">Neural tube defect (e.g. anencephaly); </w:t>
            </w:r>
            <w:proofErr w:type="spellStart"/>
            <w:r>
              <w:rPr>
                <w:sz w:val="20"/>
                <w:szCs w:val="20"/>
              </w:rPr>
              <w:t>fetal</w:t>
            </w:r>
            <w:proofErr w:type="spellEnd"/>
            <w:r>
              <w:rPr>
                <w:sz w:val="20"/>
                <w:szCs w:val="20"/>
              </w:rPr>
              <w:t xml:space="preserve"> anaemia</w:t>
            </w:r>
          </w:p>
        </w:tc>
      </w:tr>
    </w:tbl>
    <w:p w14:paraId="024417E2" w14:textId="77777777" w:rsidR="009F5457" w:rsidRDefault="009F5457">
      <w:pPr>
        <w:keepNext/>
        <w:pBdr>
          <w:bottom w:val="single" w:sz="18" w:space="4" w:color="E8740C"/>
        </w:pBdr>
        <w:spacing w:before="240" w:after="120"/>
        <w:rPr>
          <w:b/>
          <w:bCs/>
          <w:color w:val="1B3A5B"/>
          <w:sz w:val="30"/>
          <w:szCs w:val="30"/>
        </w:rPr>
      </w:pPr>
    </w:p>
    <w:p w14:paraId="1A77B645" w14:textId="77777777" w:rsidR="009F5457" w:rsidRDefault="009F5457">
      <w:pPr>
        <w:rPr>
          <w:b/>
          <w:bCs/>
          <w:color w:val="1B3A5B"/>
          <w:sz w:val="30"/>
          <w:szCs w:val="30"/>
        </w:rPr>
      </w:pPr>
      <w:r>
        <w:rPr>
          <w:b/>
          <w:bCs/>
          <w:color w:val="1B3A5B"/>
          <w:sz w:val="30"/>
          <w:szCs w:val="30"/>
        </w:rPr>
        <w:br w:type="page"/>
      </w:r>
    </w:p>
    <w:p w14:paraId="75CF1977" w14:textId="0954EF94" w:rsidR="00C63B67" w:rsidRDefault="00000000">
      <w:pPr>
        <w:keepNext/>
        <w:pBdr>
          <w:bottom w:val="single" w:sz="18" w:space="4" w:color="E8740C"/>
        </w:pBdr>
        <w:spacing w:before="240" w:after="120"/>
      </w:pPr>
      <w:r>
        <w:rPr>
          <w:b/>
          <w:bCs/>
          <w:color w:val="1B3A5B"/>
          <w:sz w:val="30"/>
          <w:szCs w:val="30"/>
        </w:rPr>
        <w:lastRenderedPageBreak/>
        <w:t>6.  LISTEN — Auscultation</w:t>
      </w:r>
    </w:p>
    <w:tbl>
      <w:tblPr>
        <w:tblW w:w="9746" w:type="dxa"/>
        <w:tblBorders>
          <w:top w:val="none" w:sz="0" w:space="0" w:color="FFFFFF"/>
          <w:left w:val="single" w:sz="28" w:space="0" w:color="E08A1E"/>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2C736490" w14:textId="77777777">
        <w:tblPrEx>
          <w:tblCellMar>
            <w:top w:w="0" w:type="dxa"/>
            <w:bottom w:w="0" w:type="dxa"/>
          </w:tblCellMar>
        </w:tblPrEx>
        <w:tc>
          <w:tcPr>
            <w:tcW w:w="9746" w:type="dxa"/>
            <w:shd w:val="clear" w:color="auto" w:fill="FDF3E2"/>
            <w:tcMar>
              <w:top w:w="120" w:type="dxa"/>
              <w:left w:w="200" w:type="dxa"/>
              <w:bottom w:w="120" w:type="dxa"/>
              <w:right w:w="160" w:type="dxa"/>
            </w:tcMar>
          </w:tcPr>
          <w:p w14:paraId="2510E677" w14:textId="77777777" w:rsidR="00C63B67" w:rsidRDefault="00000000">
            <w:pPr>
              <w:spacing w:after="50"/>
            </w:pPr>
            <w:r>
              <w:rPr>
                <w:b/>
                <w:bCs/>
                <w:color w:val="B9770E"/>
              </w:rPr>
              <w:t>Important correction to old teaching</w:t>
            </w:r>
          </w:p>
          <w:p w14:paraId="14661D01" w14:textId="77777777" w:rsidR="00C63B67" w:rsidRDefault="00000000">
            <w:pPr>
              <w:spacing w:after="40" w:line="264" w:lineRule="auto"/>
            </w:pPr>
            <w:r>
              <w:rPr>
                <w:sz w:val="21"/>
                <w:szCs w:val="21"/>
              </w:rPr>
              <w:t xml:space="preserve">Routine “listening in” to the </w:t>
            </w:r>
            <w:proofErr w:type="spellStart"/>
            <w:r>
              <w:rPr>
                <w:sz w:val="21"/>
                <w:szCs w:val="21"/>
              </w:rPr>
              <w:t>fetal</w:t>
            </w:r>
            <w:proofErr w:type="spellEnd"/>
            <w:r>
              <w:rPr>
                <w:sz w:val="21"/>
                <w:szCs w:val="21"/>
              </w:rPr>
              <w:t xml:space="preserve"> heart is </w:t>
            </w:r>
            <w:r>
              <w:rPr>
                <w:b/>
                <w:bCs/>
                <w:sz w:val="21"/>
                <w:szCs w:val="21"/>
              </w:rPr>
              <w:t>not recommended</w:t>
            </w:r>
            <w:r>
              <w:rPr>
                <w:sz w:val="21"/>
                <w:szCs w:val="21"/>
              </w:rPr>
              <w:t xml:space="preserve"> — it does not predict how the baby is doing. </w:t>
            </w:r>
            <w:r>
              <w:rPr>
                <w:i/>
                <w:iCs/>
                <w:sz w:val="21"/>
                <w:szCs w:val="21"/>
              </w:rPr>
              <w:t>If the mother asks</w:t>
            </w:r>
            <w:r>
              <w:rPr>
                <w:sz w:val="21"/>
                <w:szCs w:val="21"/>
              </w:rPr>
              <w:t>, auscultation may still reassure her, and that is a good enough reason to do it. (NICE NG201.)</w:t>
            </w:r>
          </w:p>
        </w:tc>
      </w:tr>
    </w:tbl>
    <w:p w14:paraId="61E5C0CD" w14:textId="77777777" w:rsidR="00C63B67" w:rsidRDefault="00000000">
      <w:pPr>
        <w:pStyle w:val="ListParagraph"/>
        <w:numPr>
          <w:ilvl w:val="0"/>
          <w:numId w:val="2"/>
        </w:numPr>
        <w:spacing w:after="60" w:line="264" w:lineRule="auto"/>
      </w:pPr>
      <w:r>
        <w:rPr>
          <w:sz w:val="21"/>
          <w:szCs w:val="21"/>
        </w:rPr>
        <w:t>Use a handheld Doppler (or a Pinard) from about 24 weeks; find the baby’s position first so you know where to listen.</w:t>
      </w:r>
    </w:p>
    <w:p w14:paraId="4622662B" w14:textId="77777777" w:rsidR="00C63B67" w:rsidRDefault="00000000">
      <w:pPr>
        <w:pStyle w:val="ListParagraph"/>
        <w:numPr>
          <w:ilvl w:val="0"/>
          <w:numId w:val="2"/>
        </w:numPr>
        <w:spacing w:after="60" w:line="264" w:lineRule="auto"/>
      </w:pPr>
      <w:r>
        <w:rPr>
          <w:sz w:val="21"/>
          <w:szCs w:val="21"/>
        </w:rPr>
        <w:t xml:space="preserve">A reassuring </w:t>
      </w:r>
      <w:proofErr w:type="spellStart"/>
      <w:r>
        <w:rPr>
          <w:sz w:val="21"/>
          <w:szCs w:val="21"/>
        </w:rPr>
        <w:t>fetal</w:t>
      </w:r>
      <w:proofErr w:type="spellEnd"/>
      <w:r>
        <w:rPr>
          <w:sz w:val="21"/>
          <w:szCs w:val="21"/>
        </w:rPr>
        <w:t xml:space="preserve"> heart rate is steady at </w:t>
      </w:r>
      <w:r>
        <w:rPr>
          <w:b/>
          <w:bCs/>
          <w:sz w:val="21"/>
          <w:szCs w:val="21"/>
        </w:rPr>
        <w:t>110–160 beats per minute</w:t>
      </w:r>
      <w:r>
        <w:rPr>
          <w:sz w:val="21"/>
          <w:szCs w:val="21"/>
        </w:rPr>
        <w:t xml:space="preserve"> (NICE NG229).</w:t>
      </w:r>
    </w:p>
    <w:p w14:paraId="30B65677" w14:textId="77777777" w:rsidR="00C63B67" w:rsidRDefault="00000000">
      <w:pPr>
        <w:pStyle w:val="ListParagraph"/>
        <w:numPr>
          <w:ilvl w:val="0"/>
          <w:numId w:val="2"/>
        </w:numPr>
        <w:spacing w:after="60" w:line="264" w:lineRule="auto"/>
      </w:pPr>
      <w:r>
        <w:rPr>
          <w:sz w:val="21"/>
          <w:szCs w:val="21"/>
        </w:rPr>
        <w:t xml:space="preserve">Always check you are hearing the </w:t>
      </w:r>
      <w:r>
        <w:rPr>
          <w:b/>
          <w:bCs/>
          <w:sz w:val="21"/>
          <w:szCs w:val="21"/>
        </w:rPr>
        <w:t>baby, not the mother</w:t>
      </w:r>
      <w:r>
        <w:rPr>
          <w:sz w:val="21"/>
          <w:szCs w:val="21"/>
        </w:rPr>
        <w:t xml:space="preserve"> — feel her pulse at the same time.</w:t>
      </w:r>
    </w:p>
    <w:p w14:paraId="5E1FDAB6" w14:textId="77777777" w:rsidR="00C63B67" w:rsidRDefault="00000000">
      <w:pPr>
        <w:pStyle w:val="ListParagraph"/>
        <w:numPr>
          <w:ilvl w:val="0"/>
          <w:numId w:val="2"/>
        </w:numPr>
        <w:spacing w:after="60" w:line="264" w:lineRule="auto"/>
      </w:pPr>
      <w:r>
        <w:rPr>
          <w:sz w:val="21"/>
          <w:szCs w:val="21"/>
        </w:rPr>
        <w:t xml:space="preserve">The </w:t>
      </w:r>
      <w:proofErr w:type="spellStart"/>
      <w:r>
        <w:rPr>
          <w:sz w:val="21"/>
          <w:szCs w:val="21"/>
        </w:rPr>
        <w:t>fetal</w:t>
      </w:r>
      <w:proofErr w:type="spellEnd"/>
      <w:r>
        <w:rPr>
          <w:sz w:val="21"/>
          <w:szCs w:val="21"/>
        </w:rPr>
        <w:t xml:space="preserve"> heart is </w:t>
      </w:r>
      <w:r>
        <w:rPr>
          <w:b/>
          <w:bCs/>
          <w:sz w:val="21"/>
          <w:szCs w:val="21"/>
        </w:rPr>
        <w:t>not</w:t>
      </w:r>
      <w:r>
        <w:rPr>
          <w:sz w:val="21"/>
          <w:szCs w:val="21"/>
        </w:rPr>
        <w:t xml:space="preserve"> a substitute for what the mother feels. Her report of movements matters more.</w:t>
      </w:r>
    </w:p>
    <w:p w14:paraId="07165CE6" w14:textId="77777777" w:rsidR="00C63B67" w:rsidRDefault="00000000">
      <w:pPr>
        <w:keepNext/>
        <w:pBdr>
          <w:bottom w:val="single" w:sz="18" w:space="4" w:color="E8740C"/>
        </w:pBdr>
        <w:spacing w:before="240" w:after="120"/>
      </w:pPr>
      <w:r>
        <w:rPr>
          <w:b/>
          <w:bCs/>
          <w:color w:val="1B3A5B"/>
          <w:sz w:val="30"/>
          <w:szCs w:val="30"/>
        </w:rPr>
        <w:t>7.  Red flags — Spot it · Act · Refer</w:t>
      </w:r>
    </w:p>
    <w:tbl>
      <w:tblPr>
        <w:tblW w:w="9746" w:type="dxa"/>
        <w:tblBorders>
          <w:top w:val="none" w:sz="0" w:space="0" w:color="FFFFFF"/>
          <w:left w:val="single" w:sz="28" w:space="0" w:color="C0392B"/>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0502FFEE" w14:textId="77777777">
        <w:tblPrEx>
          <w:tblCellMar>
            <w:top w:w="0" w:type="dxa"/>
            <w:bottom w:w="0" w:type="dxa"/>
          </w:tblCellMar>
        </w:tblPrEx>
        <w:tc>
          <w:tcPr>
            <w:tcW w:w="9746" w:type="dxa"/>
            <w:shd w:val="clear" w:color="auto" w:fill="FBEAE8"/>
            <w:tcMar>
              <w:top w:w="120" w:type="dxa"/>
              <w:left w:w="200" w:type="dxa"/>
              <w:bottom w:w="120" w:type="dxa"/>
              <w:right w:w="160" w:type="dxa"/>
            </w:tcMar>
          </w:tcPr>
          <w:p w14:paraId="7FF6A2CA" w14:textId="77777777" w:rsidR="00C63B67" w:rsidRDefault="00000000">
            <w:pPr>
              <w:spacing w:after="50"/>
            </w:pPr>
            <w:r>
              <w:rPr>
                <w:b/>
                <w:bCs/>
                <w:color w:val="C0392B"/>
              </w:rPr>
              <w:t xml:space="preserve">Reduced or changed </w:t>
            </w:r>
            <w:proofErr w:type="spellStart"/>
            <w:r>
              <w:rPr>
                <w:b/>
                <w:bCs/>
                <w:color w:val="C0392B"/>
              </w:rPr>
              <w:t>fetal</w:t>
            </w:r>
            <w:proofErr w:type="spellEnd"/>
            <w:r>
              <w:rPr>
                <w:b/>
                <w:bCs/>
                <w:color w:val="C0392B"/>
              </w:rPr>
              <w:t xml:space="preserve"> movements</w:t>
            </w:r>
          </w:p>
          <w:p w14:paraId="33D02B46" w14:textId="77777777" w:rsidR="00C63B67" w:rsidRDefault="00000000">
            <w:pPr>
              <w:pStyle w:val="ListParagraph"/>
              <w:numPr>
                <w:ilvl w:val="0"/>
                <w:numId w:val="2"/>
              </w:numPr>
              <w:spacing w:after="30" w:line="260" w:lineRule="auto"/>
            </w:pPr>
            <w:r>
              <w:rPr>
                <w:b/>
                <w:bCs/>
                <w:color w:val="C0392B"/>
                <w:sz w:val="21"/>
                <w:szCs w:val="21"/>
              </w:rPr>
              <w:t xml:space="preserve">Spot it: </w:t>
            </w:r>
            <w:r>
              <w:rPr>
                <w:sz w:val="21"/>
                <w:szCs w:val="21"/>
              </w:rPr>
              <w:t>any reduction or sudden change in the baby’s usual movements after 24 weeks.</w:t>
            </w:r>
          </w:p>
          <w:p w14:paraId="5418FB10" w14:textId="77777777" w:rsidR="00C63B67" w:rsidRDefault="00000000">
            <w:pPr>
              <w:pStyle w:val="ListParagraph"/>
              <w:numPr>
                <w:ilvl w:val="0"/>
                <w:numId w:val="2"/>
              </w:numPr>
              <w:spacing w:after="30" w:line="260" w:lineRule="auto"/>
            </w:pPr>
            <w:r>
              <w:rPr>
                <w:b/>
                <w:bCs/>
                <w:color w:val="C0392B"/>
                <w:sz w:val="21"/>
                <w:szCs w:val="21"/>
              </w:rPr>
              <w:t xml:space="preserve">Act: </w:t>
            </w:r>
            <w:r>
              <w:rPr>
                <w:sz w:val="21"/>
                <w:szCs w:val="21"/>
              </w:rPr>
              <w:t xml:space="preserve">you must advise her to contact maternity services </w:t>
            </w:r>
            <w:r>
              <w:rPr>
                <w:b/>
                <w:bCs/>
                <w:sz w:val="21"/>
                <w:szCs w:val="21"/>
              </w:rPr>
              <w:t>immediately, day or night.</w:t>
            </w:r>
            <w:r>
              <w:rPr>
                <w:sz w:val="21"/>
                <w:szCs w:val="21"/>
              </w:rPr>
              <w:t xml:space="preserve"> Do not tell her to wait and see.</w:t>
            </w:r>
          </w:p>
          <w:p w14:paraId="5D647E76" w14:textId="77777777" w:rsidR="00C63B67" w:rsidRDefault="00000000">
            <w:pPr>
              <w:pStyle w:val="ListParagraph"/>
              <w:numPr>
                <w:ilvl w:val="0"/>
                <w:numId w:val="2"/>
              </w:numPr>
              <w:spacing w:after="30" w:line="260" w:lineRule="auto"/>
            </w:pPr>
            <w:r>
              <w:rPr>
                <w:b/>
                <w:bCs/>
                <w:color w:val="C0392B"/>
                <w:sz w:val="21"/>
                <w:szCs w:val="21"/>
              </w:rPr>
              <w:t xml:space="preserve">Refer: </w:t>
            </w:r>
            <w:r>
              <w:rPr>
                <w:sz w:val="21"/>
                <w:szCs w:val="21"/>
              </w:rPr>
              <w:t>same-day assessment (</w:t>
            </w:r>
            <w:proofErr w:type="spellStart"/>
            <w:r>
              <w:rPr>
                <w:sz w:val="21"/>
                <w:szCs w:val="21"/>
              </w:rPr>
              <w:t>fetal</w:t>
            </w:r>
            <w:proofErr w:type="spellEnd"/>
            <w:r>
              <w:rPr>
                <w:sz w:val="21"/>
                <w:szCs w:val="21"/>
              </w:rPr>
              <w:t xml:space="preserve"> heart / CTG and a growth check).</w:t>
            </w:r>
          </w:p>
          <w:p w14:paraId="7354530D" w14:textId="77777777" w:rsidR="00C63B67" w:rsidRDefault="00000000">
            <w:pPr>
              <w:spacing w:after="40" w:line="264" w:lineRule="auto"/>
            </w:pPr>
            <w:r>
              <w:rPr>
                <w:i/>
                <w:iCs/>
                <w:color w:val="5B6770"/>
                <w:sz w:val="18"/>
                <w:szCs w:val="18"/>
              </w:rPr>
              <w:t>Movements are usually first felt at 18–20 weeks. If she has never felt movement by 24 weeks, she should contact maternity. (RCOG Green-top Guideline 57.)</w:t>
            </w:r>
          </w:p>
        </w:tc>
      </w:tr>
    </w:tbl>
    <w:p w14:paraId="5F20F7A5" w14:textId="77777777" w:rsidR="00C63B67" w:rsidRDefault="00C63B67">
      <w:pPr>
        <w:spacing w:after="60"/>
      </w:pPr>
    </w:p>
    <w:tbl>
      <w:tblPr>
        <w:tblW w:w="9746" w:type="dxa"/>
        <w:tblBorders>
          <w:top w:val="none" w:sz="0" w:space="0" w:color="FFFFFF"/>
          <w:left w:val="single" w:sz="28" w:space="0" w:color="E08A1E"/>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71BE50E1" w14:textId="77777777">
        <w:tblPrEx>
          <w:tblCellMar>
            <w:top w:w="0" w:type="dxa"/>
            <w:bottom w:w="0" w:type="dxa"/>
          </w:tblCellMar>
        </w:tblPrEx>
        <w:tc>
          <w:tcPr>
            <w:tcW w:w="9746" w:type="dxa"/>
            <w:shd w:val="clear" w:color="auto" w:fill="FDF3E2"/>
            <w:tcMar>
              <w:top w:w="120" w:type="dxa"/>
              <w:left w:w="200" w:type="dxa"/>
              <w:bottom w:w="120" w:type="dxa"/>
              <w:right w:w="160" w:type="dxa"/>
            </w:tcMar>
          </w:tcPr>
          <w:p w14:paraId="0EC958E6" w14:textId="77777777" w:rsidR="00C63B67" w:rsidRDefault="00000000">
            <w:pPr>
              <w:spacing w:after="50"/>
            </w:pPr>
            <w:r>
              <w:rPr>
                <w:b/>
                <w:bCs/>
                <w:color w:val="B9770E"/>
              </w:rPr>
              <w:t>Size that does not match the dates</w:t>
            </w:r>
          </w:p>
          <w:p w14:paraId="5D642EDE" w14:textId="77777777" w:rsidR="00C63B67" w:rsidRDefault="00000000">
            <w:pPr>
              <w:pStyle w:val="ListParagraph"/>
              <w:numPr>
                <w:ilvl w:val="0"/>
                <w:numId w:val="2"/>
              </w:numPr>
              <w:spacing w:after="30" w:line="260" w:lineRule="auto"/>
            </w:pPr>
            <w:r>
              <w:rPr>
                <w:b/>
                <w:bCs/>
                <w:color w:val="B9770E"/>
                <w:sz w:val="21"/>
                <w:szCs w:val="21"/>
              </w:rPr>
              <w:t xml:space="preserve">Small for dates or static SFH: </w:t>
            </w:r>
            <w:r>
              <w:rPr>
                <w:sz w:val="21"/>
                <w:szCs w:val="21"/>
              </w:rPr>
              <w:t>offer an ultrasound for growth and wellbeing. Make it more urgent if there are also reduced movements or raised blood pressure.</w:t>
            </w:r>
          </w:p>
          <w:p w14:paraId="6766E724" w14:textId="77777777" w:rsidR="00C63B67" w:rsidRDefault="00000000">
            <w:pPr>
              <w:pStyle w:val="ListParagraph"/>
              <w:numPr>
                <w:ilvl w:val="0"/>
                <w:numId w:val="2"/>
              </w:numPr>
              <w:spacing w:after="30" w:line="260" w:lineRule="auto"/>
            </w:pPr>
            <w:r>
              <w:rPr>
                <w:b/>
                <w:bCs/>
                <w:color w:val="B9770E"/>
                <w:sz w:val="21"/>
                <w:szCs w:val="21"/>
              </w:rPr>
              <w:t xml:space="preserve">Large for dates: </w:t>
            </w:r>
            <w:r>
              <w:rPr>
                <w:sz w:val="21"/>
                <w:szCs w:val="21"/>
              </w:rPr>
              <w:t>consider an ultrasound for growth and fluid volume. (NICE NG201.)</w:t>
            </w:r>
          </w:p>
        </w:tc>
      </w:tr>
    </w:tbl>
    <w:p w14:paraId="2D31AACC" w14:textId="77777777" w:rsidR="00C63B67" w:rsidRDefault="00C63B67">
      <w:pPr>
        <w:spacing w:after="60"/>
      </w:pPr>
    </w:p>
    <w:tbl>
      <w:tblPr>
        <w:tblW w:w="9746" w:type="dxa"/>
        <w:tblBorders>
          <w:top w:val="none" w:sz="0" w:space="0" w:color="FFFFFF"/>
          <w:left w:val="single" w:sz="28" w:space="0" w:color="C0392B"/>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103BDF52" w14:textId="77777777">
        <w:tblPrEx>
          <w:tblCellMar>
            <w:top w:w="0" w:type="dxa"/>
            <w:bottom w:w="0" w:type="dxa"/>
          </w:tblCellMar>
        </w:tblPrEx>
        <w:tc>
          <w:tcPr>
            <w:tcW w:w="9746" w:type="dxa"/>
            <w:shd w:val="clear" w:color="auto" w:fill="FBEAE8"/>
            <w:tcMar>
              <w:top w:w="120" w:type="dxa"/>
              <w:left w:w="200" w:type="dxa"/>
              <w:bottom w:w="120" w:type="dxa"/>
              <w:right w:w="160" w:type="dxa"/>
            </w:tcMar>
          </w:tcPr>
          <w:p w14:paraId="65720CAE" w14:textId="77777777" w:rsidR="00C63B67" w:rsidRDefault="00000000">
            <w:pPr>
              <w:spacing w:after="50"/>
            </w:pPr>
            <w:r>
              <w:rPr>
                <w:b/>
                <w:bCs/>
                <w:color w:val="C0392B"/>
              </w:rPr>
              <w:t>Wrong way round near term</w:t>
            </w:r>
          </w:p>
          <w:p w14:paraId="635D4E5E" w14:textId="77777777" w:rsidR="00C63B67" w:rsidRDefault="00000000">
            <w:pPr>
              <w:pStyle w:val="ListParagraph"/>
              <w:numPr>
                <w:ilvl w:val="0"/>
                <w:numId w:val="2"/>
              </w:numPr>
              <w:spacing w:after="30" w:line="260" w:lineRule="auto"/>
            </w:pPr>
            <w:r>
              <w:rPr>
                <w:b/>
                <w:bCs/>
                <w:color w:val="C0392B"/>
                <w:sz w:val="21"/>
                <w:szCs w:val="21"/>
              </w:rPr>
              <w:t xml:space="preserve">Breech at 36 weeks: </w:t>
            </w:r>
            <w:r>
              <w:rPr>
                <w:sz w:val="21"/>
                <w:szCs w:val="21"/>
              </w:rPr>
              <w:t>refer to discuss turning the baby (ECV) — offered from 36 weeks in a first pregnancy and from 37 weeks if she has given birth before. (RCOG Green-top Guideline 20a.)</w:t>
            </w:r>
          </w:p>
          <w:p w14:paraId="0D946037" w14:textId="77777777" w:rsidR="00C63B67" w:rsidRDefault="00000000">
            <w:pPr>
              <w:pStyle w:val="ListParagraph"/>
              <w:numPr>
                <w:ilvl w:val="0"/>
                <w:numId w:val="2"/>
              </w:numPr>
              <w:spacing w:after="30" w:line="260" w:lineRule="auto"/>
            </w:pPr>
            <w:r>
              <w:rPr>
                <w:b/>
                <w:bCs/>
                <w:color w:val="C0392B"/>
                <w:sz w:val="21"/>
                <w:szCs w:val="21"/>
              </w:rPr>
              <w:t xml:space="preserve">Transverse or oblique near term: </w:t>
            </w:r>
            <w:r>
              <w:rPr>
                <w:sz w:val="21"/>
                <w:szCs w:val="21"/>
              </w:rPr>
              <w:t>refer (risk of cord prolapse).</w:t>
            </w:r>
          </w:p>
        </w:tc>
      </w:tr>
    </w:tbl>
    <w:p w14:paraId="63F30F40" w14:textId="77777777" w:rsidR="00C63B67" w:rsidRDefault="00C63B67">
      <w:pPr>
        <w:spacing w:after="60"/>
      </w:pPr>
    </w:p>
    <w:tbl>
      <w:tblPr>
        <w:tblW w:w="9746" w:type="dxa"/>
        <w:tblBorders>
          <w:top w:val="none" w:sz="0" w:space="0" w:color="FFFFFF"/>
          <w:left w:val="single" w:sz="28" w:space="0" w:color="2E75B6"/>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1DCC058F" w14:textId="77777777">
        <w:tblPrEx>
          <w:tblCellMar>
            <w:top w:w="0" w:type="dxa"/>
            <w:bottom w:w="0" w:type="dxa"/>
          </w:tblCellMar>
        </w:tblPrEx>
        <w:tc>
          <w:tcPr>
            <w:tcW w:w="9746" w:type="dxa"/>
            <w:shd w:val="clear" w:color="auto" w:fill="E8F1FA"/>
            <w:tcMar>
              <w:top w:w="120" w:type="dxa"/>
              <w:left w:w="200" w:type="dxa"/>
              <w:bottom w:w="120" w:type="dxa"/>
              <w:right w:w="160" w:type="dxa"/>
            </w:tcMar>
          </w:tcPr>
          <w:p w14:paraId="7E9CE882" w14:textId="77777777" w:rsidR="00C63B67" w:rsidRDefault="00000000">
            <w:pPr>
              <w:spacing w:after="50"/>
            </w:pPr>
            <w:r>
              <w:rPr>
                <w:b/>
                <w:bCs/>
                <w:color w:val="2E75B6"/>
              </w:rPr>
              <w:t>Possible pre-eclampsia</w:t>
            </w:r>
          </w:p>
          <w:p w14:paraId="6490B065" w14:textId="77777777" w:rsidR="00C63B67" w:rsidRDefault="00000000">
            <w:pPr>
              <w:spacing w:after="40" w:line="264" w:lineRule="auto"/>
            </w:pPr>
            <w:r>
              <w:rPr>
                <w:sz w:val="21"/>
                <w:szCs w:val="21"/>
              </w:rPr>
              <w:t xml:space="preserve">Blood pressure ≥140/90 with protein in the urine, or warning symptoms (bad headache, visual disturbance, pain below the ribs, sudden swelling) — </w:t>
            </w:r>
            <w:r>
              <w:rPr>
                <w:b/>
                <w:bCs/>
                <w:sz w:val="21"/>
                <w:szCs w:val="21"/>
              </w:rPr>
              <w:t>arrange urgent obstetric assessment.</w:t>
            </w:r>
          </w:p>
        </w:tc>
      </w:tr>
    </w:tbl>
    <w:p w14:paraId="53041EEC" w14:textId="77777777" w:rsidR="009F5457" w:rsidRDefault="009F5457">
      <w:pPr>
        <w:keepNext/>
        <w:pBdr>
          <w:bottom w:val="single" w:sz="18" w:space="4" w:color="E8740C"/>
        </w:pBdr>
        <w:spacing w:before="240" w:after="120"/>
        <w:rPr>
          <w:b/>
          <w:bCs/>
          <w:color w:val="1B3A5B"/>
          <w:sz w:val="30"/>
          <w:szCs w:val="30"/>
        </w:rPr>
      </w:pPr>
    </w:p>
    <w:p w14:paraId="412EFFAC" w14:textId="77777777" w:rsidR="009F5457" w:rsidRDefault="009F5457">
      <w:pPr>
        <w:rPr>
          <w:b/>
          <w:bCs/>
          <w:color w:val="1B3A5B"/>
          <w:sz w:val="30"/>
          <w:szCs w:val="30"/>
        </w:rPr>
      </w:pPr>
      <w:r>
        <w:rPr>
          <w:b/>
          <w:bCs/>
          <w:color w:val="1B3A5B"/>
          <w:sz w:val="30"/>
          <w:szCs w:val="30"/>
        </w:rPr>
        <w:br w:type="page"/>
      </w:r>
    </w:p>
    <w:p w14:paraId="36FE03E2" w14:textId="60233181" w:rsidR="00C63B67" w:rsidRDefault="00000000">
      <w:pPr>
        <w:keepNext/>
        <w:pBdr>
          <w:bottom w:val="single" w:sz="18" w:space="4" w:color="E8740C"/>
        </w:pBdr>
        <w:spacing w:before="240" w:after="120"/>
      </w:pPr>
      <w:r>
        <w:rPr>
          <w:b/>
          <w:bCs/>
          <w:color w:val="1B3A5B"/>
          <w:sz w:val="30"/>
          <w:szCs w:val="30"/>
        </w:rPr>
        <w:lastRenderedPageBreak/>
        <w:t>8.  Writing it up</w:t>
      </w:r>
    </w:p>
    <w:p w14:paraId="49E7D323" w14:textId="77777777" w:rsidR="00C63B67" w:rsidRDefault="00000000">
      <w:pPr>
        <w:spacing w:after="80"/>
      </w:pPr>
      <w:r>
        <w:t xml:space="preserve">Record, in order: SFH (cm) and plotted centile · lie · presentation · engagement (fifths) · </w:t>
      </w:r>
      <w:proofErr w:type="spellStart"/>
      <w:r>
        <w:t>fetal</w:t>
      </w:r>
      <w:proofErr w:type="spellEnd"/>
      <w:r>
        <w:t xml:space="preserve"> heart if listened · movements · BP and urine.</w:t>
      </w:r>
    </w:p>
    <w:tbl>
      <w:tblPr>
        <w:tblW w:w="9746" w:type="dxa"/>
        <w:tblBorders>
          <w:top w:val="none" w:sz="0" w:space="0" w:color="FFFFFF"/>
          <w:left w:val="single" w:sz="28" w:space="0" w:color="1B3A5B"/>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76B519A9" w14:textId="77777777">
        <w:tblPrEx>
          <w:tblCellMar>
            <w:top w:w="0" w:type="dxa"/>
            <w:bottom w:w="0" w:type="dxa"/>
          </w:tblCellMar>
        </w:tblPrEx>
        <w:tc>
          <w:tcPr>
            <w:tcW w:w="9746" w:type="dxa"/>
            <w:shd w:val="clear" w:color="auto" w:fill="F6F8FA"/>
            <w:tcMar>
              <w:top w:w="120" w:type="dxa"/>
              <w:left w:w="200" w:type="dxa"/>
              <w:bottom w:w="120" w:type="dxa"/>
              <w:right w:w="160" w:type="dxa"/>
            </w:tcMar>
          </w:tcPr>
          <w:p w14:paraId="5D9BBDFB" w14:textId="77777777" w:rsidR="00C63B67" w:rsidRDefault="00000000">
            <w:pPr>
              <w:spacing w:after="50"/>
            </w:pPr>
            <w:r>
              <w:rPr>
                <w:b/>
                <w:bCs/>
                <w:color w:val="1B3A5B"/>
              </w:rPr>
              <w:t>Worked example</w:t>
            </w:r>
          </w:p>
          <w:p w14:paraId="3AD41EF9" w14:textId="77777777" w:rsidR="00C63B67" w:rsidRDefault="00000000">
            <w:pPr>
              <w:spacing w:after="40" w:line="264" w:lineRule="auto"/>
            </w:pPr>
            <w:r>
              <w:rPr>
                <w:i/>
                <w:iCs/>
                <w:sz w:val="21"/>
                <w:szCs w:val="21"/>
              </w:rPr>
              <w:t xml:space="preserve">“SFH 30 cm, on the 50th centile. Longitudinal lie, cephalic presentation, 3/5 palpable. </w:t>
            </w:r>
            <w:proofErr w:type="spellStart"/>
            <w:r>
              <w:rPr>
                <w:i/>
                <w:iCs/>
                <w:sz w:val="21"/>
                <w:szCs w:val="21"/>
              </w:rPr>
              <w:t>Fetal</w:t>
            </w:r>
            <w:proofErr w:type="spellEnd"/>
            <w:r>
              <w:rPr>
                <w:i/>
                <w:iCs/>
                <w:sz w:val="21"/>
                <w:szCs w:val="21"/>
              </w:rPr>
              <w:t xml:space="preserve"> heart heard, regular, ~140 bpm. Movements normal. BP 118/74, urine NAD.”</w:t>
            </w:r>
          </w:p>
        </w:tc>
      </w:tr>
    </w:tbl>
    <w:p w14:paraId="1CA6551E" w14:textId="77777777" w:rsidR="00C63B67" w:rsidRDefault="00000000">
      <w:pPr>
        <w:keepNext/>
        <w:pBdr>
          <w:bottom w:val="single" w:sz="18" w:space="4" w:color="E8740C"/>
        </w:pBdr>
        <w:spacing w:before="240" w:after="120"/>
      </w:pPr>
      <w:r>
        <w:rPr>
          <w:b/>
          <w:bCs/>
          <w:color w:val="1B3A5B"/>
          <w:sz w:val="30"/>
          <w:szCs w:val="30"/>
        </w:rPr>
        <w:t>In one minute</w:t>
      </w:r>
    </w:p>
    <w:tbl>
      <w:tblPr>
        <w:tblW w:w="9746" w:type="dxa"/>
        <w:tblBorders>
          <w:top w:val="none" w:sz="0" w:space="0" w:color="FFFFFF"/>
          <w:left w:val="single" w:sz="28" w:space="0" w:color="6B3FA0"/>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37DFAA03" w14:textId="77777777">
        <w:tblPrEx>
          <w:tblCellMar>
            <w:top w:w="0" w:type="dxa"/>
            <w:bottom w:w="0" w:type="dxa"/>
          </w:tblCellMar>
        </w:tblPrEx>
        <w:tc>
          <w:tcPr>
            <w:tcW w:w="9746" w:type="dxa"/>
            <w:shd w:val="clear" w:color="auto" w:fill="F1EAF8"/>
            <w:tcMar>
              <w:top w:w="120" w:type="dxa"/>
              <w:left w:w="200" w:type="dxa"/>
              <w:bottom w:w="120" w:type="dxa"/>
              <w:right w:w="160" w:type="dxa"/>
            </w:tcMar>
          </w:tcPr>
          <w:p w14:paraId="341C28F4" w14:textId="77777777" w:rsidR="00C63B67" w:rsidRDefault="00000000">
            <w:pPr>
              <w:spacing w:after="50"/>
            </w:pPr>
            <w:r>
              <w:rPr>
                <w:b/>
                <w:bCs/>
                <w:color w:val="6B3FA0"/>
              </w:rPr>
              <w:t>Look · Feel · Listen — then check the red flags</w:t>
            </w:r>
          </w:p>
          <w:p w14:paraId="375BF64D" w14:textId="77777777" w:rsidR="00C63B67" w:rsidRDefault="00000000">
            <w:pPr>
              <w:pStyle w:val="ListParagraph"/>
              <w:numPr>
                <w:ilvl w:val="0"/>
                <w:numId w:val="2"/>
              </w:numPr>
              <w:spacing w:after="30" w:line="260" w:lineRule="auto"/>
            </w:pPr>
            <w:r>
              <w:rPr>
                <w:b/>
                <w:bCs/>
                <w:color w:val="6B3FA0"/>
                <w:sz w:val="21"/>
                <w:szCs w:val="21"/>
              </w:rPr>
              <w:t xml:space="preserve">Look: </w:t>
            </w:r>
            <w:r>
              <w:rPr>
                <w:sz w:val="21"/>
                <w:szCs w:val="21"/>
              </w:rPr>
              <w:t>size, shape, scars, skin, movements.</w:t>
            </w:r>
          </w:p>
          <w:p w14:paraId="5E04C3C2" w14:textId="77777777" w:rsidR="00C63B67" w:rsidRDefault="00000000">
            <w:pPr>
              <w:pStyle w:val="ListParagraph"/>
              <w:numPr>
                <w:ilvl w:val="0"/>
                <w:numId w:val="2"/>
              </w:numPr>
              <w:spacing w:after="30" w:line="260" w:lineRule="auto"/>
            </w:pPr>
            <w:r>
              <w:rPr>
                <w:b/>
                <w:bCs/>
                <w:color w:val="6B3FA0"/>
                <w:sz w:val="21"/>
                <w:szCs w:val="21"/>
              </w:rPr>
              <w:t xml:space="preserve">Feel: </w:t>
            </w:r>
            <w:r>
              <w:rPr>
                <w:sz w:val="21"/>
                <w:szCs w:val="21"/>
              </w:rPr>
              <w:t>plot the SFH from 24 weeks (cm ≈ weeks ± 2); then lie, presentation and engagement (2/5 or fewer = engaged).</w:t>
            </w:r>
          </w:p>
          <w:p w14:paraId="77D6D6DE" w14:textId="77777777" w:rsidR="00C63B67" w:rsidRDefault="00000000">
            <w:pPr>
              <w:pStyle w:val="ListParagraph"/>
              <w:numPr>
                <w:ilvl w:val="0"/>
                <w:numId w:val="2"/>
              </w:numPr>
              <w:spacing w:after="30" w:line="260" w:lineRule="auto"/>
            </w:pPr>
            <w:r>
              <w:rPr>
                <w:b/>
                <w:bCs/>
                <w:color w:val="6B3FA0"/>
                <w:sz w:val="21"/>
                <w:szCs w:val="21"/>
              </w:rPr>
              <w:t xml:space="preserve">Listen: </w:t>
            </w:r>
            <w:r>
              <w:rPr>
                <w:sz w:val="21"/>
                <w:szCs w:val="21"/>
              </w:rPr>
              <w:t>only if she wants it; reassuring rate 110–160 bpm; check it is the baby, not the mother.</w:t>
            </w:r>
          </w:p>
          <w:p w14:paraId="07FE0A59" w14:textId="77777777" w:rsidR="00C63B67" w:rsidRDefault="00000000">
            <w:pPr>
              <w:pStyle w:val="ListParagraph"/>
              <w:numPr>
                <w:ilvl w:val="0"/>
                <w:numId w:val="2"/>
              </w:numPr>
              <w:spacing w:after="30" w:line="260" w:lineRule="auto"/>
            </w:pPr>
            <w:r>
              <w:rPr>
                <w:b/>
                <w:bCs/>
                <w:color w:val="6B3FA0"/>
                <w:sz w:val="21"/>
                <w:szCs w:val="21"/>
              </w:rPr>
              <w:t xml:space="preserve">Act </w:t>
            </w:r>
            <w:proofErr w:type="gramStart"/>
            <w:r>
              <w:rPr>
                <w:b/>
                <w:bCs/>
                <w:color w:val="6B3FA0"/>
                <w:sz w:val="21"/>
                <w:szCs w:val="21"/>
              </w:rPr>
              <w:t>on:</w:t>
            </w:r>
            <w:proofErr w:type="gramEnd"/>
            <w:r>
              <w:rPr>
                <w:b/>
                <w:bCs/>
                <w:color w:val="6B3FA0"/>
                <w:sz w:val="21"/>
                <w:szCs w:val="21"/>
              </w:rPr>
              <w:t xml:space="preserve"> </w:t>
            </w:r>
            <w:r>
              <w:rPr>
                <w:sz w:val="21"/>
                <w:szCs w:val="21"/>
              </w:rPr>
              <w:t>reduced movements (contact maternity now), small/large for dates (scan), breech or transverse near term (refer), and possible pre-eclampsia.</w:t>
            </w:r>
          </w:p>
        </w:tc>
      </w:tr>
    </w:tbl>
    <w:p w14:paraId="1A89F8FA" w14:textId="77777777" w:rsidR="00C63B67" w:rsidRDefault="00000000">
      <w:pPr>
        <w:keepNext/>
        <w:pBdr>
          <w:bottom w:val="single" w:sz="18" w:space="4" w:color="E8740C"/>
        </w:pBdr>
        <w:spacing w:before="240" w:after="120"/>
      </w:pPr>
      <w:r>
        <w:rPr>
          <w:b/>
          <w:bCs/>
          <w:color w:val="1B3A5B"/>
          <w:sz w:val="30"/>
          <w:szCs w:val="30"/>
        </w:rPr>
        <w:t xml:space="preserve">Normal values </w:t>
      </w:r>
      <w:proofErr w:type="gramStart"/>
      <w:r>
        <w:rPr>
          <w:b/>
          <w:bCs/>
          <w:color w:val="1B3A5B"/>
          <w:sz w:val="30"/>
          <w:szCs w:val="30"/>
        </w:rPr>
        <w:t>at a glance</w:t>
      </w:r>
      <w:proofErr w:type="gramEnd"/>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20"/>
        <w:gridCol w:w="3760"/>
        <w:gridCol w:w="3466"/>
      </w:tblGrid>
      <w:tr w:rsidR="00C63B67" w14:paraId="65B5C1E3" w14:textId="77777777">
        <w:tblPrEx>
          <w:tblCellMar>
            <w:top w:w="0" w:type="dxa"/>
            <w:bottom w:w="0" w:type="dxa"/>
          </w:tblCellMar>
        </w:tblPrEx>
        <w:trPr>
          <w:tblHeader/>
        </w:trPr>
        <w:tc>
          <w:tcPr>
            <w:tcW w:w="2520" w:type="dxa"/>
            <w:tcBorders>
              <w:top w:val="single" w:sz="4" w:space="0" w:color="D7DEE3"/>
              <w:left w:val="single" w:sz="4" w:space="0" w:color="D7DEE3"/>
              <w:bottom w:val="single" w:sz="4" w:space="0" w:color="D7DEE3"/>
              <w:right w:val="single" w:sz="4" w:space="0" w:color="D7DEE3"/>
            </w:tcBorders>
            <w:shd w:val="clear" w:color="auto" w:fill="1B3A5B"/>
            <w:tcMar>
              <w:top w:w="70" w:type="dxa"/>
              <w:left w:w="120" w:type="dxa"/>
              <w:bottom w:w="70" w:type="dxa"/>
              <w:right w:w="120" w:type="dxa"/>
            </w:tcMar>
            <w:vAlign w:val="center"/>
          </w:tcPr>
          <w:p w14:paraId="3A215807" w14:textId="77777777" w:rsidR="00C63B67" w:rsidRDefault="00000000">
            <w:r>
              <w:rPr>
                <w:b/>
                <w:bCs/>
                <w:color w:val="FFFFFF"/>
                <w:sz w:val="20"/>
                <w:szCs w:val="20"/>
              </w:rPr>
              <w:t>What you check</w:t>
            </w:r>
          </w:p>
        </w:tc>
        <w:tc>
          <w:tcPr>
            <w:tcW w:w="3760" w:type="dxa"/>
            <w:tcBorders>
              <w:top w:val="single" w:sz="4" w:space="0" w:color="D7DEE3"/>
              <w:left w:val="single" w:sz="4" w:space="0" w:color="D7DEE3"/>
              <w:bottom w:val="single" w:sz="4" w:space="0" w:color="D7DEE3"/>
              <w:right w:val="single" w:sz="4" w:space="0" w:color="D7DEE3"/>
            </w:tcBorders>
            <w:shd w:val="clear" w:color="auto" w:fill="1B3A5B"/>
            <w:tcMar>
              <w:top w:w="70" w:type="dxa"/>
              <w:left w:w="120" w:type="dxa"/>
              <w:bottom w:w="70" w:type="dxa"/>
              <w:right w:w="120" w:type="dxa"/>
            </w:tcMar>
            <w:vAlign w:val="center"/>
          </w:tcPr>
          <w:p w14:paraId="2C3AC9C7" w14:textId="77777777" w:rsidR="00C63B67" w:rsidRDefault="00000000">
            <w:r>
              <w:rPr>
                <w:b/>
                <w:bCs/>
                <w:color w:val="FFFFFF"/>
                <w:sz w:val="20"/>
                <w:szCs w:val="20"/>
              </w:rPr>
              <w:t>Normal / expected</w:t>
            </w:r>
          </w:p>
        </w:tc>
        <w:tc>
          <w:tcPr>
            <w:tcW w:w="3466" w:type="dxa"/>
            <w:tcBorders>
              <w:top w:val="single" w:sz="4" w:space="0" w:color="D7DEE3"/>
              <w:left w:val="single" w:sz="4" w:space="0" w:color="D7DEE3"/>
              <w:bottom w:val="single" w:sz="4" w:space="0" w:color="D7DEE3"/>
              <w:right w:val="single" w:sz="4" w:space="0" w:color="D7DEE3"/>
            </w:tcBorders>
            <w:shd w:val="clear" w:color="auto" w:fill="1B3A5B"/>
            <w:tcMar>
              <w:top w:w="70" w:type="dxa"/>
              <w:left w:w="120" w:type="dxa"/>
              <w:bottom w:w="70" w:type="dxa"/>
              <w:right w:w="120" w:type="dxa"/>
            </w:tcMar>
            <w:vAlign w:val="center"/>
          </w:tcPr>
          <w:p w14:paraId="665BAAD6" w14:textId="77777777" w:rsidR="00C63B67" w:rsidRDefault="00000000">
            <w:r>
              <w:rPr>
                <w:b/>
                <w:bCs/>
                <w:color w:val="FFFFFF"/>
                <w:sz w:val="20"/>
                <w:szCs w:val="20"/>
              </w:rPr>
              <w:t>When to act</w:t>
            </w:r>
          </w:p>
        </w:tc>
      </w:tr>
      <w:tr w:rsidR="00C63B67" w14:paraId="3BE1F56A" w14:textId="77777777">
        <w:tblPrEx>
          <w:tblCellMar>
            <w:top w:w="0" w:type="dxa"/>
            <w:bottom w:w="0" w:type="dxa"/>
          </w:tblCellMar>
        </w:tblPrEx>
        <w:tc>
          <w:tcPr>
            <w:tcW w:w="252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08DBFBC2" w14:textId="77777777" w:rsidR="00C63B67" w:rsidRDefault="00000000">
            <w:r>
              <w:rPr>
                <w:sz w:val="20"/>
                <w:szCs w:val="20"/>
              </w:rPr>
              <w:t>Symphysis–fundal height</w:t>
            </w:r>
          </w:p>
        </w:tc>
        <w:tc>
          <w:tcPr>
            <w:tcW w:w="376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7A55F03B" w14:textId="77777777" w:rsidR="00C63B67" w:rsidRDefault="00000000">
            <w:r>
              <w:rPr>
                <w:sz w:val="20"/>
                <w:szCs w:val="20"/>
              </w:rPr>
              <w:t>From 24 weeks; cm ≈ weeks ± 2; plotted on a growth chart</w:t>
            </w:r>
          </w:p>
        </w:tc>
        <w:tc>
          <w:tcPr>
            <w:tcW w:w="3466"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4DEDEE76" w14:textId="77777777" w:rsidR="00C63B67" w:rsidRDefault="00000000">
            <w:r>
              <w:rPr>
                <w:sz w:val="20"/>
                <w:szCs w:val="20"/>
              </w:rPr>
              <w:t>Static or small for dates, or large for dates → offer ultrasound</w:t>
            </w:r>
          </w:p>
        </w:tc>
      </w:tr>
      <w:tr w:rsidR="00C63B67" w14:paraId="6487C1B6" w14:textId="77777777">
        <w:tblPrEx>
          <w:tblCellMar>
            <w:top w:w="0" w:type="dxa"/>
            <w:bottom w:w="0" w:type="dxa"/>
          </w:tblCellMar>
        </w:tblPrEx>
        <w:tc>
          <w:tcPr>
            <w:tcW w:w="252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6690C776" w14:textId="77777777" w:rsidR="00C63B67" w:rsidRDefault="00000000">
            <w:r>
              <w:rPr>
                <w:sz w:val="20"/>
                <w:szCs w:val="20"/>
              </w:rPr>
              <w:t>Lie &amp; presentation near term</w:t>
            </w:r>
          </w:p>
        </w:tc>
        <w:tc>
          <w:tcPr>
            <w:tcW w:w="376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5B40DF8B" w14:textId="77777777" w:rsidR="00C63B67" w:rsidRDefault="00000000">
            <w:r>
              <w:rPr>
                <w:sz w:val="20"/>
                <w:szCs w:val="20"/>
              </w:rPr>
              <w:t>Longitudinal lie, cephalic presentation</w:t>
            </w:r>
          </w:p>
        </w:tc>
        <w:tc>
          <w:tcPr>
            <w:tcW w:w="3466"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62CCC3FE" w14:textId="77777777" w:rsidR="00C63B67" w:rsidRDefault="00000000">
            <w:r>
              <w:rPr>
                <w:sz w:val="20"/>
                <w:szCs w:val="20"/>
              </w:rPr>
              <w:t xml:space="preserve">Breech → refer for ECV (36/37 </w:t>
            </w:r>
            <w:proofErr w:type="spellStart"/>
            <w:r>
              <w:rPr>
                <w:sz w:val="20"/>
                <w:szCs w:val="20"/>
              </w:rPr>
              <w:t>wks</w:t>
            </w:r>
            <w:proofErr w:type="spellEnd"/>
            <w:r>
              <w:rPr>
                <w:sz w:val="20"/>
                <w:szCs w:val="20"/>
              </w:rPr>
              <w:t>); transverse or oblique → refer</w:t>
            </w:r>
          </w:p>
        </w:tc>
      </w:tr>
      <w:tr w:rsidR="00C63B67" w14:paraId="71025D53" w14:textId="77777777">
        <w:tblPrEx>
          <w:tblCellMar>
            <w:top w:w="0" w:type="dxa"/>
            <w:bottom w:w="0" w:type="dxa"/>
          </w:tblCellMar>
        </w:tblPrEx>
        <w:tc>
          <w:tcPr>
            <w:tcW w:w="252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471F462C" w14:textId="77777777" w:rsidR="00C63B67" w:rsidRDefault="00000000">
            <w:r>
              <w:rPr>
                <w:sz w:val="20"/>
                <w:szCs w:val="20"/>
              </w:rPr>
              <w:t>Engagement</w:t>
            </w:r>
          </w:p>
        </w:tc>
        <w:tc>
          <w:tcPr>
            <w:tcW w:w="376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15D3E4C6" w14:textId="77777777" w:rsidR="00C63B67" w:rsidRDefault="00000000">
            <w:r>
              <w:rPr>
                <w:sz w:val="20"/>
                <w:szCs w:val="20"/>
              </w:rPr>
              <w:t xml:space="preserve">2/5 or fewer palpable above the brim = engaged; ~37 </w:t>
            </w:r>
            <w:proofErr w:type="spellStart"/>
            <w:r>
              <w:rPr>
                <w:sz w:val="20"/>
                <w:szCs w:val="20"/>
              </w:rPr>
              <w:t>wks</w:t>
            </w:r>
            <w:proofErr w:type="spellEnd"/>
            <w:r>
              <w:rPr>
                <w:sz w:val="20"/>
                <w:szCs w:val="20"/>
              </w:rPr>
              <w:t xml:space="preserve"> in a first pregnancy</w:t>
            </w:r>
          </w:p>
        </w:tc>
        <w:tc>
          <w:tcPr>
            <w:tcW w:w="3466"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7CFC2AC9" w14:textId="77777777" w:rsidR="00C63B67" w:rsidRDefault="00000000">
            <w:r>
              <w:rPr>
                <w:sz w:val="20"/>
                <w:szCs w:val="20"/>
              </w:rPr>
              <w:t>Use the two-handed pelvic grip; record fifths palpable</w:t>
            </w:r>
          </w:p>
        </w:tc>
      </w:tr>
      <w:tr w:rsidR="00C63B67" w14:paraId="0CEAAF25" w14:textId="77777777">
        <w:tblPrEx>
          <w:tblCellMar>
            <w:top w:w="0" w:type="dxa"/>
            <w:bottom w:w="0" w:type="dxa"/>
          </w:tblCellMar>
        </w:tblPrEx>
        <w:tc>
          <w:tcPr>
            <w:tcW w:w="252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02C3202F" w14:textId="77777777" w:rsidR="00C63B67" w:rsidRDefault="00000000">
            <w:proofErr w:type="spellStart"/>
            <w:r>
              <w:rPr>
                <w:sz w:val="20"/>
                <w:szCs w:val="20"/>
              </w:rPr>
              <w:t>Fetal</w:t>
            </w:r>
            <w:proofErr w:type="spellEnd"/>
            <w:r>
              <w:rPr>
                <w:sz w:val="20"/>
                <w:szCs w:val="20"/>
              </w:rPr>
              <w:t xml:space="preserve"> heart (if listened)</w:t>
            </w:r>
          </w:p>
        </w:tc>
        <w:tc>
          <w:tcPr>
            <w:tcW w:w="376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12B65543" w14:textId="77777777" w:rsidR="00C63B67" w:rsidRDefault="00000000">
            <w:r>
              <w:rPr>
                <w:sz w:val="20"/>
                <w:szCs w:val="20"/>
              </w:rPr>
              <w:t>110–160 bpm, regular</w:t>
            </w:r>
          </w:p>
        </w:tc>
        <w:tc>
          <w:tcPr>
            <w:tcW w:w="3466"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77F1A8EE" w14:textId="77777777" w:rsidR="00C63B67" w:rsidRDefault="00000000">
            <w:r>
              <w:rPr>
                <w:sz w:val="20"/>
                <w:szCs w:val="20"/>
              </w:rPr>
              <w:t>Outside range or irregular → same-day assessment / CTG</w:t>
            </w:r>
          </w:p>
        </w:tc>
      </w:tr>
      <w:tr w:rsidR="00C63B67" w14:paraId="7C8B0724" w14:textId="77777777">
        <w:tblPrEx>
          <w:tblCellMar>
            <w:top w:w="0" w:type="dxa"/>
            <w:bottom w:w="0" w:type="dxa"/>
          </w:tblCellMar>
        </w:tblPrEx>
        <w:tc>
          <w:tcPr>
            <w:tcW w:w="252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224DDB83" w14:textId="77777777" w:rsidR="00C63B67" w:rsidRDefault="00000000">
            <w:proofErr w:type="spellStart"/>
            <w:r>
              <w:rPr>
                <w:sz w:val="20"/>
                <w:szCs w:val="20"/>
              </w:rPr>
              <w:t>Fetal</w:t>
            </w:r>
            <w:proofErr w:type="spellEnd"/>
            <w:r>
              <w:rPr>
                <w:sz w:val="20"/>
                <w:szCs w:val="20"/>
              </w:rPr>
              <w:t xml:space="preserve"> movements</w:t>
            </w:r>
          </w:p>
        </w:tc>
        <w:tc>
          <w:tcPr>
            <w:tcW w:w="3760"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1FEAE57E" w14:textId="77777777" w:rsidR="00C63B67" w:rsidRDefault="00000000">
            <w:r>
              <w:rPr>
                <w:sz w:val="20"/>
                <w:szCs w:val="20"/>
              </w:rPr>
              <w:t>First felt 18–20 weeks; established pattern from 24 weeks</w:t>
            </w:r>
          </w:p>
        </w:tc>
        <w:tc>
          <w:tcPr>
            <w:tcW w:w="3466" w:type="dxa"/>
            <w:tcBorders>
              <w:top w:val="single" w:sz="4" w:space="0" w:color="D7DEE3"/>
              <w:left w:val="single" w:sz="4" w:space="0" w:color="D7DEE3"/>
              <w:bottom w:val="single" w:sz="4" w:space="0" w:color="D7DEE3"/>
              <w:right w:val="single" w:sz="4" w:space="0" w:color="D7DEE3"/>
            </w:tcBorders>
            <w:shd w:val="clear" w:color="auto" w:fill="FFFFFF"/>
            <w:tcMar>
              <w:top w:w="60" w:type="dxa"/>
              <w:left w:w="120" w:type="dxa"/>
              <w:bottom w:w="60" w:type="dxa"/>
              <w:right w:w="120" w:type="dxa"/>
            </w:tcMar>
            <w:vAlign w:val="center"/>
          </w:tcPr>
          <w:p w14:paraId="1172CF65" w14:textId="77777777" w:rsidR="00C63B67" w:rsidRDefault="00000000">
            <w:r>
              <w:rPr>
                <w:sz w:val="20"/>
                <w:szCs w:val="20"/>
              </w:rPr>
              <w:t xml:space="preserve">Any reduction or change after 24 </w:t>
            </w:r>
            <w:proofErr w:type="spellStart"/>
            <w:r>
              <w:rPr>
                <w:sz w:val="20"/>
                <w:szCs w:val="20"/>
              </w:rPr>
              <w:t>wks</w:t>
            </w:r>
            <w:proofErr w:type="spellEnd"/>
            <w:r>
              <w:rPr>
                <w:sz w:val="20"/>
                <w:szCs w:val="20"/>
              </w:rPr>
              <w:t xml:space="preserve"> → contact maternity now</w:t>
            </w:r>
          </w:p>
        </w:tc>
      </w:tr>
      <w:tr w:rsidR="00C63B67" w14:paraId="3CB9AA9A" w14:textId="77777777">
        <w:tblPrEx>
          <w:tblCellMar>
            <w:top w:w="0" w:type="dxa"/>
            <w:bottom w:w="0" w:type="dxa"/>
          </w:tblCellMar>
        </w:tblPrEx>
        <w:tc>
          <w:tcPr>
            <w:tcW w:w="252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7C9DEBC8" w14:textId="77777777" w:rsidR="00C63B67" w:rsidRDefault="00000000">
            <w:r>
              <w:rPr>
                <w:sz w:val="20"/>
                <w:szCs w:val="20"/>
              </w:rPr>
              <w:t>BP &amp; urine</w:t>
            </w:r>
          </w:p>
        </w:tc>
        <w:tc>
          <w:tcPr>
            <w:tcW w:w="3760"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516B53A9" w14:textId="77777777" w:rsidR="00C63B67" w:rsidRDefault="00000000">
            <w:r>
              <w:rPr>
                <w:sz w:val="20"/>
                <w:szCs w:val="20"/>
              </w:rPr>
              <w:t>Below 140/90, no proteinuria</w:t>
            </w:r>
          </w:p>
        </w:tc>
        <w:tc>
          <w:tcPr>
            <w:tcW w:w="3466" w:type="dxa"/>
            <w:tcBorders>
              <w:top w:val="single" w:sz="4" w:space="0" w:color="D7DEE3"/>
              <w:left w:val="single" w:sz="4" w:space="0" w:color="D7DEE3"/>
              <w:bottom w:val="single" w:sz="4" w:space="0" w:color="D7DEE3"/>
              <w:right w:val="single" w:sz="4" w:space="0" w:color="D7DEE3"/>
            </w:tcBorders>
            <w:shd w:val="clear" w:color="auto" w:fill="F6F8FA"/>
            <w:tcMar>
              <w:top w:w="60" w:type="dxa"/>
              <w:left w:w="120" w:type="dxa"/>
              <w:bottom w:w="60" w:type="dxa"/>
              <w:right w:w="120" w:type="dxa"/>
            </w:tcMar>
            <w:vAlign w:val="center"/>
          </w:tcPr>
          <w:p w14:paraId="1D756BEA" w14:textId="77777777" w:rsidR="00C63B67" w:rsidRDefault="00000000">
            <w:r>
              <w:rPr>
                <w:sz w:val="20"/>
                <w:szCs w:val="20"/>
              </w:rPr>
              <w:t>≥140/90 with protein or warning symptoms → urgent obstetric assessment</w:t>
            </w:r>
          </w:p>
        </w:tc>
      </w:tr>
    </w:tbl>
    <w:p w14:paraId="39D2B16F" w14:textId="77777777" w:rsidR="00C63B67" w:rsidRDefault="00000000">
      <w:pPr>
        <w:spacing w:before="70"/>
      </w:pPr>
      <w:r>
        <w:rPr>
          <w:i/>
          <w:iCs/>
          <w:color w:val="5B6770"/>
          <w:sz w:val="17"/>
          <w:szCs w:val="17"/>
        </w:rPr>
        <w:t>Figures as cited in the sources below. Always plot and interpret in the context of the individual woman and local policy.</w:t>
      </w:r>
    </w:p>
    <w:p w14:paraId="576BFD68" w14:textId="77777777" w:rsidR="009F5457" w:rsidRDefault="009F5457">
      <w:pPr>
        <w:rPr>
          <w:b/>
          <w:bCs/>
          <w:color w:val="1B3A5B"/>
          <w:sz w:val="30"/>
          <w:szCs w:val="30"/>
        </w:rPr>
      </w:pPr>
      <w:r>
        <w:rPr>
          <w:b/>
          <w:bCs/>
          <w:color w:val="1B3A5B"/>
          <w:sz w:val="30"/>
          <w:szCs w:val="30"/>
        </w:rPr>
        <w:br w:type="page"/>
      </w:r>
    </w:p>
    <w:p w14:paraId="62EDC0D8" w14:textId="43135335" w:rsidR="00C63B67" w:rsidRDefault="00000000">
      <w:pPr>
        <w:keepNext/>
        <w:pBdr>
          <w:bottom w:val="single" w:sz="18" w:space="4" w:color="E8740C"/>
        </w:pBdr>
        <w:spacing w:before="240" w:after="120"/>
      </w:pPr>
      <w:r>
        <w:rPr>
          <w:b/>
          <w:bCs/>
          <w:color w:val="1B3A5B"/>
          <w:sz w:val="30"/>
          <w:szCs w:val="30"/>
        </w:rPr>
        <w:lastRenderedPageBreak/>
        <w:t>Sources</w:t>
      </w:r>
    </w:p>
    <w:p w14:paraId="560C1049" w14:textId="77777777" w:rsidR="00C63B67" w:rsidRDefault="00000000">
      <w:pPr>
        <w:pStyle w:val="ListParagraph"/>
        <w:numPr>
          <w:ilvl w:val="0"/>
          <w:numId w:val="2"/>
        </w:numPr>
        <w:spacing w:after="60" w:line="264" w:lineRule="auto"/>
      </w:pPr>
      <w:r>
        <w:rPr>
          <w:sz w:val="20"/>
          <w:szCs w:val="20"/>
        </w:rPr>
        <w:t xml:space="preserve">NICE NG201 — Antenatal care (2021): SFH measured and plotted from 24 weeks; </w:t>
      </w:r>
      <w:proofErr w:type="spellStart"/>
      <w:r>
        <w:rPr>
          <w:sz w:val="20"/>
          <w:szCs w:val="20"/>
        </w:rPr>
        <w:t>fetal</w:t>
      </w:r>
      <w:proofErr w:type="spellEnd"/>
      <w:r>
        <w:rPr>
          <w:sz w:val="20"/>
          <w:szCs w:val="20"/>
        </w:rPr>
        <w:t xml:space="preserve"> movements after 24 weeks; routine auscultation not recommended.</w:t>
      </w:r>
    </w:p>
    <w:p w14:paraId="27D996FD" w14:textId="77777777" w:rsidR="00C63B67" w:rsidRDefault="00000000">
      <w:pPr>
        <w:pStyle w:val="ListParagraph"/>
        <w:numPr>
          <w:ilvl w:val="0"/>
          <w:numId w:val="2"/>
        </w:numPr>
        <w:spacing w:after="60" w:line="264" w:lineRule="auto"/>
      </w:pPr>
      <w:r>
        <w:rPr>
          <w:sz w:val="20"/>
          <w:szCs w:val="20"/>
        </w:rPr>
        <w:t xml:space="preserve">NICE NG229 — </w:t>
      </w:r>
      <w:proofErr w:type="spellStart"/>
      <w:r>
        <w:rPr>
          <w:sz w:val="20"/>
          <w:szCs w:val="20"/>
        </w:rPr>
        <w:t>Fetal</w:t>
      </w:r>
      <w:proofErr w:type="spellEnd"/>
      <w:r>
        <w:rPr>
          <w:sz w:val="20"/>
          <w:szCs w:val="20"/>
        </w:rPr>
        <w:t xml:space="preserve"> monitoring in labour (2022): normal </w:t>
      </w:r>
      <w:proofErr w:type="spellStart"/>
      <w:r>
        <w:rPr>
          <w:sz w:val="20"/>
          <w:szCs w:val="20"/>
        </w:rPr>
        <w:t>fetal</w:t>
      </w:r>
      <w:proofErr w:type="spellEnd"/>
      <w:r>
        <w:rPr>
          <w:sz w:val="20"/>
          <w:szCs w:val="20"/>
        </w:rPr>
        <w:t xml:space="preserve"> heart rate 110–160 bpm.</w:t>
      </w:r>
    </w:p>
    <w:p w14:paraId="618232E9" w14:textId="77777777" w:rsidR="00C63B67" w:rsidRDefault="00000000">
      <w:pPr>
        <w:pStyle w:val="ListParagraph"/>
        <w:numPr>
          <w:ilvl w:val="0"/>
          <w:numId w:val="2"/>
        </w:numPr>
        <w:spacing w:after="60" w:line="264" w:lineRule="auto"/>
      </w:pPr>
      <w:r>
        <w:rPr>
          <w:sz w:val="20"/>
          <w:szCs w:val="20"/>
        </w:rPr>
        <w:t xml:space="preserve">RCOG Green-top Guideline No. 57 — Reduced </w:t>
      </w:r>
      <w:proofErr w:type="spellStart"/>
      <w:r>
        <w:rPr>
          <w:sz w:val="20"/>
          <w:szCs w:val="20"/>
        </w:rPr>
        <w:t>Fetal</w:t>
      </w:r>
      <w:proofErr w:type="spellEnd"/>
      <w:r>
        <w:rPr>
          <w:sz w:val="20"/>
          <w:szCs w:val="20"/>
        </w:rPr>
        <w:t xml:space="preserve"> Movements: contact maternity immediately for reduced or changed movements.</w:t>
      </w:r>
    </w:p>
    <w:p w14:paraId="5AE80E07" w14:textId="77777777" w:rsidR="00C63B67" w:rsidRDefault="00000000">
      <w:pPr>
        <w:pStyle w:val="ListParagraph"/>
        <w:numPr>
          <w:ilvl w:val="0"/>
          <w:numId w:val="2"/>
        </w:numPr>
        <w:spacing w:after="60" w:line="264" w:lineRule="auto"/>
      </w:pPr>
      <w:r>
        <w:rPr>
          <w:sz w:val="20"/>
          <w:szCs w:val="20"/>
        </w:rPr>
        <w:t>RCOG Green-top Guideline No. 20a — External Cephalic Version: ECV from 36 weeks (nulliparous) / 37 weeks (multiparous).</w:t>
      </w:r>
    </w:p>
    <w:p w14:paraId="136F0647" w14:textId="77777777" w:rsidR="00C63B67" w:rsidRDefault="00000000">
      <w:pPr>
        <w:pStyle w:val="ListParagraph"/>
        <w:numPr>
          <w:ilvl w:val="0"/>
          <w:numId w:val="2"/>
        </w:numPr>
        <w:spacing w:after="60" w:line="264" w:lineRule="auto"/>
      </w:pPr>
      <w:r>
        <w:rPr>
          <w:sz w:val="20"/>
          <w:szCs w:val="20"/>
        </w:rPr>
        <w:t>NICE NG133 — Hypertension in pregnancy: pre-eclampsia thresholds and assessment.</w:t>
      </w:r>
    </w:p>
    <w:p w14:paraId="25507C34" w14:textId="77777777" w:rsidR="00C63B67" w:rsidRDefault="00C63B67">
      <w:pPr>
        <w:spacing w:after="80"/>
      </w:pPr>
    </w:p>
    <w:tbl>
      <w:tblPr>
        <w:tblW w:w="9746" w:type="dxa"/>
        <w:tblBorders>
          <w:top w:val="none" w:sz="0" w:space="0" w:color="FFFFFF"/>
          <w:left w:val="single" w:sz="28" w:space="0" w:color="9AA5AE"/>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C63B67" w14:paraId="7DAAD569" w14:textId="77777777">
        <w:tblPrEx>
          <w:tblCellMar>
            <w:top w:w="0" w:type="dxa"/>
            <w:bottom w:w="0" w:type="dxa"/>
          </w:tblCellMar>
        </w:tblPrEx>
        <w:tc>
          <w:tcPr>
            <w:tcW w:w="9746" w:type="dxa"/>
            <w:shd w:val="clear" w:color="auto" w:fill="F2F2F2"/>
            <w:tcMar>
              <w:top w:w="120" w:type="dxa"/>
              <w:left w:w="200" w:type="dxa"/>
              <w:bottom w:w="120" w:type="dxa"/>
              <w:right w:w="160" w:type="dxa"/>
            </w:tcMar>
          </w:tcPr>
          <w:p w14:paraId="1BB9A964" w14:textId="77777777" w:rsidR="00C63B67" w:rsidRDefault="00000000">
            <w:pPr>
              <w:spacing w:after="50"/>
            </w:pPr>
            <w:r>
              <w:rPr>
                <w:b/>
                <w:bCs/>
                <w:color w:val="5B6770"/>
              </w:rPr>
              <w:t>Disclaimer</w:t>
            </w:r>
          </w:p>
          <w:p w14:paraId="3CA41448" w14:textId="77777777" w:rsidR="00C63B67" w:rsidRDefault="00000000">
            <w:pPr>
              <w:spacing w:after="40" w:line="264" w:lineRule="auto"/>
            </w:pPr>
            <w:r>
              <w:rPr>
                <w:color w:val="5B6770"/>
                <w:sz w:val="18"/>
                <w:szCs w:val="18"/>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the relevant regulatory bodies before applying it in practice.</w:t>
            </w:r>
          </w:p>
        </w:tc>
      </w:tr>
    </w:tbl>
    <w:p w14:paraId="1DCA1362" w14:textId="77777777" w:rsidR="009512E6" w:rsidRDefault="009512E6"/>
    <w:sectPr w:rsidR="009512E6">
      <w:footerReference w:type="default" r:id="rId12"/>
      <w:pgSz w:w="11906" w:h="16838"/>
      <w:pgMar w:top="1080" w:right="1080" w:bottom="11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1D6D2" w14:textId="77777777" w:rsidR="009512E6" w:rsidRDefault="009512E6">
      <w:r>
        <w:separator/>
      </w:r>
    </w:p>
  </w:endnote>
  <w:endnote w:type="continuationSeparator" w:id="0">
    <w:p w14:paraId="0A91EC0A" w14:textId="77777777" w:rsidR="009512E6" w:rsidRDefault="0095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CF69" w14:textId="77777777" w:rsidR="00C63B67" w:rsidRDefault="00000000">
    <w:pPr>
      <w:pBdr>
        <w:top w:val="single" w:sz="6" w:space="4" w:color="E8740C"/>
      </w:pBdr>
      <w:tabs>
        <w:tab w:val="right" w:pos="9746"/>
      </w:tabs>
    </w:pPr>
    <w:r>
      <w:rPr>
        <w:color w:val="5B6770"/>
        <w:sz w:val="15"/>
        <w:szCs w:val="15"/>
      </w:rPr>
      <w:t>Bradford VTS Teaching Aids — educational use only; verify against current national guidance and local policy.</w:t>
    </w:r>
    <w:r>
      <w:rPr>
        <w:color w:val="5B6770"/>
        <w:sz w:val="15"/>
        <w:szCs w:val="15"/>
      </w:rPr>
      <w:tab/>
      <w:t xml:space="preserve">Page </w:t>
    </w:r>
    <w:r>
      <w:rPr>
        <w:color w:val="5B6770"/>
        <w:sz w:val="15"/>
        <w:szCs w:val="15"/>
      </w:rPr>
      <w:fldChar w:fldCharType="begin"/>
    </w:r>
    <w:r>
      <w:rPr>
        <w:color w:val="5B6770"/>
        <w:sz w:val="15"/>
        <w:szCs w:val="15"/>
      </w:rPr>
      <w:instrText>PAGE</w:instrText>
    </w:r>
    <w:r>
      <w:rPr>
        <w:color w:val="5B6770"/>
        <w:sz w:val="15"/>
        <w:szCs w:val="15"/>
      </w:rPr>
      <w:fldChar w:fldCharType="separate"/>
    </w:r>
    <w:r w:rsidR="009F5457">
      <w:rPr>
        <w:noProof/>
        <w:color w:val="5B6770"/>
        <w:sz w:val="15"/>
        <w:szCs w:val="15"/>
      </w:rPr>
      <w:t>1</w:t>
    </w:r>
    <w:r>
      <w:rPr>
        <w:color w:val="5B677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CA848" w14:textId="77777777" w:rsidR="009512E6" w:rsidRDefault="009512E6">
      <w:r>
        <w:separator/>
      </w:r>
    </w:p>
  </w:footnote>
  <w:footnote w:type="continuationSeparator" w:id="0">
    <w:p w14:paraId="5ED1614D" w14:textId="77777777" w:rsidR="009512E6" w:rsidRDefault="00951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B4C7D"/>
    <w:multiLevelType w:val="hybridMultilevel"/>
    <w:tmpl w:val="35FA362A"/>
    <w:lvl w:ilvl="0" w:tplc="3EEAE9D2">
      <w:start w:val="1"/>
      <w:numFmt w:val="decimal"/>
      <w:lvlText w:val="%1."/>
      <w:lvlJc w:val="left"/>
      <w:pPr>
        <w:ind w:left="460" w:hanging="260"/>
      </w:pPr>
    </w:lvl>
    <w:lvl w:ilvl="1" w:tplc="A3B27B76">
      <w:numFmt w:val="decimal"/>
      <w:lvlText w:val=""/>
      <w:lvlJc w:val="left"/>
    </w:lvl>
    <w:lvl w:ilvl="2" w:tplc="E35A8A1E">
      <w:numFmt w:val="decimal"/>
      <w:lvlText w:val=""/>
      <w:lvlJc w:val="left"/>
    </w:lvl>
    <w:lvl w:ilvl="3" w:tplc="35902D24">
      <w:numFmt w:val="decimal"/>
      <w:lvlText w:val=""/>
      <w:lvlJc w:val="left"/>
    </w:lvl>
    <w:lvl w:ilvl="4" w:tplc="2692F6F8">
      <w:numFmt w:val="decimal"/>
      <w:lvlText w:val=""/>
      <w:lvlJc w:val="left"/>
    </w:lvl>
    <w:lvl w:ilvl="5" w:tplc="347CF0C6">
      <w:numFmt w:val="decimal"/>
      <w:lvlText w:val=""/>
      <w:lvlJc w:val="left"/>
    </w:lvl>
    <w:lvl w:ilvl="6" w:tplc="8C24B11E">
      <w:numFmt w:val="decimal"/>
      <w:lvlText w:val=""/>
      <w:lvlJc w:val="left"/>
    </w:lvl>
    <w:lvl w:ilvl="7" w:tplc="4554334E">
      <w:numFmt w:val="decimal"/>
      <w:lvlText w:val=""/>
      <w:lvlJc w:val="left"/>
    </w:lvl>
    <w:lvl w:ilvl="8" w:tplc="A1CCB5DA">
      <w:numFmt w:val="decimal"/>
      <w:lvlText w:val=""/>
      <w:lvlJc w:val="left"/>
    </w:lvl>
  </w:abstractNum>
  <w:abstractNum w:abstractNumId="1" w15:restartNumberingAfterBreak="0">
    <w:nsid w:val="4EA1372F"/>
    <w:multiLevelType w:val="hybridMultilevel"/>
    <w:tmpl w:val="84CE6E7C"/>
    <w:lvl w:ilvl="0" w:tplc="26C0DA5A">
      <w:start w:val="1"/>
      <w:numFmt w:val="bullet"/>
      <w:lvlText w:val="•"/>
      <w:lvlJc w:val="left"/>
      <w:pPr>
        <w:ind w:left="460" w:hanging="260"/>
      </w:pPr>
      <w:rPr>
        <w:color w:val="0E7C7B"/>
      </w:rPr>
    </w:lvl>
    <w:lvl w:ilvl="1" w:tplc="3EC0A178">
      <w:numFmt w:val="decimal"/>
      <w:lvlText w:val=""/>
      <w:lvlJc w:val="left"/>
    </w:lvl>
    <w:lvl w:ilvl="2" w:tplc="FE9C4CEE">
      <w:numFmt w:val="decimal"/>
      <w:lvlText w:val=""/>
      <w:lvlJc w:val="left"/>
    </w:lvl>
    <w:lvl w:ilvl="3" w:tplc="DD1E7514">
      <w:numFmt w:val="decimal"/>
      <w:lvlText w:val=""/>
      <w:lvlJc w:val="left"/>
    </w:lvl>
    <w:lvl w:ilvl="4" w:tplc="1E8C2C00">
      <w:numFmt w:val="decimal"/>
      <w:lvlText w:val=""/>
      <w:lvlJc w:val="left"/>
    </w:lvl>
    <w:lvl w:ilvl="5" w:tplc="57D86BAA">
      <w:numFmt w:val="decimal"/>
      <w:lvlText w:val=""/>
      <w:lvlJc w:val="left"/>
    </w:lvl>
    <w:lvl w:ilvl="6" w:tplc="ED08CFBE">
      <w:numFmt w:val="decimal"/>
      <w:lvlText w:val=""/>
      <w:lvlJc w:val="left"/>
    </w:lvl>
    <w:lvl w:ilvl="7" w:tplc="65D0426E">
      <w:numFmt w:val="decimal"/>
      <w:lvlText w:val=""/>
      <w:lvlJc w:val="left"/>
    </w:lvl>
    <w:lvl w:ilvl="8" w:tplc="DEC86390">
      <w:numFmt w:val="decimal"/>
      <w:lvlText w:val=""/>
      <w:lvlJc w:val="left"/>
    </w:lvl>
  </w:abstractNum>
  <w:abstractNum w:abstractNumId="2" w15:restartNumberingAfterBreak="0">
    <w:nsid w:val="682A6CFB"/>
    <w:multiLevelType w:val="hybridMultilevel"/>
    <w:tmpl w:val="098EF658"/>
    <w:lvl w:ilvl="0" w:tplc="157A45D2">
      <w:start w:val="1"/>
      <w:numFmt w:val="bullet"/>
      <w:lvlText w:val="●"/>
      <w:lvlJc w:val="left"/>
      <w:pPr>
        <w:ind w:left="720" w:hanging="360"/>
      </w:pPr>
    </w:lvl>
    <w:lvl w:ilvl="1" w:tplc="E6025BCA">
      <w:start w:val="1"/>
      <w:numFmt w:val="bullet"/>
      <w:lvlText w:val="○"/>
      <w:lvlJc w:val="left"/>
      <w:pPr>
        <w:ind w:left="1440" w:hanging="360"/>
      </w:pPr>
    </w:lvl>
    <w:lvl w:ilvl="2" w:tplc="AD842F46">
      <w:start w:val="1"/>
      <w:numFmt w:val="bullet"/>
      <w:lvlText w:val="■"/>
      <w:lvlJc w:val="left"/>
      <w:pPr>
        <w:ind w:left="2160" w:hanging="360"/>
      </w:pPr>
    </w:lvl>
    <w:lvl w:ilvl="3" w:tplc="146CC014">
      <w:start w:val="1"/>
      <w:numFmt w:val="bullet"/>
      <w:lvlText w:val="●"/>
      <w:lvlJc w:val="left"/>
      <w:pPr>
        <w:ind w:left="2880" w:hanging="360"/>
      </w:pPr>
    </w:lvl>
    <w:lvl w:ilvl="4" w:tplc="62E8D986">
      <w:start w:val="1"/>
      <w:numFmt w:val="bullet"/>
      <w:lvlText w:val="○"/>
      <w:lvlJc w:val="left"/>
      <w:pPr>
        <w:ind w:left="3600" w:hanging="360"/>
      </w:pPr>
    </w:lvl>
    <w:lvl w:ilvl="5" w:tplc="7640D07C">
      <w:start w:val="1"/>
      <w:numFmt w:val="bullet"/>
      <w:lvlText w:val="■"/>
      <w:lvlJc w:val="left"/>
      <w:pPr>
        <w:ind w:left="4320" w:hanging="360"/>
      </w:pPr>
    </w:lvl>
    <w:lvl w:ilvl="6" w:tplc="CB46BA3C">
      <w:start w:val="1"/>
      <w:numFmt w:val="bullet"/>
      <w:lvlText w:val="●"/>
      <w:lvlJc w:val="left"/>
      <w:pPr>
        <w:ind w:left="5040" w:hanging="360"/>
      </w:pPr>
    </w:lvl>
    <w:lvl w:ilvl="7" w:tplc="43B6143E">
      <w:start w:val="1"/>
      <w:numFmt w:val="bullet"/>
      <w:lvlText w:val="●"/>
      <w:lvlJc w:val="left"/>
      <w:pPr>
        <w:ind w:left="5760" w:hanging="360"/>
      </w:pPr>
    </w:lvl>
    <w:lvl w:ilvl="8" w:tplc="F26225F6">
      <w:start w:val="1"/>
      <w:numFmt w:val="bullet"/>
      <w:lvlText w:val="●"/>
      <w:lvlJc w:val="left"/>
      <w:pPr>
        <w:ind w:left="6480" w:hanging="360"/>
      </w:pPr>
    </w:lvl>
  </w:abstractNum>
  <w:num w:numId="1" w16cid:durableId="921451715">
    <w:abstractNumId w:val="2"/>
    <w:lvlOverride w:ilvl="0">
      <w:startOverride w:val="1"/>
    </w:lvlOverride>
  </w:num>
  <w:num w:numId="2" w16cid:durableId="18659003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B67"/>
    <w:rsid w:val="009512E6"/>
    <w:rsid w:val="009F5457"/>
    <w:rsid w:val="00C63B67"/>
    <w:rsid w:val="00C75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9007"/>
  <w15:docId w15:val="{90E02412-9473-4E0E-8E3D-21500F401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2A37"/>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1497</Words>
  <Characters>8533</Characters>
  <Application>Microsoft Office Word</Application>
  <DocSecurity>0</DocSecurity>
  <Lines>71</Lines>
  <Paragraphs>20</Paragraphs>
  <ScaleCrop>false</ScaleCrop>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Examination of the Pregnant Abdomen</dc:title>
  <dc:creator>Bradford VTS Teaching Aids</dc:creator>
  <cp:lastModifiedBy>Ramesh Mehay</cp:lastModifiedBy>
  <cp:revision>3</cp:revision>
  <dcterms:created xsi:type="dcterms:W3CDTF">2026-06-11T17:37:00Z</dcterms:created>
  <dcterms:modified xsi:type="dcterms:W3CDTF">2026-06-12T00:03:00Z</dcterms:modified>
</cp:coreProperties>
</file>