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9029"/>
      </w:tblGrid>
      <w:tr>
        <w:tc>
          <w:tcPr>
            <w:tcW w:type="dxa" w:w="9029"/>
            <w:shd w:val="clear" w:color="auto" w:fill="E0651F"/>
          </w:tcPr>
          <w:p>
            <w:pPr>
              <w:spacing w:before="200" w:after="80"/>
              <w:jc w:val="center"/>
            </w:pPr>
            <w:r>
              <w:rPr>
                <w:rFonts w:ascii="Calibri" w:hAnsi="Calibri" w:eastAsia="Calibri" w:cs="Calibri"/>
                <w:b/>
                <w:i w:val="0"/>
                <w:color w:val="FFFFFF"/>
                <w:sz w:val="22"/>
              </w:rPr>
              <w:t>BRADFORD VTS TEACHING AIDS</w:t>
            </w:r>
          </w:p>
          <w:p>
            <w:pPr>
              <w:spacing w:before="80" w:after="80"/>
              <w:jc w:val="center"/>
            </w:pPr>
            <w:r>
              <w:rPr>
                <w:rFonts w:ascii="Calibri" w:hAnsi="Calibri" w:eastAsia="Calibri" w:cs="Calibri"/>
                <w:b/>
                <w:i w:val="0"/>
                <w:color w:val="FFFFFF"/>
                <w:sz w:val="56"/>
              </w:rPr>
              <w:t>Contraception Quiz with Answers</w:t>
            </w:r>
          </w:p>
          <w:p>
            <w:pPr>
              <w:spacing w:before="80" w:after="200"/>
              <w:jc w:val="center"/>
            </w:pPr>
            <w:r>
              <w:rPr>
                <w:rFonts w:ascii="Calibri" w:hAnsi="Calibri" w:eastAsia="Calibri" w:cs="Calibri"/>
                <w:b w:val="0"/>
                <w:i/>
                <w:color w:val="FFFFFF"/>
                <w:sz w:val="22"/>
              </w:rPr>
              <w:t>GP Registrar Self-Assessment Quiz · Bradford VTS · May 2026</w:t>
            </w:r>
          </w:p>
        </w:tc>
      </w:tr>
    </w:tbl>
    <w:p/>
    <w:p>
      <w:pPr>
        <w:spacing w:after="60"/>
      </w:pPr>
      <w:r>
        <w:rPr>
          <w:rFonts w:ascii="Calibri" w:hAnsi="Calibri" w:eastAsia="Calibri" w:cs="Calibri"/>
          <w:b w:val="0"/>
          <w:i w:val="0"/>
          <w:sz w:val="22"/>
        </w:rPr>
        <w:t>This self-assessment quiz tests knowledge of contraception for GP registrar examination preparation. All answers reflect UKMEC 2025, FSRH CHC Guideline January 2026, NICE CKS Contraception (2024), and NICE CKS Emergency Contraception (2024). 25 questions covering UKMEC categories, missed pills, emergency contraception, LARC, and special circumstances.</w:t>
      </w:r>
    </w:p>
    <w:p>
      <w:pPr>
        <w:spacing w:before="240" w:after="80"/>
      </w:pPr>
      <w:r>
        <w:rPr>
          <w:rFonts w:ascii="Calibri" w:hAnsi="Calibri" w:eastAsia="Calibri" w:cs="Calibri"/>
          <w:b/>
          <w:i w:val="0"/>
          <w:color w:val="00467F"/>
          <w:sz w:val="36"/>
        </w:rPr>
        <w:t>Section 1: UKMEC and Eligibility</w:t>
      </w:r>
    </w:p>
    <w:p>
      <w:pPr>
        <w:spacing w:before="160" w:after="40"/>
      </w:pPr>
      <w:r>
        <w:rPr>
          <w:rFonts w:ascii="Calibri" w:hAnsi="Calibri" w:eastAsia="Calibri" w:cs="Calibri"/>
          <w:b/>
          <w:i w:val="0"/>
          <w:sz w:val="22"/>
        </w:rPr>
        <w:t>Question 1: A 36-year-old woman smokes 20 cigarettes per day. What is the UKMEC 2025 category for combined oral contraceptive pill?</w:t>
      </w:r>
    </w:p>
    <w:p>
      <w:pPr>
        <w:pStyle w:val="ListBullet"/>
        <w:spacing w:after="20"/>
        <w:ind w:left="454"/>
      </w:pPr>
      <w:r>
        <w:rPr>
          <w:rFonts w:ascii="Calibri" w:hAnsi="Calibri" w:eastAsia="Calibri" w:cs="Calibri"/>
          <w:b w:val="0"/>
          <w:i w:val="0"/>
          <w:sz w:val="21"/>
        </w:rPr>
        <w:t>A. UKMEC 1</w:t>
      </w:r>
    </w:p>
    <w:p>
      <w:pPr>
        <w:pStyle w:val="ListBullet"/>
        <w:spacing w:after="20"/>
        <w:ind w:left="454"/>
      </w:pPr>
      <w:r>
        <w:rPr>
          <w:rFonts w:ascii="Calibri" w:hAnsi="Calibri" w:eastAsia="Calibri" w:cs="Calibri"/>
          <w:b w:val="0"/>
          <w:i w:val="0"/>
          <w:sz w:val="21"/>
        </w:rPr>
        <w:t>B. UKMEC 2</w:t>
      </w:r>
    </w:p>
    <w:p>
      <w:pPr>
        <w:pStyle w:val="ListBullet"/>
        <w:spacing w:after="20"/>
        <w:ind w:left="454"/>
      </w:pPr>
      <w:r>
        <w:rPr>
          <w:rFonts w:ascii="Calibri" w:hAnsi="Calibri" w:eastAsia="Calibri" w:cs="Calibri"/>
          <w:b w:val="0"/>
          <w:i w:val="0"/>
          <w:sz w:val="21"/>
        </w:rPr>
        <w:t>C. UKMEC 3</w:t>
      </w:r>
    </w:p>
    <w:p>
      <w:pPr>
        <w:pStyle w:val="ListBullet"/>
        <w:spacing w:after="20"/>
        <w:ind w:left="454"/>
      </w:pPr>
      <w:r>
        <w:rPr>
          <w:rFonts w:ascii="Calibri" w:hAnsi="Calibri" w:eastAsia="Calibri" w:cs="Calibri"/>
          <w:b w:val="0"/>
          <w:i w:val="0"/>
          <w:sz w:val="21"/>
        </w:rPr>
        <w:t>D. UKMEC 4</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D. UKMEC 4 — Smoking ≥15 cigarettes/day aged ≥35 = UKMEC 4 for all CHC (absolute contraindication).</w:t>
            </w:r>
          </w:p>
        </w:tc>
      </w:tr>
    </w:tbl>
    <w:p>
      <w:pPr>
        <w:spacing w:after="40"/>
      </w:pPr>
    </w:p>
    <w:p>
      <w:pPr>
        <w:spacing w:before="160" w:after="40"/>
      </w:pPr>
      <w:r>
        <w:rPr>
          <w:rFonts w:ascii="Calibri" w:hAnsi="Calibri" w:eastAsia="Calibri" w:cs="Calibri"/>
          <w:b/>
          <w:i w:val="0"/>
          <w:sz w:val="22"/>
        </w:rPr>
        <w:t>Question 2: A woman has a BP of 145/92. Which UKMEC 2025 category applies to CHC?</w:t>
      </w:r>
    </w:p>
    <w:p>
      <w:pPr>
        <w:pStyle w:val="ListBullet"/>
        <w:spacing w:after="20"/>
        <w:ind w:left="454"/>
      </w:pPr>
      <w:r>
        <w:rPr>
          <w:rFonts w:ascii="Calibri" w:hAnsi="Calibri" w:eastAsia="Calibri" w:cs="Calibri"/>
          <w:b w:val="0"/>
          <w:i w:val="0"/>
          <w:sz w:val="21"/>
        </w:rPr>
        <w:t>A. UKMEC 1</w:t>
      </w:r>
    </w:p>
    <w:p>
      <w:pPr>
        <w:pStyle w:val="ListBullet"/>
        <w:spacing w:after="20"/>
        <w:ind w:left="454"/>
      </w:pPr>
      <w:r>
        <w:rPr>
          <w:rFonts w:ascii="Calibri" w:hAnsi="Calibri" w:eastAsia="Calibri" w:cs="Calibri"/>
          <w:b w:val="0"/>
          <w:i w:val="0"/>
          <w:sz w:val="21"/>
        </w:rPr>
        <w:t>B. UKMEC 2</w:t>
      </w:r>
    </w:p>
    <w:p>
      <w:pPr>
        <w:pStyle w:val="ListBullet"/>
        <w:spacing w:after="20"/>
        <w:ind w:left="454"/>
      </w:pPr>
      <w:r>
        <w:rPr>
          <w:rFonts w:ascii="Calibri" w:hAnsi="Calibri" w:eastAsia="Calibri" w:cs="Calibri"/>
          <w:b w:val="0"/>
          <w:i w:val="0"/>
          <w:sz w:val="21"/>
        </w:rPr>
        <w:t>C. UKMEC 3</w:t>
      </w:r>
    </w:p>
    <w:p>
      <w:pPr>
        <w:pStyle w:val="ListBullet"/>
        <w:spacing w:after="20"/>
        <w:ind w:left="454"/>
      </w:pPr>
      <w:r>
        <w:rPr>
          <w:rFonts w:ascii="Calibri" w:hAnsi="Calibri" w:eastAsia="Calibri" w:cs="Calibri"/>
          <w:b w:val="0"/>
          <w:i w:val="0"/>
          <w:sz w:val="21"/>
        </w:rPr>
        <w:t>D. UKMEC 4</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UKMEC 3 — BP 140-159/90-94 = UKMEC 3 for CHC (risks generally outweigh benefits).</w:t>
            </w:r>
          </w:p>
        </w:tc>
      </w:tr>
    </w:tbl>
    <w:p>
      <w:pPr>
        <w:spacing w:after="40"/>
      </w:pPr>
    </w:p>
    <w:p>
      <w:pPr>
        <w:spacing w:before="160" w:after="40"/>
      </w:pPr>
      <w:r>
        <w:rPr>
          <w:rFonts w:ascii="Calibri" w:hAnsi="Calibri" w:eastAsia="Calibri" w:cs="Calibri"/>
          <w:b/>
          <w:i w:val="0"/>
          <w:sz w:val="22"/>
        </w:rPr>
        <w:t>Question 3: A woman has migraine with visual aura. What is the UKMEC 2025 category for CHC?</w:t>
      </w:r>
    </w:p>
    <w:p>
      <w:pPr>
        <w:pStyle w:val="ListBullet"/>
        <w:spacing w:after="20"/>
        <w:ind w:left="454"/>
      </w:pPr>
      <w:r>
        <w:rPr>
          <w:rFonts w:ascii="Calibri" w:hAnsi="Calibri" w:eastAsia="Calibri" w:cs="Calibri"/>
          <w:b w:val="0"/>
          <w:i w:val="0"/>
          <w:sz w:val="21"/>
        </w:rPr>
        <w:t>A. UKMEC 1</w:t>
      </w:r>
    </w:p>
    <w:p>
      <w:pPr>
        <w:pStyle w:val="ListBullet"/>
        <w:spacing w:after="20"/>
        <w:ind w:left="454"/>
      </w:pPr>
      <w:r>
        <w:rPr>
          <w:rFonts w:ascii="Calibri" w:hAnsi="Calibri" w:eastAsia="Calibri" w:cs="Calibri"/>
          <w:b w:val="0"/>
          <w:i w:val="0"/>
          <w:sz w:val="21"/>
        </w:rPr>
        <w:t>B. UKMEC 2</w:t>
      </w:r>
    </w:p>
    <w:p>
      <w:pPr>
        <w:pStyle w:val="ListBullet"/>
        <w:spacing w:after="20"/>
        <w:ind w:left="454"/>
      </w:pPr>
      <w:r>
        <w:rPr>
          <w:rFonts w:ascii="Calibri" w:hAnsi="Calibri" w:eastAsia="Calibri" w:cs="Calibri"/>
          <w:b w:val="0"/>
          <w:i w:val="0"/>
          <w:sz w:val="21"/>
        </w:rPr>
        <w:t>C. UKMEC 3</w:t>
      </w:r>
    </w:p>
    <w:p>
      <w:pPr>
        <w:pStyle w:val="ListBullet"/>
        <w:spacing w:after="20"/>
        <w:ind w:left="454"/>
      </w:pPr>
      <w:r>
        <w:rPr>
          <w:rFonts w:ascii="Calibri" w:hAnsi="Calibri" w:eastAsia="Calibri" w:cs="Calibri"/>
          <w:b w:val="0"/>
          <w:i w:val="0"/>
          <w:sz w:val="21"/>
        </w:rPr>
        <w:t>D. UKMEC 4</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D. UKMEC 4 — Migraine with aura = UKMEC 4 for all CHC — absolute contraindication due to stroke risk.</w:t>
            </w:r>
          </w:p>
        </w:tc>
      </w:tr>
    </w:tbl>
    <w:p>
      <w:pPr>
        <w:spacing w:after="40"/>
      </w:pPr>
    </w:p>
    <w:p>
      <w:pPr>
        <w:spacing w:before="160" w:after="40"/>
      </w:pPr>
      <w:r>
        <w:rPr>
          <w:rFonts w:ascii="Calibri" w:hAnsi="Calibri" w:eastAsia="Calibri" w:cs="Calibri"/>
          <w:b/>
          <w:i w:val="0"/>
          <w:sz w:val="22"/>
        </w:rPr>
        <w:t>Question 4: A 35-year-old woman stopped smoking 8 months ago. She requests a COC. What UKMEC category applies?</w:t>
      </w:r>
    </w:p>
    <w:p>
      <w:pPr>
        <w:pStyle w:val="ListBullet"/>
        <w:spacing w:after="20"/>
        <w:ind w:left="454"/>
      </w:pPr>
      <w:r>
        <w:rPr>
          <w:rFonts w:ascii="Calibri" w:hAnsi="Calibri" w:eastAsia="Calibri" w:cs="Calibri"/>
          <w:b w:val="0"/>
          <w:i w:val="0"/>
          <w:sz w:val="21"/>
        </w:rPr>
        <w:t>A. UKMEC 1</w:t>
      </w:r>
    </w:p>
    <w:p>
      <w:pPr>
        <w:pStyle w:val="ListBullet"/>
        <w:spacing w:after="20"/>
        <w:ind w:left="454"/>
      </w:pPr>
      <w:r>
        <w:rPr>
          <w:rFonts w:ascii="Calibri" w:hAnsi="Calibri" w:eastAsia="Calibri" w:cs="Calibri"/>
          <w:b w:val="0"/>
          <w:i w:val="0"/>
          <w:sz w:val="21"/>
        </w:rPr>
        <w:t>B. UKMEC 2</w:t>
      </w:r>
    </w:p>
    <w:p>
      <w:pPr>
        <w:pStyle w:val="ListBullet"/>
        <w:spacing w:after="20"/>
        <w:ind w:left="454"/>
      </w:pPr>
      <w:r>
        <w:rPr>
          <w:rFonts w:ascii="Calibri" w:hAnsi="Calibri" w:eastAsia="Calibri" w:cs="Calibri"/>
          <w:b w:val="0"/>
          <w:i w:val="0"/>
          <w:sz w:val="21"/>
        </w:rPr>
        <w:t>C. UKMEC 3</w:t>
      </w:r>
    </w:p>
    <w:p>
      <w:pPr>
        <w:pStyle w:val="ListBullet"/>
        <w:spacing w:after="20"/>
        <w:ind w:left="454"/>
      </w:pPr>
      <w:r>
        <w:rPr>
          <w:rFonts w:ascii="Calibri" w:hAnsi="Calibri" w:eastAsia="Calibri" w:cs="Calibri"/>
          <w:b w:val="0"/>
          <w:i w:val="0"/>
          <w:sz w:val="21"/>
        </w:rPr>
        <w:t>D. UKMEC 4</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UKMEC 3 — Ex-smoker &lt;1 year aged ≥35 = UKMEC 3. After ≥1 year smoke-free, UKMEC 2.</w:t>
            </w:r>
          </w:p>
        </w:tc>
      </w:tr>
    </w:tbl>
    <w:p>
      <w:pPr>
        <w:spacing w:after="40"/>
      </w:pPr>
    </w:p>
    <w:p>
      <w:pPr>
        <w:spacing w:before="160" w:after="40"/>
      </w:pPr>
      <w:r>
        <w:rPr>
          <w:rFonts w:ascii="Calibri" w:hAnsi="Calibri" w:eastAsia="Calibri" w:cs="Calibri"/>
          <w:b/>
          <w:i w:val="0"/>
          <w:sz w:val="22"/>
        </w:rPr>
        <w:t>Question 5: A woman is on lamotrigine for epilepsy. What is the UKMEC category for CHC?</w:t>
      </w:r>
    </w:p>
    <w:p>
      <w:pPr>
        <w:pStyle w:val="ListBullet"/>
        <w:spacing w:after="20"/>
        <w:ind w:left="454"/>
      </w:pPr>
      <w:r>
        <w:rPr>
          <w:rFonts w:ascii="Calibri" w:hAnsi="Calibri" w:eastAsia="Calibri" w:cs="Calibri"/>
          <w:b w:val="0"/>
          <w:i w:val="0"/>
          <w:sz w:val="21"/>
        </w:rPr>
        <w:t>A. UKMEC 1</w:t>
      </w:r>
    </w:p>
    <w:p>
      <w:pPr>
        <w:pStyle w:val="ListBullet"/>
        <w:spacing w:after="20"/>
        <w:ind w:left="454"/>
      </w:pPr>
      <w:r>
        <w:rPr>
          <w:rFonts w:ascii="Calibri" w:hAnsi="Calibri" w:eastAsia="Calibri" w:cs="Calibri"/>
          <w:b w:val="0"/>
          <w:i w:val="0"/>
          <w:sz w:val="21"/>
        </w:rPr>
        <w:t>B. UKMEC 2</w:t>
      </w:r>
    </w:p>
    <w:p>
      <w:pPr>
        <w:pStyle w:val="ListBullet"/>
        <w:spacing w:after="20"/>
        <w:ind w:left="454"/>
      </w:pPr>
      <w:r>
        <w:rPr>
          <w:rFonts w:ascii="Calibri" w:hAnsi="Calibri" w:eastAsia="Calibri" w:cs="Calibri"/>
          <w:b w:val="0"/>
          <w:i w:val="0"/>
          <w:sz w:val="21"/>
        </w:rPr>
        <w:t>C. UKMEC 3</w:t>
      </w:r>
    </w:p>
    <w:p>
      <w:pPr>
        <w:pStyle w:val="ListBullet"/>
        <w:spacing w:after="20"/>
        <w:ind w:left="454"/>
      </w:pPr>
      <w:r>
        <w:rPr>
          <w:rFonts w:ascii="Calibri" w:hAnsi="Calibri" w:eastAsia="Calibri" w:cs="Calibri"/>
          <w:b w:val="0"/>
          <w:i w:val="0"/>
          <w:sz w:val="21"/>
        </w:rPr>
        <w:t>D. UKMEC 4</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UKMEC 3 — CHC reduces lamotrigine levels (increased seizure risk). Also, lamotrigine levels rise during pill-free interval causing toxicity.</w:t>
            </w:r>
          </w:p>
        </w:tc>
      </w:tr>
    </w:tbl>
    <w:p>
      <w:pPr>
        <w:spacing w:after="40"/>
      </w:pPr>
    </w:p>
    <w:p>
      <w:pPr>
        <w:spacing w:before="160" w:after="40"/>
      </w:pPr>
      <w:r>
        <w:rPr>
          <w:rFonts w:ascii="Calibri" w:hAnsi="Calibri" w:eastAsia="Calibri" w:cs="Calibri"/>
          <w:b/>
          <w:i w:val="0"/>
          <w:sz w:val="22"/>
        </w:rPr>
        <w:t>Question 6: What is the UKMEC 2025 category for the levonorgestrel IUS (Mirena) in a woman with active breast cancer?</w:t>
      </w:r>
    </w:p>
    <w:p>
      <w:pPr>
        <w:pStyle w:val="ListBullet"/>
        <w:spacing w:after="20"/>
        <w:ind w:left="454"/>
      </w:pPr>
      <w:r>
        <w:rPr>
          <w:rFonts w:ascii="Calibri" w:hAnsi="Calibri" w:eastAsia="Calibri" w:cs="Calibri"/>
          <w:b w:val="0"/>
          <w:i w:val="0"/>
          <w:sz w:val="21"/>
        </w:rPr>
        <w:t>A. UKMEC 1</w:t>
      </w:r>
    </w:p>
    <w:p>
      <w:pPr>
        <w:pStyle w:val="ListBullet"/>
        <w:spacing w:after="20"/>
        <w:ind w:left="454"/>
      </w:pPr>
      <w:r>
        <w:rPr>
          <w:rFonts w:ascii="Calibri" w:hAnsi="Calibri" w:eastAsia="Calibri" w:cs="Calibri"/>
          <w:b w:val="0"/>
          <w:i w:val="0"/>
          <w:sz w:val="21"/>
        </w:rPr>
        <w:t>B. UKMEC 2</w:t>
      </w:r>
    </w:p>
    <w:p>
      <w:pPr>
        <w:pStyle w:val="ListBullet"/>
        <w:spacing w:after="20"/>
        <w:ind w:left="454"/>
      </w:pPr>
      <w:r>
        <w:rPr>
          <w:rFonts w:ascii="Calibri" w:hAnsi="Calibri" w:eastAsia="Calibri" w:cs="Calibri"/>
          <w:b w:val="0"/>
          <w:i w:val="0"/>
          <w:sz w:val="21"/>
        </w:rPr>
        <w:t>C. UKMEC 3</w:t>
      </w:r>
    </w:p>
    <w:p>
      <w:pPr>
        <w:pStyle w:val="ListBullet"/>
        <w:spacing w:after="20"/>
        <w:ind w:left="454"/>
      </w:pPr>
      <w:r>
        <w:rPr>
          <w:rFonts w:ascii="Calibri" w:hAnsi="Calibri" w:eastAsia="Calibri" w:cs="Calibri"/>
          <w:b w:val="0"/>
          <w:i w:val="0"/>
          <w:sz w:val="21"/>
        </w:rPr>
        <w:t>D. UKMEC 4</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D. UKMEC 4 — Active breast cancer = UKMEC 4 for ALL hormonal methods including IUS, implant, and POP.</w:t>
            </w:r>
          </w:p>
        </w:tc>
      </w:tr>
    </w:tbl>
    <w:p>
      <w:pPr>
        <w:spacing w:after="40"/>
      </w:pPr>
    </w:p>
    <w:p>
      <w:pPr>
        <w:spacing w:before="240" w:after="80"/>
      </w:pPr>
      <w:r>
        <w:rPr>
          <w:rFonts w:ascii="Calibri" w:hAnsi="Calibri" w:eastAsia="Calibri" w:cs="Calibri"/>
          <w:b/>
          <w:i w:val="0"/>
          <w:color w:val="00467F"/>
          <w:sz w:val="36"/>
        </w:rPr>
        <w:t>Section 2: Combined Pill, Missed Pills, and Drug Interactions</w:t>
      </w:r>
    </w:p>
    <w:p>
      <w:pPr>
        <w:spacing w:before="160" w:after="40"/>
      </w:pPr>
      <w:r>
        <w:rPr>
          <w:rFonts w:ascii="Calibri" w:hAnsi="Calibri" w:eastAsia="Calibri" w:cs="Calibri"/>
          <w:b/>
          <w:i w:val="0"/>
          <w:sz w:val="22"/>
        </w:rPr>
        <w:t>Question 7: Per FSRH 2026, at what threshold is a 30mcg COC pill considered "missed"?</w:t>
      </w:r>
    </w:p>
    <w:p>
      <w:pPr>
        <w:pStyle w:val="ListBullet"/>
        <w:spacing w:after="20"/>
        <w:ind w:left="454"/>
      </w:pPr>
      <w:r>
        <w:rPr>
          <w:rFonts w:ascii="Calibri" w:hAnsi="Calibri" w:eastAsia="Calibri" w:cs="Calibri"/>
          <w:b w:val="0"/>
          <w:i w:val="0"/>
          <w:sz w:val="21"/>
        </w:rPr>
        <w:t>A. &gt;12 hours late</w:t>
      </w:r>
    </w:p>
    <w:p>
      <w:pPr>
        <w:pStyle w:val="ListBullet"/>
        <w:spacing w:after="20"/>
        <w:ind w:left="454"/>
      </w:pPr>
      <w:r>
        <w:rPr>
          <w:rFonts w:ascii="Calibri" w:hAnsi="Calibri" w:eastAsia="Calibri" w:cs="Calibri"/>
          <w:b w:val="0"/>
          <w:i w:val="0"/>
          <w:sz w:val="21"/>
        </w:rPr>
        <w:t>B. &gt;24 hours late</w:t>
      </w:r>
    </w:p>
    <w:p>
      <w:pPr>
        <w:pStyle w:val="ListBullet"/>
        <w:spacing w:after="20"/>
        <w:ind w:left="454"/>
      </w:pPr>
      <w:r>
        <w:rPr>
          <w:rFonts w:ascii="Calibri" w:hAnsi="Calibri" w:eastAsia="Calibri" w:cs="Calibri"/>
          <w:b w:val="0"/>
          <w:i w:val="0"/>
          <w:sz w:val="21"/>
        </w:rPr>
        <w:t>C. &gt;48 hours late</w:t>
      </w:r>
    </w:p>
    <w:p>
      <w:pPr>
        <w:pStyle w:val="ListBullet"/>
        <w:spacing w:after="20"/>
        <w:ind w:left="454"/>
      </w:pPr>
      <w:r>
        <w:rPr>
          <w:rFonts w:ascii="Calibri" w:hAnsi="Calibri" w:eastAsia="Calibri" w:cs="Calibri"/>
          <w:b w:val="0"/>
          <w:i w:val="0"/>
          <w:sz w:val="21"/>
        </w:rPr>
        <w:t>D. &gt;72 hours late</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B. &gt;24 hours late — FSRH 2026 update: 30/35mcg pills — ≥24 hours late = missed. 20mcg (Loestrin 20) — ≥12 hours late = missed.</w:t>
            </w:r>
          </w:p>
        </w:tc>
      </w:tr>
    </w:tbl>
    <w:p>
      <w:pPr>
        <w:spacing w:after="40"/>
      </w:pPr>
    </w:p>
    <w:p>
      <w:pPr>
        <w:spacing w:before="160" w:after="40"/>
      </w:pPr>
      <w:r>
        <w:rPr>
          <w:rFonts w:ascii="Calibri" w:hAnsi="Calibri" w:eastAsia="Calibri" w:cs="Calibri"/>
          <w:b/>
          <w:i w:val="0"/>
          <w:sz w:val="22"/>
        </w:rPr>
        <w:t>Question 8: A woman is on a 30mcg COC. She forgot her pill and took it 26 hours late. She had unprotected sex yesterday (Day 6 of pack). What should she do?</w:t>
      </w:r>
    </w:p>
    <w:p>
      <w:pPr>
        <w:pStyle w:val="ListBullet"/>
        <w:spacing w:after="20"/>
        <w:ind w:left="454"/>
      </w:pPr>
      <w:r>
        <w:rPr>
          <w:rFonts w:ascii="Calibri" w:hAnsi="Calibri" w:eastAsia="Calibri" w:cs="Calibri"/>
          <w:b w:val="0"/>
          <w:i w:val="0"/>
          <w:sz w:val="21"/>
        </w:rPr>
        <w:t>A. Continue as normal, no action needed</w:t>
      </w:r>
    </w:p>
    <w:p>
      <w:pPr>
        <w:pStyle w:val="ListBullet"/>
        <w:spacing w:after="20"/>
        <w:ind w:left="454"/>
      </w:pPr>
      <w:r>
        <w:rPr>
          <w:rFonts w:ascii="Calibri" w:hAnsi="Calibri" w:eastAsia="Calibri" w:cs="Calibri"/>
          <w:b w:val="0"/>
          <w:i w:val="0"/>
          <w:sz w:val="21"/>
        </w:rPr>
        <w:t>B. Use additional precautions for 7 days only</w:t>
      </w:r>
    </w:p>
    <w:p>
      <w:pPr>
        <w:pStyle w:val="ListBullet"/>
        <w:spacing w:after="20"/>
        <w:ind w:left="454"/>
      </w:pPr>
      <w:r>
        <w:rPr>
          <w:rFonts w:ascii="Calibri" w:hAnsi="Calibri" w:eastAsia="Calibri" w:cs="Calibri"/>
          <w:b w:val="0"/>
          <w:i w:val="0"/>
          <w:sz w:val="21"/>
        </w:rPr>
        <w:t>C. Consider emergency contraception as missed pill in week 1, plus 7 days extra precautions</w:t>
      </w:r>
    </w:p>
    <w:p>
      <w:pPr>
        <w:pStyle w:val="ListBullet"/>
        <w:spacing w:after="20"/>
        <w:ind w:left="454"/>
      </w:pPr>
      <w:r>
        <w:rPr>
          <w:rFonts w:ascii="Calibri" w:hAnsi="Calibri" w:eastAsia="Calibri" w:cs="Calibri"/>
          <w:b w:val="0"/>
          <w:i w:val="0"/>
          <w:sz w:val="21"/>
        </w:rPr>
        <w:t>D. Stop the pill and use condoms for the rest of the cycle</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Consider emergency contraception + 7 days extra precautions — Missed pill in week 1 (days 1-7): risk of ovulation if there was sex in the preceding 7 days. UPSI yesterday means EC should be considered. Start 7 days extra precautions.</w:t>
            </w:r>
          </w:p>
        </w:tc>
      </w:tr>
    </w:tbl>
    <w:p>
      <w:pPr>
        <w:spacing w:after="40"/>
      </w:pPr>
    </w:p>
    <w:p>
      <w:pPr>
        <w:spacing w:before="160" w:after="40"/>
      </w:pPr>
      <w:r>
        <w:rPr>
          <w:rFonts w:ascii="Calibri" w:hAnsi="Calibri" w:eastAsia="Calibri" w:cs="Calibri"/>
          <w:b/>
          <w:i w:val="0"/>
          <w:sz w:val="22"/>
        </w:rPr>
        <w:t>Question 9: A woman takes Microgynon and has been started on rifampicin for TB. What advice do you give?</w:t>
      </w:r>
    </w:p>
    <w:p>
      <w:pPr>
        <w:pStyle w:val="ListBullet"/>
        <w:spacing w:after="20"/>
        <w:ind w:left="454"/>
      </w:pPr>
      <w:r>
        <w:rPr>
          <w:rFonts w:ascii="Calibri" w:hAnsi="Calibri" w:eastAsia="Calibri" w:cs="Calibri"/>
          <w:b w:val="0"/>
          <w:i w:val="0"/>
          <w:sz w:val="21"/>
        </w:rPr>
        <w:t>A. No extra precautions needed</w:t>
      </w:r>
    </w:p>
    <w:p>
      <w:pPr>
        <w:pStyle w:val="ListBullet"/>
        <w:spacing w:after="20"/>
        <w:ind w:left="454"/>
      </w:pPr>
      <w:r>
        <w:rPr>
          <w:rFonts w:ascii="Calibri" w:hAnsi="Calibri" w:eastAsia="Calibri" w:cs="Calibri"/>
          <w:b w:val="0"/>
          <w:i w:val="0"/>
          <w:sz w:val="21"/>
        </w:rPr>
        <w:t>B. Use additional contraception — rifampicin is an enzyme inducer</w:t>
      </w:r>
    </w:p>
    <w:p>
      <w:pPr>
        <w:pStyle w:val="ListBullet"/>
        <w:spacing w:after="20"/>
        <w:ind w:left="454"/>
      </w:pPr>
      <w:r>
        <w:rPr>
          <w:rFonts w:ascii="Calibri" w:hAnsi="Calibri" w:eastAsia="Calibri" w:cs="Calibri"/>
          <w:b w:val="0"/>
          <w:i w:val="0"/>
          <w:sz w:val="21"/>
        </w:rPr>
        <w:t>C. Stop the pill and use condoms</w:t>
      </w:r>
    </w:p>
    <w:p>
      <w:pPr>
        <w:pStyle w:val="ListBullet"/>
        <w:spacing w:after="20"/>
        <w:ind w:left="454"/>
      </w:pPr>
      <w:r>
        <w:rPr>
          <w:rFonts w:ascii="Calibri" w:hAnsi="Calibri" w:eastAsia="Calibri" w:cs="Calibri"/>
          <w:b w:val="0"/>
          <w:i w:val="0"/>
          <w:sz w:val="21"/>
        </w:rPr>
        <w:t>D. Double the pill dose</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B. Use additional contraception — rifampicin is an enzyme inducer — Rifampicin is a potent enzyme inducer and reduces CHC efficacy significantly. Use additional contraception during treatment AND for 28 days after stopping. For short courses, consider LARC.</w:t>
            </w:r>
          </w:p>
        </w:tc>
      </w:tr>
    </w:tbl>
    <w:p>
      <w:pPr>
        <w:spacing w:after="40"/>
      </w:pPr>
    </w:p>
    <w:p>
      <w:pPr>
        <w:spacing w:before="160" w:after="40"/>
      </w:pPr>
      <w:r>
        <w:rPr>
          <w:rFonts w:ascii="Calibri" w:hAnsi="Calibri" w:eastAsia="Calibri" w:cs="Calibri"/>
          <w:b/>
          <w:i w:val="0"/>
          <w:sz w:val="22"/>
        </w:rPr>
        <w:t>Question 10: Per FSRH 2026, does long-term amoxicillin (for acne) reduce the efficacy of the COC?</w:t>
      </w:r>
    </w:p>
    <w:p>
      <w:pPr>
        <w:pStyle w:val="ListBullet"/>
        <w:spacing w:after="20"/>
        <w:ind w:left="454"/>
      </w:pPr>
      <w:r>
        <w:rPr>
          <w:rFonts w:ascii="Calibri" w:hAnsi="Calibri" w:eastAsia="Calibri" w:cs="Calibri"/>
          <w:b w:val="0"/>
          <w:i w:val="0"/>
          <w:sz w:val="21"/>
        </w:rPr>
        <w:t>A. Yes — use condoms for 7 days</w:t>
      </w:r>
    </w:p>
    <w:p>
      <w:pPr>
        <w:pStyle w:val="ListBullet"/>
        <w:spacing w:after="20"/>
        <w:ind w:left="454"/>
      </w:pPr>
      <w:r>
        <w:rPr>
          <w:rFonts w:ascii="Calibri" w:hAnsi="Calibri" w:eastAsia="Calibri" w:cs="Calibri"/>
          <w:b w:val="0"/>
          <w:i w:val="0"/>
          <w:sz w:val="21"/>
        </w:rPr>
        <w:t>B. Yes — use condoms for the whole course</w:t>
      </w:r>
    </w:p>
    <w:p>
      <w:pPr>
        <w:pStyle w:val="ListBullet"/>
        <w:spacing w:after="20"/>
        <w:ind w:left="454"/>
      </w:pPr>
      <w:r>
        <w:rPr>
          <w:rFonts w:ascii="Calibri" w:hAnsi="Calibri" w:eastAsia="Calibri" w:cs="Calibri"/>
          <w:b w:val="0"/>
          <w:i w:val="0"/>
          <w:sz w:val="21"/>
        </w:rPr>
        <w:t>C. No — no extra precautions needed</w:t>
      </w:r>
    </w:p>
    <w:p>
      <w:pPr>
        <w:pStyle w:val="ListBullet"/>
        <w:spacing w:after="20"/>
        <w:ind w:left="454"/>
      </w:pPr>
      <w:r>
        <w:rPr>
          <w:rFonts w:ascii="Calibri" w:hAnsi="Calibri" w:eastAsia="Calibri" w:cs="Calibri"/>
          <w:b w:val="0"/>
          <w:i w:val="0"/>
          <w:sz w:val="21"/>
        </w:rPr>
        <w:t>D. Only if taken for &gt;2 weeks</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No — no extra precautions needed — KEY UPDATE FSRH 2026: Broad-spectrum antibiotics (including amoxicillin, tetracyclines) do NOT reduce CHC efficacy. Previous "7-day rule" for antibiotics is now ABOLISHED.</w:t>
            </w:r>
          </w:p>
        </w:tc>
      </w:tr>
    </w:tbl>
    <w:p>
      <w:pPr>
        <w:spacing w:after="40"/>
      </w:pPr>
    </w:p>
    <w:p>
      <w:pPr>
        <w:spacing w:before="160" w:after="40"/>
      </w:pPr>
      <w:r>
        <w:rPr>
          <w:rFonts w:ascii="Calibri" w:hAnsi="Calibri" w:eastAsia="Calibri" w:cs="Calibri"/>
          <w:b/>
          <w:i w:val="0"/>
          <w:sz w:val="22"/>
        </w:rPr>
        <w:t>Question 11: Which of the following is NOT an enzyme inducer (i.e., does not reduce CHC efficacy)?</w:t>
      </w:r>
    </w:p>
    <w:p>
      <w:pPr>
        <w:pStyle w:val="ListBullet"/>
        <w:spacing w:after="20"/>
        <w:ind w:left="454"/>
      </w:pPr>
      <w:r>
        <w:rPr>
          <w:rFonts w:ascii="Calibri" w:hAnsi="Calibri" w:eastAsia="Calibri" w:cs="Calibri"/>
          <w:b w:val="0"/>
          <w:i w:val="0"/>
          <w:sz w:val="21"/>
        </w:rPr>
        <w:t>A. Rifampicin</w:t>
      </w:r>
    </w:p>
    <w:p>
      <w:pPr>
        <w:pStyle w:val="ListBullet"/>
        <w:spacing w:after="20"/>
        <w:ind w:left="454"/>
      </w:pPr>
      <w:r>
        <w:rPr>
          <w:rFonts w:ascii="Calibri" w:hAnsi="Calibri" w:eastAsia="Calibri" w:cs="Calibri"/>
          <w:b w:val="0"/>
          <w:i w:val="0"/>
          <w:sz w:val="21"/>
        </w:rPr>
        <w:t>B. Carbamazepine</w:t>
      </w:r>
    </w:p>
    <w:p>
      <w:pPr>
        <w:pStyle w:val="ListBullet"/>
        <w:spacing w:after="20"/>
        <w:ind w:left="454"/>
      </w:pPr>
      <w:r>
        <w:rPr>
          <w:rFonts w:ascii="Calibri" w:hAnsi="Calibri" w:eastAsia="Calibri" w:cs="Calibri"/>
          <w:b w:val="0"/>
          <w:i w:val="0"/>
          <w:sz w:val="21"/>
        </w:rPr>
        <w:t>C. Phenytoin</w:t>
      </w:r>
    </w:p>
    <w:p>
      <w:pPr>
        <w:pStyle w:val="ListBullet"/>
        <w:spacing w:after="20"/>
        <w:ind w:left="454"/>
      </w:pPr>
      <w:r>
        <w:rPr>
          <w:rFonts w:ascii="Calibri" w:hAnsi="Calibri" w:eastAsia="Calibri" w:cs="Calibri"/>
          <w:b w:val="0"/>
          <w:i w:val="0"/>
          <w:sz w:val="21"/>
        </w:rPr>
        <w:t>D. Sodium valproate</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D. Sodium valproate — Valproate is NOT an enzyme inducer — UKMEC 1 for CHC. Rifampicin, carbamazepine, phenytoin, St John's Wort, and topiramate are enzyme inducers.</w:t>
            </w:r>
          </w:p>
        </w:tc>
      </w:tr>
    </w:tbl>
    <w:p>
      <w:pPr>
        <w:spacing w:after="40"/>
      </w:pPr>
    </w:p>
    <w:p>
      <w:pPr>
        <w:spacing w:before="240" w:after="80"/>
      </w:pPr>
      <w:r>
        <w:rPr>
          <w:rFonts w:ascii="Calibri" w:hAnsi="Calibri" w:eastAsia="Calibri" w:cs="Calibri"/>
          <w:b/>
          <w:i w:val="0"/>
          <w:color w:val="00467F"/>
          <w:sz w:val="36"/>
        </w:rPr>
        <w:t>Section 3: Emergency Contraception</w:t>
      </w:r>
    </w:p>
    <w:p>
      <w:pPr>
        <w:spacing w:before="160" w:after="40"/>
      </w:pPr>
      <w:r>
        <w:rPr>
          <w:rFonts w:ascii="Calibri" w:hAnsi="Calibri" w:eastAsia="Calibri" w:cs="Calibri"/>
          <w:b/>
          <w:i w:val="0"/>
          <w:sz w:val="22"/>
        </w:rPr>
        <w:t>Question 12: What is the most effective method of emergency contraception?</w:t>
      </w:r>
    </w:p>
    <w:p>
      <w:pPr>
        <w:pStyle w:val="ListBullet"/>
        <w:spacing w:after="20"/>
        <w:ind w:left="454"/>
      </w:pPr>
      <w:r>
        <w:rPr>
          <w:rFonts w:ascii="Calibri" w:hAnsi="Calibri" w:eastAsia="Calibri" w:cs="Calibri"/>
          <w:b w:val="0"/>
          <w:i w:val="0"/>
          <w:sz w:val="21"/>
        </w:rPr>
        <w:t>A. Levonorgestrel 1.5mg (Levonelle)</w:t>
      </w:r>
    </w:p>
    <w:p>
      <w:pPr>
        <w:pStyle w:val="ListBullet"/>
        <w:spacing w:after="20"/>
        <w:ind w:left="454"/>
      </w:pPr>
      <w:r>
        <w:rPr>
          <w:rFonts w:ascii="Calibri" w:hAnsi="Calibri" w:eastAsia="Calibri" w:cs="Calibri"/>
          <w:b w:val="0"/>
          <w:i w:val="0"/>
          <w:sz w:val="21"/>
        </w:rPr>
        <w:t>B. Ulipristal acetate 30mg (ellaOne)</w:t>
      </w:r>
    </w:p>
    <w:p>
      <w:pPr>
        <w:pStyle w:val="ListBullet"/>
        <w:spacing w:after="20"/>
        <w:ind w:left="454"/>
      </w:pPr>
      <w:r>
        <w:rPr>
          <w:rFonts w:ascii="Calibri" w:hAnsi="Calibri" w:eastAsia="Calibri" w:cs="Calibri"/>
          <w:b w:val="0"/>
          <w:i w:val="0"/>
          <w:sz w:val="21"/>
        </w:rPr>
        <w:t>C. Copper IUD</w:t>
      </w:r>
    </w:p>
    <w:p>
      <w:pPr>
        <w:pStyle w:val="ListBullet"/>
        <w:spacing w:after="20"/>
        <w:ind w:left="454"/>
      </w:pPr>
      <w:r>
        <w:rPr>
          <w:rFonts w:ascii="Calibri" w:hAnsi="Calibri" w:eastAsia="Calibri" w:cs="Calibri"/>
          <w:b w:val="0"/>
          <w:i w:val="0"/>
          <w:sz w:val="21"/>
        </w:rPr>
        <w:t>D. Progestogen injection</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Copper IUD — Copper IUD is &gt;99% effective when inserted up to 5 days post-UPSI or up to 5 days after ovulation (whichever is later). It can also provide ongoing contraception.</w:t>
            </w:r>
          </w:p>
        </w:tc>
      </w:tr>
    </w:tbl>
    <w:p>
      <w:pPr>
        <w:spacing w:after="40"/>
      </w:pPr>
    </w:p>
    <w:p>
      <w:pPr>
        <w:spacing w:before="160" w:after="40"/>
      </w:pPr>
      <w:r>
        <w:rPr>
          <w:rFonts w:ascii="Calibri" w:hAnsi="Calibri" w:eastAsia="Calibri" w:cs="Calibri"/>
          <w:b/>
          <w:i w:val="0"/>
          <w:sz w:val="22"/>
        </w:rPr>
        <w:t>Question 13: Within what timeframe must ellaOne (UPA 30mg) be taken to be effective as emergency contraception?</w:t>
      </w:r>
    </w:p>
    <w:p>
      <w:pPr>
        <w:pStyle w:val="ListBullet"/>
        <w:spacing w:after="20"/>
        <w:ind w:left="454"/>
      </w:pPr>
      <w:r>
        <w:rPr>
          <w:rFonts w:ascii="Calibri" w:hAnsi="Calibri" w:eastAsia="Calibri" w:cs="Calibri"/>
          <w:b w:val="0"/>
          <w:i w:val="0"/>
          <w:sz w:val="21"/>
        </w:rPr>
        <w:t>A. 24 hours</w:t>
      </w:r>
    </w:p>
    <w:p>
      <w:pPr>
        <w:pStyle w:val="ListBullet"/>
        <w:spacing w:after="20"/>
        <w:ind w:left="454"/>
      </w:pPr>
      <w:r>
        <w:rPr>
          <w:rFonts w:ascii="Calibri" w:hAnsi="Calibri" w:eastAsia="Calibri" w:cs="Calibri"/>
          <w:b w:val="0"/>
          <w:i w:val="0"/>
          <w:sz w:val="21"/>
        </w:rPr>
        <w:t>B. 48 hours</w:t>
      </w:r>
    </w:p>
    <w:p>
      <w:pPr>
        <w:pStyle w:val="ListBullet"/>
        <w:spacing w:after="20"/>
        <w:ind w:left="454"/>
      </w:pPr>
      <w:r>
        <w:rPr>
          <w:rFonts w:ascii="Calibri" w:hAnsi="Calibri" w:eastAsia="Calibri" w:cs="Calibri"/>
          <w:b w:val="0"/>
          <w:i w:val="0"/>
          <w:sz w:val="21"/>
        </w:rPr>
        <w:t>C. 72 hours</w:t>
      </w:r>
    </w:p>
    <w:p>
      <w:pPr>
        <w:pStyle w:val="ListBullet"/>
        <w:spacing w:after="20"/>
        <w:ind w:left="454"/>
      </w:pPr>
      <w:r>
        <w:rPr>
          <w:rFonts w:ascii="Calibri" w:hAnsi="Calibri" w:eastAsia="Calibri" w:cs="Calibri"/>
          <w:b w:val="0"/>
          <w:i w:val="0"/>
          <w:sz w:val="21"/>
        </w:rPr>
        <w:t>D. 120 hours</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D. 120 hours (5 days) — UPA (ellaOne) can be taken up to 120 hours (5 days) after UPSI and maintains efficacy throughout this window, unlike LNG-EC which becomes less effective after 72 hours.</w:t>
            </w:r>
          </w:p>
        </w:tc>
      </w:tr>
    </w:tbl>
    <w:p>
      <w:pPr>
        <w:spacing w:after="40"/>
      </w:pPr>
    </w:p>
    <w:p>
      <w:pPr>
        <w:spacing w:before="160" w:after="40"/>
      </w:pPr>
      <w:r>
        <w:rPr>
          <w:rFonts w:ascii="Calibri" w:hAnsi="Calibri" w:eastAsia="Calibri" w:cs="Calibri"/>
          <w:b/>
          <w:i w:val="0"/>
          <w:sz w:val="22"/>
        </w:rPr>
        <w:t>Question 14: A woman weighing 85kg attends requesting emergency contraception 24 hours after UPSI. What is the best oral option?</w:t>
      </w:r>
    </w:p>
    <w:p>
      <w:pPr>
        <w:pStyle w:val="ListBullet"/>
        <w:spacing w:after="20"/>
        <w:ind w:left="454"/>
      </w:pPr>
      <w:r>
        <w:rPr>
          <w:rFonts w:ascii="Calibri" w:hAnsi="Calibri" w:eastAsia="Calibri" w:cs="Calibri"/>
          <w:b w:val="0"/>
          <w:i w:val="0"/>
          <w:sz w:val="21"/>
        </w:rPr>
        <w:t>A. Levonelle (LNG 1.5mg)</w:t>
      </w:r>
    </w:p>
    <w:p>
      <w:pPr>
        <w:pStyle w:val="ListBullet"/>
        <w:spacing w:after="20"/>
        <w:ind w:left="454"/>
      </w:pPr>
      <w:r>
        <w:rPr>
          <w:rFonts w:ascii="Calibri" w:hAnsi="Calibri" w:eastAsia="Calibri" w:cs="Calibri"/>
          <w:b w:val="0"/>
          <w:i w:val="0"/>
          <w:sz w:val="21"/>
        </w:rPr>
        <w:t>B. ellaOne (UPA 30mg)</w:t>
      </w:r>
    </w:p>
    <w:p>
      <w:pPr>
        <w:pStyle w:val="ListBullet"/>
        <w:spacing w:after="20"/>
        <w:ind w:left="454"/>
      </w:pPr>
      <w:r>
        <w:rPr>
          <w:rFonts w:ascii="Calibri" w:hAnsi="Calibri" w:eastAsia="Calibri" w:cs="Calibri"/>
          <w:b w:val="0"/>
          <w:i w:val="0"/>
          <w:sz w:val="21"/>
        </w:rPr>
        <w:t>C. Either is equivalent</w:t>
      </w:r>
    </w:p>
    <w:p>
      <w:pPr>
        <w:pStyle w:val="ListBullet"/>
        <w:spacing w:after="20"/>
        <w:ind w:left="454"/>
      </w:pPr>
      <w:r>
        <w:rPr>
          <w:rFonts w:ascii="Calibri" w:hAnsi="Calibri" w:eastAsia="Calibri" w:cs="Calibri"/>
          <w:b w:val="0"/>
          <w:i w:val="0"/>
          <w:sz w:val="21"/>
        </w:rPr>
        <w:t>D. Neither — use DMPA injection</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B. ellaOne (UPA 30mg) — LNG-EC (Levonelle) is less effective in women with BMI &gt;26 or weight &gt;70kg. UPA (ellaOne) is the preferred oral EC in this situation (or copper IUD).</w:t>
            </w:r>
          </w:p>
        </w:tc>
      </w:tr>
    </w:tbl>
    <w:p>
      <w:pPr>
        <w:spacing w:after="40"/>
      </w:pPr>
    </w:p>
    <w:p>
      <w:pPr>
        <w:spacing w:before="160" w:after="40"/>
      </w:pPr>
      <w:r>
        <w:rPr>
          <w:rFonts w:ascii="Calibri" w:hAnsi="Calibri" w:eastAsia="Calibri" w:cs="Calibri"/>
          <w:b/>
          <w:i w:val="0"/>
          <w:sz w:val="22"/>
        </w:rPr>
        <w:t>Question 15: After taking ellaOne, when can regular hormonal contraception be started?</w:t>
      </w:r>
    </w:p>
    <w:p>
      <w:pPr>
        <w:pStyle w:val="ListBullet"/>
        <w:spacing w:after="20"/>
        <w:ind w:left="454"/>
      </w:pPr>
      <w:r>
        <w:rPr>
          <w:rFonts w:ascii="Calibri" w:hAnsi="Calibri" w:eastAsia="Calibri" w:cs="Calibri"/>
          <w:b w:val="0"/>
          <w:i w:val="0"/>
          <w:sz w:val="21"/>
        </w:rPr>
        <w:t>A. Immediately</w:t>
      </w:r>
    </w:p>
    <w:p>
      <w:pPr>
        <w:pStyle w:val="ListBullet"/>
        <w:spacing w:after="20"/>
        <w:ind w:left="454"/>
      </w:pPr>
      <w:r>
        <w:rPr>
          <w:rFonts w:ascii="Calibri" w:hAnsi="Calibri" w:eastAsia="Calibri" w:cs="Calibri"/>
          <w:b w:val="0"/>
          <w:i w:val="0"/>
          <w:sz w:val="21"/>
        </w:rPr>
        <w:t>B. After 24 hours</w:t>
      </w:r>
    </w:p>
    <w:p>
      <w:pPr>
        <w:pStyle w:val="ListBullet"/>
        <w:spacing w:after="20"/>
        <w:ind w:left="454"/>
      </w:pPr>
      <w:r>
        <w:rPr>
          <w:rFonts w:ascii="Calibri" w:hAnsi="Calibri" w:eastAsia="Calibri" w:cs="Calibri"/>
          <w:b w:val="0"/>
          <w:i w:val="0"/>
          <w:sz w:val="21"/>
        </w:rPr>
        <w:t>C. After 5 days</w:t>
      </w:r>
    </w:p>
    <w:p>
      <w:pPr>
        <w:pStyle w:val="ListBullet"/>
        <w:spacing w:after="20"/>
        <w:ind w:left="454"/>
      </w:pPr>
      <w:r>
        <w:rPr>
          <w:rFonts w:ascii="Calibri" w:hAnsi="Calibri" w:eastAsia="Calibri" w:cs="Calibri"/>
          <w:b w:val="0"/>
          <w:i w:val="0"/>
          <w:sz w:val="21"/>
        </w:rPr>
        <w:t>D. After 7 days</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After 5 days — UPA is a progesterone receptor modulator — hormonal contraception (COC, POP, implant) must wait 5 days as they interact. Use barrier methods for 5 days then start hormonal method. Quick-start after that with 7 days extra precautions.</w:t>
            </w:r>
          </w:p>
        </w:tc>
      </w:tr>
    </w:tbl>
    <w:p>
      <w:pPr>
        <w:spacing w:after="40"/>
      </w:pPr>
    </w:p>
    <w:p>
      <w:pPr>
        <w:spacing w:before="160" w:after="40"/>
      </w:pPr>
      <w:r>
        <w:rPr>
          <w:rFonts w:ascii="Calibri" w:hAnsi="Calibri" w:eastAsia="Calibri" w:cs="Calibri"/>
          <w:b/>
          <w:i w:val="0"/>
          <w:sz w:val="22"/>
        </w:rPr>
        <w:t>Question 16: A woman had UPSI on day 18 of a 28-day cycle. She requests a copper IUD. Is she eligible?</w:t>
      </w:r>
    </w:p>
    <w:p>
      <w:pPr>
        <w:pStyle w:val="ListBullet"/>
        <w:spacing w:after="20"/>
        <w:ind w:left="454"/>
      </w:pPr>
      <w:r>
        <w:rPr>
          <w:rFonts w:ascii="Calibri" w:hAnsi="Calibri" w:eastAsia="Calibri" w:cs="Calibri"/>
          <w:b w:val="0"/>
          <w:i w:val="0"/>
          <w:sz w:val="21"/>
        </w:rPr>
        <w:t>A. No — she is outside the 5-day post-UPSI window</w:t>
      </w:r>
    </w:p>
    <w:p>
      <w:pPr>
        <w:pStyle w:val="ListBullet"/>
        <w:spacing w:after="20"/>
        <w:ind w:left="454"/>
      </w:pPr>
      <w:r>
        <w:rPr>
          <w:rFonts w:ascii="Calibri" w:hAnsi="Calibri" w:eastAsia="Calibri" w:cs="Calibri"/>
          <w:b w:val="0"/>
          <w:i w:val="0"/>
          <w:sz w:val="21"/>
        </w:rPr>
        <w:t>B. Yes — 5 days post-UPSI rule applies</w:t>
      </w:r>
    </w:p>
    <w:p>
      <w:pPr>
        <w:pStyle w:val="ListBullet"/>
        <w:spacing w:after="20"/>
        <w:ind w:left="454"/>
      </w:pPr>
      <w:r>
        <w:rPr>
          <w:rFonts w:ascii="Calibri" w:hAnsi="Calibri" w:eastAsia="Calibri" w:cs="Calibri"/>
          <w:b w:val="0"/>
          <w:i w:val="0"/>
          <w:sz w:val="21"/>
        </w:rPr>
        <w:t>C. Yes — but only if she has not ovulated yet</w:t>
      </w:r>
    </w:p>
    <w:p>
      <w:pPr>
        <w:pStyle w:val="ListBullet"/>
        <w:spacing w:after="20"/>
        <w:ind w:left="454"/>
      </w:pPr>
      <w:r>
        <w:rPr>
          <w:rFonts w:ascii="Calibri" w:hAnsi="Calibri" w:eastAsia="Calibri" w:cs="Calibri"/>
          <w:b w:val="0"/>
          <w:i w:val="0"/>
          <w:sz w:val="21"/>
        </w:rPr>
        <w:t>D. Yes — copper IUD can be inserted up to 5 days post-UPSI OR 5 days after the earliest predicted ovulation</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D. Copper IUD — 5 days post-UPSI OR 5 days after earliest predicted ovulation — Ovulation in a 28-day cycle is ~day 14. 5 days after ovulation = day 19. She had UPSI on day 18 — she is within the window (up to day 19). Copper IUD can be inserted.</w:t>
            </w:r>
          </w:p>
        </w:tc>
      </w:tr>
    </w:tbl>
    <w:p>
      <w:pPr>
        <w:spacing w:after="40"/>
      </w:pPr>
    </w:p>
    <w:p>
      <w:pPr>
        <w:spacing w:before="240" w:after="80"/>
      </w:pPr>
      <w:r>
        <w:rPr>
          <w:rFonts w:ascii="Calibri" w:hAnsi="Calibri" w:eastAsia="Calibri" w:cs="Calibri"/>
          <w:b/>
          <w:i w:val="0"/>
          <w:color w:val="00467F"/>
          <w:sz w:val="36"/>
        </w:rPr>
        <w:t>Section 4: Long-Acting Reversible Contraception (LARC)</w:t>
      </w:r>
    </w:p>
    <w:p>
      <w:pPr>
        <w:spacing w:before="160" w:after="40"/>
      </w:pPr>
      <w:r>
        <w:rPr>
          <w:rFonts w:ascii="Calibri" w:hAnsi="Calibri" w:eastAsia="Calibri" w:cs="Calibri"/>
          <w:b/>
          <w:i w:val="0"/>
          <w:sz w:val="22"/>
        </w:rPr>
        <w:t>Question 17: How long is the Mirena IUS now licensed for contraception?</w:t>
      </w:r>
    </w:p>
    <w:p>
      <w:pPr>
        <w:pStyle w:val="ListBullet"/>
        <w:spacing w:after="20"/>
        <w:ind w:left="454"/>
      </w:pPr>
      <w:r>
        <w:rPr>
          <w:rFonts w:ascii="Calibri" w:hAnsi="Calibri" w:eastAsia="Calibri" w:cs="Calibri"/>
          <w:b w:val="0"/>
          <w:i w:val="0"/>
          <w:sz w:val="21"/>
        </w:rPr>
        <w:t>A. 3 years</w:t>
      </w:r>
    </w:p>
    <w:p>
      <w:pPr>
        <w:pStyle w:val="ListBullet"/>
        <w:spacing w:after="20"/>
        <w:ind w:left="454"/>
      </w:pPr>
      <w:r>
        <w:rPr>
          <w:rFonts w:ascii="Calibri" w:hAnsi="Calibri" w:eastAsia="Calibri" w:cs="Calibri"/>
          <w:b w:val="0"/>
          <w:i w:val="0"/>
          <w:sz w:val="21"/>
        </w:rPr>
        <w:t>B. 5 years</w:t>
      </w:r>
    </w:p>
    <w:p>
      <w:pPr>
        <w:pStyle w:val="ListBullet"/>
        <w:spacing w:after="20"/>
        <w:ind w:left="454"/>
      </w:pPr>
      <w:r>
        <w:rPr>
          <w:rFonts w:ascii="Calibri" w:hAnsi="Calibri" w:eastAsia="Calibri" w:cs="Calibri"/>
          <w:b w:val="0"/>
          <w:i w:val="0"/>
          <w:sz w:val="21"/>
        </w:rPr>
        <w:t>C. 7 years</w:t>
      </w:r>
    </w:p>
    <w:p>
      <w:pPr>
        <w:pStyle w:val="ListBullet"/>
        <w:spacing w:after="20"/>
        <w:ind w:left="454"/>
      </w:pPr>
      <w:r>
        <w:rPr>
          <w:rFonts w:ascii="Calibri" w:hAnsi="Calibri" w:eastAsia="Calibri" w:cs="Calibri"/>
          <w:b w:val="0"/>
          <w:i w:val="0"/>
          <w:sz w:val="21"/>
        </w:rPr>
        <w:t>D. 8 years</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D. 8 years — FSRH 2024 update: Mirena IUS is now licensed for 8 years for contraception (previously 5 years). Still 5 years when used as endometrial protection in HRT.</w:t>
            </w:r>
          </w:p>
        </w:tc>
      </w:tr>
    </w:tbl>
    <w:p>
      <w:pPr>
        <w:spacing w:after="40"/>
      </w:pPr>
    </w:p>
    <w:p>
      <w:pPr>
        <w:spacing w:before="160" w:after="40"/>
      </w:pPr>
      <w:r>
        <w:rPr>
          <w:rFonts w:ascii="Calibri" w:hAnsi="Calibri" w:eastAsia="Calibri" w:cs="Calibri"/>
          <w:b/>
          <w:i w:val="0"/>
          <w:sz w:val="22"/>
        </w:rPr>
        <w:t>Question 18: The Nexplanon implant has a typical placement in which arm and which position?</w:t>
      </w:r>
    </w:p>
    <w:p>
      <w:pPr>
        <w:pStyle w:val="ListBullet"/>
        <w:spacing w:after="20"/>
        <w:ind w:left="454"/>
      </w:pPr>
      <w:r>
        <w:rPr>
          <w:rFonts w:ascii="Calibri" w:hAnsi="Calibri" w:eastAsia="Calibri" w:cs="Calibri"/>
          <w:b w:val="0"/>
          <w:i w:val="0"/>
          <w:sz w:val="21"/>
        </w:rPr>
        <w:t>A. Dominant arm, outer aspect of upper arm</w:t>
      </w:r>
    </w:p>
    <w:p>
      <w:pPr>
        <w:pStyle w:val="ListBullet"/>
        <w:spacing w:after="20"/>
        <w:ind w:left="454"/>
      </w:pPr>
      <w:r>
        <w:rPr>
          <w:rFonts w:ascii="Calibri" w:hAnsi="Calibri" w:eastAsia="Calibri" w:cs="Calibri"/>
          <w:b w:val="0"/>
          <w:i w:val="0"/>
          <w:sz w:val="21"/>
        </w:rPr>
        <w:t>B. Non-dominant arm, inner aspect of upper arm</w:t>
      </w:r>
    </w:p>
    <w:p>
      <w:pPr>
        <w:pStyle w:val="ListBullet"/>
        <w:spacing w:after="20"/>
        <w:ind w:left="454"/>
      </w:pPr>
      <w:r>
        <w:rPr>
          <w:rFonts w:ascii="Calibri" w:hAnsi="Calibri" w:eastAsia="Calibri" w:cs="Calibri"/>
          <w:b w:val="0"/>
          <w:i w:val="0"/>
          <w:sz w:val="21"/>
        </w:rPr>
        <w:t>C. Either arm, forearm</w:t>
      </w:r>
    </w:p>
    <w:p>
      <w:pPr>
        <w:pStyle w:val="ListBullet"/>
        <w:spacing w:after="20"/>
        <w:ind w:left="454"/>
      </w:pPr>
      <w:r>
        <w:rPr>
          <w:rFonts w:ascii="Calibri" w:hAnsi="Calibri" w:eastAsia="Calibri" w:cs="Calibri"/>
          <w:b w:val="0"/>
          <w:i w:val="0"/>
          <w:sz w:val="21"/>
        </w:rPr>
        <w:t>D. Non-dominant arm, outer aspect of upper arm</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B. Non-dominant arm, inner aspect of upper arm — Nexplanon is inserted subdermally in the non-dominant arm, inner aspect of the upper arm, over the triceps. Note: the original brand Implanon is no longer available — current product is Nexplanon (radio-opaque).</w:t>
            </w:r>
          </w:p>
        </w:tc>
      </w:tr>
    </w:tbl>
    <w:p>
      <w:pPr>
        <w:spacing w:after="40"/>
      </w:pPr>
    </w:p>
    <w:p>
      <w:pPr>
        <w:spacing w:before="160" w:after="40"/>
      </w:pPr>
      <w:r>
        <w:rPr>
          <w:rFonts w:ascii="Calibri" w:hAnsi="Calibri" w:eastAsia="Calibri" w:cs="Calibri"/>
          <w:b/>
          <w:i w:val="0"/>
          <w:sz w:val="22"/>
        </w:rPr>
        <w:t>Question 19: Which of the following is CORRECT about the copper IUD?</w:t>
      </w:r>
    </w:p>
    <w:p>
      <w:pPr>
        <w:pStyle w:val="ListBullet"/>
        <w:spacing w:after="20"/>
        <w:ind w:left="454"/>
      </w:pPr>
      <w:r>
        <w:rPr>
          <w:rFonts w:ascii="Calibri" w:hAnsi="Calibri" w:eastAsia="Calibri" w:cs="Calibri"/>
          <w:b w:val="0"/>
          <w:i w:val="0"/>
          <w:sz w:val="21"/>
        </w:rPr>
        <w:t>A. It is 95% effective</w:t>
      </w:r>
    </w:p>
    <w:p>
      <w:pPr>
        <w:pStyle w:val="ListBullet"/>
        <w:spacing w:after="20"/>
        <w:ind w:left="454"/>
      </w:pPr>
      <w:r>
        <w:rPr>
          <w:rFonts w:ascii="Calibri" w:hAnsi="Calibri" w:eastAsia="Calibri" w:cs="Calibri"/>
          <w:b w:val="0"/>
          <w:i w:val="0"/>
          <w:sz w:val="21"/>
        </w:rPr>
        <w:t>B. It contains progesterone</w:t>
      </w:r>
    </w:p>
    <w:p>
      <w:pPr>
        <w:pStyle w:val="ListBullet"/>
        <w:spacing w:after="20"/>
        <w:ind w:left="454"/>
      </w:pPr>
      <w:r>
        <w:rPr>
          <w:rFonts w:ascii="Calibri" w:hAnsi="Calibri" w:eastAsia="Calibri" w:cs="Calibri"/>
          <w:b w:val="0"/>
          <w:i w:val="0"/>
          <w:sz w:val="21"/>
        </w:rPr>
        <w:t>C. It can cause heavier and more painful periods</w:t>
      </w:r>
    </w:p>
    <w:p>
      <w:pPr>
        <w:pStyle w:val="ListBullet"/>
        <w:spacing w:after="20"/>
        <w:ind w:left="454"/>
      </w:pPr>
      <w:r>
        <w:rPr>
          <w:rFonts w:ascii="Calibri" w:hAnsi="Calibri" w:eastAsia="Calibri" w:cs="Calibri"/>
          <w:b w:val="0"/>
          <w:i w:val="0"/>
          <w:sz w:val="21"/>
        </w:rPr>
        <w:t>D. It should not be used in women who have never been pregnant</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It can cause heavier and more painful periods — Copper IUD is non-hormonal (copper ions are spermicidal). It is &gt;99% effective. HMB/dysmenorrhoea is a recognised side effect. Nulliparity is NOT a contraindication (UKMEC 2025 = UKMEC 1).</w:t>
            </w:r>
          </w:p>
        </w:tc>
      </w:tr>
    </w:tbl>
    <w:p>
      <w:pPr>
        <w:spacing w:after="40"/>
      </w:pPr>
    </w:p>
    <w:p>
      <w:pPr>
        <w:spacing w:before="160" w:after="40"/>
      </w:pPr>
      <w:r>
        <w:rPr>
          <w:rFonts w:ascii="Calibri" w:hAnsi="Calibri" w:eastAsia="Calibri" w:cs="Calibri"/>
          <w:b/>
          <w:i w:val="0"/>
          <w:sz w:val="22"/>
        </w:rPr>
        <w:t>Question 20: A woman 4 weeks postpartum is breastfeeding and wants the implant. What is the UKMEC 2025 category?</w:t>
      </w:r>
    </w:p>
    <w:p>
      <w:pPr>
        <w:pStyle w:val="ListBullet"/>
        <w:spacing w:after="20"/>
        <w:ind w:left="454"/>
      </w:pPr>
      <w:r>
        <w:rPr>
          <w:rFonts w:ascii="Calibri" w:hAnsi="Calibri" w:eastAsia="Calibri" w:cs="Calibri"/>
          <w:b w:val="0"/>
          <w:i w:val="0"/>
          <w:sz w:val="21"/>
        </w:rPr>
        <w:t>A. UKMEC 4 — not allowed while breastfeeding</w:t>
      </w:r>
    </w:p>
    <w:p>
      <w:pPr>
        <w:pStyle w:val="ListBullet"/>
        <w:spacing w:after="20"/>
        <w:ind w:left="454"/>
      </w:pPr>
      <w:r>
        <w:rPr>
          <w:rFonts w:ascii="Calibri" w:hAnsi="Calibri" w:eastAsia="Calibri" w:cs="Calibri"/>
          <w:b w:val="0"/>
          <w:i w:val="0"/>
          <w:sz w:val="21"/>
        </w:rPr>
        <w:t>B. UKMEC 3 — risks outweigh benefits</w:t>
      </w:r>
    </w:p>
    <w:p>
      <w:pPr>
        <w:pStyle w:val="ListBullet"/>
        <w:spacing w:after="20"/>
        <w:ind w:left="454"/>
      </w:pPr>
      <w:r>
        <w:rPr>
          <w:rFonts w:ascii="Calibri" w:hAnsi="Calibri" w:eastAsia="Calibri" w:cs="Calibri"/>
          <w:b w:val="0"/>
          <w:i w:val="0"/>
          <w:sz w:val="21"/>
        </w:rPr>
        <w:t>C. UKMEC 2 — benefits generally outweigh risks</w:t>
      </w:r>
    </w:p>
    <w:p>
      <w:pPr>
        <w:pStyle w:val="ListBullet"/>
        <w:spacing w:after="20"/>
        <w:ind w:left="454"/>
      </w:pPr>
      <w:r>
        <w:rPr>
          <w:rFonts w:ascii="Calibri" w:hAnsi="Calibri" w:eastAsia="Calibri" w:cs="Calibri"/>
          <w:b w:val="0"/>
          <w:i w:val="0"/>
          <w:sz w:val="21"/>
        </w:rPr>
        <w:t>D. UKMEC 1 — no restriction</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D. UKMEC 1 — no restriction — Nexplanon implant is UKMEC 1 for breastfeeding at ≥4 weeks postpartum. Safe and does not affect milk production. Ideal LARC for breastfeeding mothers.</w:t>
            </w:r>
          </w:p>
        </w:tc>
      </w:tr>
    </w:tbl>
    <w:p>
      <w:pPr>
        <w:spacing w:after="40"/>
      </w:pPr>
    </w:p>
    <w:p>
      <w:pPr>
        <w:spacing w:before="240" w:after="80"/>
      </w:pPr>
      <w:r>
        <w:rPr>
          <w:rFonts w:ascii="Calibri" w:hAnsi="Calibri" w:eastAsia="Calibri" w:cs="Calibri"/>
          <w:b/>
          <w:i w:val="0"/>
          <w:color w:val="00467F"/>
          <w:sz w:val="36"/>
        </w:rPr>
        <w:t>Section 5: Special Circumstances</w:t>
      </w:r>
    </w:p>
    <w:p>
      <w:pPr>
        <w:spacing w:before="160" w:after="40"/>
      </w:pPr>
      <w:r>
        <w:rPr>
          <w:rFonts w:ascii="Calibri" w:hAnsi="Calibri" w:eastAsia="Calibri" w:cs="Calibri"/>
          <w:b/>
          <w:i w:val="0"/>
          <w:sz w:val="22"/>
        </w:rPr>
        <w:t>Question 21: A woman with type 2 diabetes (no complications, well-controlled) requests a COC. BMI is 29. What is the UKMEC category?</w:t>
      </w:r>
    </w:p>
    <w:p>
      <w:pPr>
        <w:pStyle w:val="ListBullet"/>
        <w:spacing w:after="20"/>
        <w:ind w:left="454"/>
      </w:pPr>
      <w:r>
        <w:rPr>
          <w:rFonts w:ascii="Calibri" w:hAnsi="Calibri" w:eastAsia="Calibri" w:cs="Calibri"/>
          <w:b w:val="0"/>
          <w:i w:val="0"/>
          <w:sz w:val="21"/>
        </w:rPr>
        <w:t>A. UKMEC 1</w:t>
      </w:r>
    </w:p>
    <w:p>
      <w:pPr>
        <w:pStyle w:val="ListBullet"/>
        <w:spacing w:after="20"/>
        <w:ind w:left="454"/>
      </w:pPr>
      <w:r>
        <w:rPr>
          <w:rFonts w:ascii="Calibri" w:hAnsi="Calibri" w:eastAsia="Calibri" w:cs="Calibri"/>
          <w:b w:val="0"/>
          <w:i w:val="0"/>
          <w:sz w:val="21"/>
        </w:rPr>
        <w:t>B. UKMEC 2</w:t>
      </w:r>
    </w:p>
    <w:p>
      <w:pPr>
        <w:pStyle w:val="ListBullet"/>
        <w:spacing w:after="20"/>
        <w:ind w:left="454"/>
      </w:pPr>
      <w:r>
        <w:rPr>
          <w:rFonts w:ascii="Calibri" w:hAnsi="Calibri" w:eastAsia="Calibri" w:cs="Calibri"/>
          <w:b w:val="0"/>
          <w:i w:val="0"/>
          <w:sz w:val="21"/>
        </w:rPr>
        <w:t>C. UKMEC 3</w:t>
      </w:r>
    </w:p>
    <w:p>
      <w:pPr>
        <w:pStyle w:val="ListBullet"/>
        <w:spacing w:after="20"/>
        <w:ind w:left="454"/>
      </w:pPr>
      <w:r>
        <w:rPr>
          <w:rFonts w:ascii="Calibri" w:hAnsi="Calibri" w:eastAsia="Calibri" w:cs="Calibri"/>
          <w:b w:val="0"/>
          <w:i w:val="0"/>
          <w:sz w:val="21"/>
        </w:rPr>
        <w:t>D. UKMEC 4</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B. UKMEC 2 — Type 2 DM without vascular disease = UKMEC 2 for CHC. BMI 30-34 alone = UKMEC 2. BMI ≥35 = UKMEC 3. If multiple risk factors add up, treat cautiously.</w:t>
            </w:r>
          </w:p>
        </w:tc>
      </w:tr>
    </w:tbl>
    <w:p>
      <w:pPr>
        <w:spacing w:after="40"/>
      </w:pPr>
    </w:p>
    <w:p>
      <w:pPr>
        <w:spacing w:before="160" w:after="40"/>
      </w:pPr>
      <w:r>
        <w:rPr>
          <w:rFonts w:ascii="Calibri" w:hAnsi="Calibri" w:eastAsia="Calibri" w:cs="Calibri"/>
          <w:b/>
          <w:i w:val="0"/>
          <w:sz w:val="22"/>
        </w:rPr>
        <w:t>Question 22: A woman with a personal history of DVT wants contraception. What is safe?</w:t>
      </w:r>
    </w:p>
    <w:p>
      <w:pPr>
        <w:pStyle w:val="ListBullet"/>
        <w:spacing w:after="20"/>
        <w:ind w:left="454"/>
      </w:pPr>
      <w:r>
        <w:rPr>
          <w:rFonts w:ascii="Calibri" w:hAnsi="Calibri" w:eastAsia="Calibri" w:cs="Calibri"/>
          <w:b w:val="0"/>
          <w:i w:val="0"/>
          <w:sz w:val="21"/>
        </w:rPr>
        <w:t>A. Combined oral contraceptive pill</w:t>
      </w:r>
    </w:p>
    <w:p>
      <w:pPr>
        <w:pStyle w:val="ListBullet"/>
        <w:spacing w:after="20"/>
        <w:ind w:left="454"/>
      </w:pPr>
      <w:r>
        <w:rPr>
          <w:rFonts w:ascii="Calibri" w:hAnsi="Calibri" w:eastAsia="Calibri" w:cs="Calibri"/>
          <w:b w:val="0"/>
          <w:i w:val="0"/>
          <w:sz w:val="21"/>
        </w:rPr>
        <w:t>B. Evra patch</w:t>
      </w:r>
    </w:p>
    <w:p>
      <w:pPr>
        <w:pStyle w:val="ListBullet"/>
        <w:spacing w:after="20"/>
        <w:ind w:left="454"/>
      </w:pPr>
      <w:r>
        <w:rPr>
          <w:rFonts w:ascii="Calibri" w:hAnsi="Calibri" w:eastAsia="Calibri" w:cs="Calibri"/>
          <w:b w:val="0"/>
          <w:i w:val="0"/>
          <w:sz w:val="21"/>
        </w:rPr>
        <w:t>C. Progesterone-only pill</w:t>
      </w:r>
    </w:p>
    <w:p>
      <w:pPr>
        <w:pStyle w:val="ListBullet"/>
        <w:spacing w:after="20"/>
        <w:ind w:left="454"/>
      </w:pPr>
      <w:r>
        <w:rPr>
          <w:rFonts w:ascii="Calibri" w:hAnsi="Calibri" w:eastAsia="Calibri" w:cs="Calibri"/>
          <w:b w:val="0"/>
          <w:i w:val="0"/>
          <w:sz w:val="21"/>
        </w:rPr>
        <w:t>D. NuvaRing vaginal ring</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Progesterone-only pill — Personal history of DVT = UKMEC 4 for all CHC (COC, patch, ring). POP is UKMEC 2 (benefits generally outweigh risks). LARC methods (copper IUD, implant) are UKMEC 1.</w:t>
            </w:r>
          </w:p>
        </w:tc>
      </w:tr>
    </w:tbl>
    <w:p>
      <w:pPr>
        <w:spacing w:after="40"/>
      </w:pPr>
    </w:p>
    <w:p>
      <w:pPr>
        <w:spacing w:before="160" w:after="40"/>
      </w:pPr>
      <w:r>
        <w:rPr>
          <w:rFonts w:ascii="Calibri" w:hAnsi="Calibri" w:eastAsia="Calibri" w:cs="Calibri"/>
          <w:b/>
          <w:i w:val="0"/>
          <w:sz w:val="22"/>
        </w:rPr>
        <w:t>Question 23: A woman aged 55 is still having infrequent periods. How long should she continue contraception?</w:t>
      </w:r>
    </w:p>
    <w:p>
      <w:pPr>
        <w:pStyle w:val="ListBullet"/>
        <w:spacing w:after="20"/>
        <w:ind w:left="454"/>
      </w:pPr>
      <w:r>
        <w:rPr>
          <w:rFonts w:ascii="Calibri" w:hAnsi="Calibri" w:eastAsia="Calibri" w:cs="Calibri"/>
          <w:b w:val="0"/>
          <w:i w:val="0"/>
          <w:sz w:val="21"/>
        </w:rPr>
        <w:t>A. Until she has been amenorrhoeic for 6 months</w:t>
      </w:r>
    </w:p>
    <w:p>
      <w:pPr>
        <w:pStyle w:val="ListBullet"/>
        <w:spacing w:after="20"/>
        <w:ind w:left="454"/>
      </w:pPr>
      <w:r>
        <w:rPr>
          <w:rFonts w:ascii="Calibri" w:hAnsi="Calibri" w:eastAsia="Calibri" w:cs="Calibri"/>
          <w:b w:val="0"/>
          <w:i w:val="0"/>
          <w:sz w:val="21"/>
        </w:rPr>
        <w:t>B. Until she has been amenorrhoeic for 12 months if &gt;50 years</w:t>
      </w:r>
    </w:p>
    <w:p>
      <w:pPr>
        <w:pStyle w:val="ListBullet"/>
        <w:spacing w:after="20"/>
        <w:ind w:left="454"/>
      </w:pPr>
      <w:r>
        <w:rPr>
          <w:rFonts w:ascii="Calibri" w:hAnsi="Calibri" w:eastAsia="Calibri" w:cs="Calibri"/>
          <w:b w:val="0"/>
          <w:i w:val="0"/>
          <w:sz w:val="21"/>
        </w:rPr>
        <w:t>C. Until age 55 if on hormonal contraception, as natural fertility is assumed gone</w:t>
      </w:r>
    </w:p>
    <w:p>
      <w:pPr>
        <w:pStyle w:val="ListBullet"/>
        <w:spacing w:after="20"/>
        <w:ind w:left="454"/>
      </w:pPr>
      <w:r>
        <w:rPr>
          <w:rFonts w:ascii="Calibri" w:hAnsi="Calibri" w:eastAsia="Calibri" w:cs="Calibri"/>
          <w:b w:val="0"/>
          <w:i w:val="0"/>
          <w:sz w:val="21"/>
        </w:rPr>
        <w:t>D. Until FSH confirms menopause</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B. Until amenorrhoeic for 12 months if &gt;50 — If last period &gt;50: continue contraception for 1 year after final period. If last period &lt;50: continue for 2 years. If on hormonal contraception (masks periods): continue to age 55 (natural fertility assumed negligible). FSH unreliable on hormonal contraception.</w:t>
            </w:r>
          </w:p>
        </w:tc>
      </w:tr>
    </w:tbl>
    <w:p>
      <w:pPr>
        <w:spacing w:after="40"/>
      </w:pPr>
    </w:p>
    <w:p>
      <w:pPr>
        <w:spacing w:before="160" w:after="40"/>
      </w:pPr>
      <w:r>
        <w:rPr>
          <w:rFonts w:ascii="Calibri" w:hAnsi="Calibri" w:eastAsia="Calibri" w:cs="Calibri"/>
          <w:b/>
          <w:i w:val="0"/>
          <w:sz w:val="22"/>
        </w:rPr>
        <w:t>Question 24: NICE NG257 (March 2026) states that which medication is now first-line for ovulation induction in PCOS?</w:t>
      </w:r>
    </w:p>
    <w:p>
      <w:pPr>
        <w:pStyle w:val="ListBullet"/>
        <w:spacing w:after="20"/>
        <w:ind w:left="454"/>
      </w:pPr>
      <w:r>
        <w:rPr>
          <w:rFonts w:ascii="Calibri" w:hAnsi="Calibri" w:eastAsia="Calibri" w:cs="Calibri"/>
          <w:b w:val="0"/>
          <w:i w:val="0"/>
          <w:sz w:val="21"/>
        </w:rPr>
        <w:t>A. Clomifene citrate</w:t>
      </w:r>
    </w:p>
    <w:p>
      <w:pPr>
        <w:pStyle w:val="ListBullet"/>
        <w:spacing w:after="20"/>
        <w:ind w:left="454"/>
      </w:pPr>
      <w:r>
        <w:rPr>
          <w:rFonts w:ascii="Calibri" w:hAnsi="Calibri" w:eastAsia="Calibri" w:cs="Calibri"/>
          <w:b w:val="0"/>
          <w:i w:val="0"/>
          <w:sz w:val="21"/>
        </w:rPr>
        <w:t>B. Metformin alone</w:t>
      </w:r>
    </w:p>
    <w:p>
      <w:pPr>
        <w:pStyle w:val="ListBullet"/>
        <w:spacing w:after="20"/>
        <w:ind w:left="454"/>
      </w:pPr>
      <w:r>
        <w:rPr>
          <w:rFonts w:ascii="Calibri" w:hAnsi="Calibri" w:eastAsia="Calibri" w:cs="Calibri"/>
          <w:b w:val="0"/>
          <w:i w:val="0"/>
          <w:sz w:val="21"/>
        </w:rPr>
        <w:t>C. Letrozole</w:t>
      </w:r>
    </w:p>
    <w:p>
      <w:pPr>
        <w:pStyle w:val="ListBullet"/>
        <w:spacing w:after="20"/>
        <w:ind w:left="454"/>
      </w:pPr>
      <w:r>
        <w:rPr>
          <w:rFonts w:ascii="Calibri" w:hAnsi="Calibri" w:eastAsia="Calibri" w:cs="Calibri"/>
          <w:b w:val="0"/>
          <w:i w:val="0"/>
          <w:sz w:val="21"/>
        </w:rPr>
        <w:t>D. Tamoxifen</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C. Letrozole — NICE NG257 Fertility Problems (reviewed March 2026): Letrozole is now first-line for ovulation induction in PCOS, replacing clomifene. Letrozole is an aromatase inhibitor; it has a lower multiple pregnancy rate.</w:t>
            </w:r>
          </w:p>
        </w:tc>
      </w:tr>
    </w:tbl>
    <w:p>
      <w:pPr>
        <w:spacing w:after="40"/>
      </w:pPr>
    </w:p>
    <w:p>
      <w:pPr>
        <w:spacing w:before="160" w:after="40"/>
      </w:pPr>
      <w:r>
        <w:rPr>
          <w:rFonts w:ascii="Calibri" w:hAnsi="Calibri" w:eastAsia="Calibri" w:cs="Calibri"/>
          <w:b/>
          <w:i w:val="0"/>
          <w:sz w:val="22"/>
        </w:rPr>
        <w:t>Question 25: A 14-year-old attends requesting the COC without parental knowledge. She understands the risks. What framework applies?</w:t>
      </w:r>
    </w:p>
    <w:p>
      <w:pPr>
        <w:pStyle w:val="ListBullet"/>
        <w:spacing w:after="20"/>
        <w:ind w:left="454"/>
      </w:pPr>
      <w:r>
        <w:rPr>
          <w:rFonts w:ascii="Calibri" w:hAnsi="Calibri" w:eastAsia="Calibri" w:cs="Calibri"/>
          <w:b w:val="0"/>
          <w:i w:val="0"/>
          <w:sz w:val="21"/>
        </w:rPr>
        <w:t>A. Competence cannot be assessed in someone under 16 — parental consent required</w:t>
      </w:r>
    </w:p>
    <w:p>
      <w:pPr>
        <w:pStyle w:val="ListBullet"/>
        <w:spacing w:after="20"/>
        <w:ind w:left="454"/>
      </w:pPr>
      <w:r>
        <w:rPr>
          <w:rFonts w:ascii="Calibri" w:hAnsi="Calibri" w:eastAsia="Calibri" w:cs="Calibri"/>
          <w:b w:val="0"/>
          <w:i w:val="0"/>
          <w:sz w:val="21"/>
        </w:rPr>
        <w:t>B. Gillick/Fraser competence — if she meets the criteria, she can consent</w:t>
      </w:r>
    </w:p>
    <w:p>
      <w:pPr>
        <w:pStyle w:val="ListBullet"/>
        <w:spacing w:after="20"/>
        <w:ind w:left="454"/>
      </w:pPr>
      <w:r>
        <w:rPr>
          <w:rFonts w:ascii="Calibri" w:hAnsi="Calibri" w:eastAsia="Calibri" w:cs="Calibri"/>
          <w:b w:val="0"/>
          <w:i w:val="0"/>
          <w:sz w:val="21"/>
        </w:rPr>
        <w:t>C. She must be referred to a specialist</w:t>
      </w:r>
    </w:p>
    <w:p>
      <w:pPr>
        <w:pStyle w:val="ListBullet"/>
        <w:spacing w:after="20"/>
        <w:ind w:left="454"/>
      </w:pPr>
      <w:r>
        <w:rPr>
          <w:rFonts w:ascii="Calibri" w:hAnsi="Calibri" w:eastAsia="Calibri" w:cs="Calibri"/>
          <w:b w:val="0"/>
          <w:i w:val="0"/>
          <w:sz w:val="21"/>
        </w:rPr>
        <w:t>D. Contraception cannot be prescribed under age 16 in the UK</w:t>
      </w:r>
    </w:p>
    <w:tbl>
      <w:tblPr>
        <w:tblW w:type="auto" w:w="0"/>
        <w:jc w:val="center"/>
        <w:tblLook w:firstColumn="1" w:firstRow="1" w:lastColumn="0" w:lastRow="0" w:noHBand="0" w:noVBand="1" w:val="04A0"/>
      </w:tblPr>
      <w:tblGrid>
        <w:gridCol w:w="9029"/>
      </w:tblGrid>
      <w:tr>
        <w:tc>
          <w:tcPr>
            <w:tcW w:type="dxa" w:w="9029"/>
            <w:shd w:val="clear" w:color="auto" w:fill="E3EFF9"/>
          </w:tcPr>
          <w:p>
            <w:pPr>
              <w:spacing w:before="80" w:after="80"/>
            </w:pPr>
            <w:r>
              <w:rPr>
                <w:rFonts w:ascii="Calibri" w:hAnsi="Calibri" w:eastAsia="Calibri" w:cs="Calibri"/>
                <w:b/>
                <w:i w:val="0"/>
                <w:color w:val="00467F"/>
                <w:sz w:val="21"/>
              </w:rPr>
              <w:t xml:space="preserve">ANSWER: </w:t>
            </w:r>
            <w:r>
              <w:rPr>
                <w:rFonts w:ascii="Calibri" w:hAnsi="Calibri" w:eastAsia="Calibri" w:cs="Calibri"/>
                <w:b w:val="0"/>
                <w:i w:val="0"/>
                <w:sz w:val="21"/>
              </w:rPr>
              <w:t>B. Gillick/Fraser competence — Under 16s can consent to contraception if they are Gillick competent (understand information, cannot be persuaded to involve parent, will have sex with or without contraception, and physical/mental health will suffer without it). Document carefully. Also consider safeguarding — is this a consensual relationship?</w:t>
            </w:r>
          </w:p>
        </w:tc>
      </w:tr>
    </w:tbl>
    <w:p>
      <w:pPr>
        <w:spacing w:after="40"/>
      </w:pPr>
    </w:p>
    <w:p/>
    <w:tbl>
      <w:tblPr>
        <w:tblW w:type="auto" w:w="0"/>
        <w:jc w:val="center"/>
        <w:tblLook w:firstColumn="1" w:firstRow="1" w:lastColumn="0" w:lastRow="0" w:noHBand="0" w:noVBand="1" w:val="04A0"/>
      </w:tblPr>
      <w:tblGrid>
        <w:gridCol w:w="9029"/>
      </w:tblGrid>
      <w:tr>
        <w:tc>
          <w:tcPr>
            <w:tcW w:type="dxa" w:w="9029"/>
            <w:shd w:val="clear" w:color="auto" w:fill="FFF3CD"/>
          </w:tcPr>
          <w:p>
            <w:pPr>
              <w:spacing w:before="80" w:after="80"/>
            </w:pPr>
            <w:r>
              <w:rPr>
                <w:rFonts w:ascii="Calibri" w:hAnsi="Calibri" w:eastAsia="Calibri" w:cs="Calibri"/>
                <w:b w:val="0"/>
                <w:i w:val="0"/>
                <w:sz w:val="21"/>
              </w:rPr>
              <w:t>DISCLAIMER: Always double check this advice and drug doses with the latest NICE/BNF guidance. This document is for educational purposes only.</w:t>
            </w:r>
          </w:p>
        </w:tc>
      </w:tr>
    </w:tbl>
    <w:p>
      <w:pPr>
        <w:spacing w:after="80"/>
      </w:pPr>
    </w:p>
    <w:p/>
    <w:p>
      <w:pPr>
        <w:spacing w:before="120"/>
      </w:pPr>
      <w:r>
        <w:rPr>
          <w:rFonts w:ascii="Calibri" w:hAnsi="Calibri" w:eastAsia="Calibri" w:cs="Calibri"/>
          <w:b w:val="0"/>
          <w:i/>
          <w:color w:val="646464"/>
          <w:sz w:val="18"/>
        </w:rPr>
        <w:t>A free resource provided by www.bradfordvts.co.uk, Dr Ramesh Mehay, original date unknown, revised May 2026</w:t>
      </w:r>
    </w:p>
    <w:sectPr w:rsidR="00FC693F" w:rsidRPr="0006063C"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