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D26E0" w14:textId="77777777" w:rsidR="00FC7D14" w:rsidRDefault="00000000">
      <w:pPr>
        <w:shd w:val="clear" w:color="auto" w:fill="E0651F"/>
        <w:spacing w:after="40"/>
        <w:jc w:val="center"/>
      </w:pPr>
      <w:r>
        <w:rPr>
          <w:b/>
          <w:caps/>
          <w:color w:val="FFFFFF"/>
          <w:sz w:val="20"/>
        </w:rPr>
        <w:t>BRADFORD VTS TEACHING AIDS</w:t>
      </w:r>
    </w:p>
    <w:p w14:paraId="3329049E" w14:textId="77777777" w:rsidR="00FC7D14" w:rsidRDefault="00000000">
      <w:pPr>
        <w:shd w:val="clear" w:color="auto" w:fill="E0651F"/>
        <w:spacing w:before="80" w:after="80"/>
        <w:jc w:val="center"/>
      </w:pPr>
      <w:r>
        <w:rPr>
          <w:b/>
          <w:color w:val="FFFFFF"/>
          <w:sz w:val="52"/>
        </w:rPr>
        <w:t>Wells Score for PE</w:t>
      </w:r>
    </w:p>
    <w:p w14:paraId="47A2DF70" w14:textId="77777777" w:rsidR="00FC7D14" w:rsidRDefault="00000000">
      <w:pPr>
        <w:shd w:val="clear" w:color="auto" w:fill="E0651F"/>
        <w:spacing w:before="40" w:after="160"/>
        <w:jc w:val="center"/>
      </w:pPr>
      <w:r>
        <w:rPr>
          <w:i/>
          <w:color w:val="FFFFFF"/>
          <w:sz w:val="24"/>
        </w:rPr>
        <w:t>Quick Reference Card | NICE NG158 (Reviewed May 2026) | Bradford VTS</w:t>
      </w:r>
    </w:p>
    <w:p w14:paraId="4E62B4D0" w14:textId="77777777" w:rsidR="00FC7D14" w:rsidRDefault="00000000">
      <w:pPr>
        <w:spacing w:before="40" w:after="80"/>
      </w:pPr>
      <w:r>
        <w:rPr>
          <w:color w:val="787878"/>
        </w:rPr>
        <w:t>Created May 2026. Reference: NICE NG158 — Venous Thromboembolic Diseases (reviewed May 2026). DOACs are first-line for PE confirmed on CTPA.</w:t>
      </w:r>
    </w:p>
    <w:p w14:paraId="3BBF6355" w14:textId="77777777" w:rsidR="00FC7D14" w:rsidRDefault="00000000">
      <w:pPr>
        <w:spacing w:before="240" w:after="80"/>
      </w:pPr>
      <w:r>
        <w:rPr>
          <w:b/>
          <w:color w:val="003366"/>
          <w:sz w:val="32"/>
        </w:rPr>
        <w:t>1. Two-Level Wells Score for PE (NICE NG158)</w:t>
      </w:r>
    </w:p>
    <w:p w14:paraId="38529091" w14:textId="77777777" w:rsidR="00FC7D14" w:rsidRDefault="00000000">
      <w:pPr>
        <w:spacing w:before="40" w:after="80"/>
      </w:pPr>
      <w:r>
        <w:rPr>
          <w:color w:val="000000"/>
        </w:rPr>
        <w:t>The 2-level Wells score stratifies patients into "PE likely" or "PE unlikely" and determines whether to proceed directly to CTPA or to D-dimer testing first.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6"/>
        <w:gridCol w:w="4986"/>
      </w:tblGrid>
      <w:tr w:rsidR="00FC7D14" w14:paraId="5A7DA7E6" w14:textId="77777777">
        <w:tc>
          <w:tcPr>
            <w:tcW w:w="4986" w:type="dxa"/>
            <w:shd w:val="clear" w:color="auto" w:fill="003366"/>
          </w:tcPr>
          <w:p w14:paraId="5280D89A" w14:textId="77777777" w:rsidR="00FC7D14" w:rsidRDefault="00000000">
            <w:r>
              <w:rPr>
                <w:b/>
                <w:color w:val="FFFFFF"/>
              </w:rPr>
              <w:t>Clinical Feature</w:t>
            </w:r>
          </w:p>
        </w:tc>
        <w:tc>
          <w:tcPr>
            <w:tcW w:w="4986" w:type="dxa"/>
            <w:shd w:val="clear" w:color="auto" w:fill="003366"/>
          </w:tcPr>
          <w:p w14:paraId="34026230" w14:textId="77777777" w:rsidR="00FC7D14" w:rsidRDefault="00000000">
            <w:r>
              <w:rPr>
                <w:b/>
                <w:color w:val="FFFFFF"/>
              </w:rPr>
              <w:t>Points</w:t>
            </w:r>
          </w:p>
        </w:tc>
      </w:tr>
      <w:tr w:rsidR="00FC7D14" w14:paraId="44B4E515" w14:textId="77777777">
        <w:tc>
          <w:tcPr>
            <w:tcW w:w="4986" w:type="dxa"/>
            <w:shd w:val="clear" w:color="auto" w:fill="F5F5F5"/>
          </w:tcPr>
          <w:p w14:paraId="219F01F1" w14:textId="77777777" w:rsidR="00FC7D14" w:rsidRDefault="00000000">
            <w:r>
              <w:rPr>
                <w:sz w:val="20"/>
              </w:rPr>
              <w:t>Clinical signs and symptoms of DVT (leg swelling, tenderness over deep veins)</w:t>
            </w:r>
          </w:p>
        </w:tc>
        <w:tc>
          <w:tcPr>
            <w:tcW w:w="4986" w:type="dxa"/>
            <w:shd w:val="clear" w:color="auto" w:fill="F5F5F5"/>
          </w:tcPr>
          <w:p w14:paraId="6C1A36CA" w14:textId="77777777" w:rsidR="00FC7D14" w:rsidRDefault="00000000">
            <w:r>
              <w:rPr>
                <w:sz w:val="20"/>
              </w:rPr>
              <w:t>3</w:t>
            </w:r>
          </w:p>
        </w:tc>
      </w:tr>
      <w:tr w:rsidR="00FC7D14" w14:paraId="4C618BA0" w14:textId="77777777">
        <w:tc>
          <w:tcPr>
            <w:tcW w:w="4986" w:type="dxa"/>
            <w:shd w:val="clear" w:color="auto" w:fill="FFFFFF"/>
          </w:tcPr>
          <w:p w14:paraId="6AC540A6" w14:textId="77777777" w:rsidR="00FC7D14" w:rsidRDefault="00000000">
            <w:r>
              <w:rPr>
                <w:sz w:val="20"/>
              </w:rPr>
              <w:t>Alternative diagnosis is LESS likely than PE</w:t>
            </w:r>
          </w:p>
        </w:tc>
        <w:tc>
          <w:tcPr>
            <w:tcW w:w="4986" w:type="dxa"/>
            <w:shd w:val="clear" w:color="auto" w:fill="FFFFFF"/>
          </w:tcPr>
          <w:p w14:paraId="2C4E2155" w14:textId="77777777" w:rsidR="00FC7D14" w:rsidRDefault="00000000">
            <w:r>
              <w:rPr>
                <w:sz w:val="20"/>
              </w:rPr>
              <w:t>3</w:t>
            </w:r>
          </w:p>
        </w:tc>
      </w:tr>
      <w:tr w:rsidR="00FC7D14" w14:paraId="0BF3084C" w14:textId="77777777">
        <w:tc>
          <w:tcPr>
            <w:tcW w:w="4986" w:type="dxa"/>
            <w:shd w:val="clear" w:color="auto" w:fill="F5F5F5"/>
          </w:tcPr>
          <w:p w14:paraId="5536597B" w14:textId="77777777" w:rsidR="00FC7D14" w:rsidRDefault="00000000">
            <w:r>
              <w:rPr>
                <w:sz w:val="20"/>
              </w:rPr>
              <w:t>Heart rate &gt; 100 bpm</w:t>
            </w:r>
          </w:p>
        </w:tc>
        <w:tc>
          <w:tcPr>
            <w:tcW w:w="4986" w:type="dxa"/>
            <w:shd w:val="clear" w:color="auto" w:fill="F5F5F5"/>
          </w:tcPr>
          <w:p w14:paraId="2113B427" w14:textId="77777777" w:rsidR="00FC7D14" w:rsidRDefault="00000000">
            <w:r>
              <w:rPr>
                <w:sz w:val="20"/>
              </w:rPr>
              <w:t>1.5</w:t>
            </w:r>
          </w:p>
        </w:tc>
      </w:tr>
      <w:tr w:rsidR="00FC7D14" w14:paraId="5B36E488" w14:textId="77777777">
        <w:tc>
          <w:tcPr>
            <w:tcW w:w="4986" w:type="dxa"/>
            <w:shd w:val="clear" w:color="auto" w:fill="FFFFFF"/>
          </w:tcPr>
          <w:p w14:paraId="05921412" w14:textId="77777777" w:rsidR="00FC7D14" w:rsidRDefault="00000000">
            <w:r>
              <w:rPr>
                <w:sz w:val="20"/>
              </w:rPr>
              <w:t>Immobilisation for more than 3 days OR surgery in the previous 4 weeks</w:t>
            </w:r>
          </w:p>
        </w:tc>
        <w:tc>
          <w:tcPr>
            <w:tcW w:w="4986" w:type="dxa"/>
            <w:shd w:val="clear" w:color="auto" w:fill="FFFFFF"/>
          </w:tcPr>
          <w:p w14:paraId="50189C74" w14:textId="77777777" w:rsidR="00FC7D14" w:rsidRDefault="00000000">
            <w:r>
              <w:rPr>
                <w:sz w:val="20"/>
              </w:rPr>
              <w:t>1.5</w:t>
            </w:r>
          </w:p>
        </w:tc>
      </w:tr>
      <w:tr w:rsidR="00FC7D14" w14:paraId="63A6722C" w14:textId="77777777">
        <w:tc>
          <w:tcPr>
            <w:tcW w:w="4986" w:type="dxa"/>
            <w:shd w:val="clear" w:color="auto" w:fill="F5F5F5"/>
          </w:tcPr>
          <w:p w14:paraId="63EA1FCD" w14:textId="77777777" w:rsidR="00FC7D14" w:rsidRDefault="00000000">
            <w:r>
              <w:rPr>
                <w:sz w:val="20"/>
              </w:rPr>
              <w:t>Previous objectively diagnosed DVT or PE</w:t>
            </w:r>
          </w:p>
        </w:tc>
        <w:tc>
          <w:tcPr>
            <w:tcW w:w="4986" w:type="dxa"/>
            <w:shd w:val="clear" w:color="auto" w:fill="F5F5F5"/>
          </w:tcPr>
          <w:p w14:paraId="27D2F8FB" w14:textId="77777777" w:rsidR="00FC7D14" w:rsidRDefault="00000000">
            <w:r>
              <w:rPr>
                <w:sz w:val="20"/>
              </w:rPr>
              <w:t>1.5</w:t>
            </w:r>
          </w:p>
        </w:tc>
      </w:tr>
      <w:tr w:rsidR="00FC7D14" w14:paraId="1C5818A8" w14:textId="77777777">
        <w:tc>
          <w:tcPr>
            <w:tcW w:w="4986" w:type="dxa"/>
            <w:shd w:val="clear" w:color="auto" w:fill="FFFFFF"/>
          </w:tcPr>
          <w:p w14:paraId="0376FCA5" w14:textId="77777777" w:rsidR="00FC7D14" w:rsidRDefault="00000000">
            <w:r>
              <w:rPr>
                <w:sz w:val="20"/>
              </w:rPr>
              <w:t>Haemoptysis</w:t>
            </w:r>
          </w:p>
        </w:tc>
        <w:tc>
          <w:tcPr>
            <w:tcW w:w="4986" w:type="dxa"/>
            <w:shd w:val="clear" w:color="auto" w:fill="FFFFFF"/>
          </w:tcPr>
          <w:p w14:paraId="06C706AF" w14:textId="77777777" w:rsidR="00FC7D14" w:rsidRDefault="00000000">
            <w:r>
              <w:rPr>
                <w:sz w:val="20"/>
              </w:rPr>
              <w:t>1</w:t>
            </w:r>
          </w:p>
        </w:tc>
      </w:tr>
      <w:tr w:rsidR="00FC7D14" w14:paraId="3734E471" w14:textId="77777777">
        <w:tc>
          <w:tcPr>
            <w:tcW w:w="4986" w:type="dxa"/>
            <w:shd w:val="clear" w:color="auto" w:fill="F5F5F5"/>
          </w:tcPr>
          <w:p w14:paraId="7AB69788" w14:textId="77777777" w:rsidR="00FC7D14" w:rsidRDefault="00000000">
            <w:r>
              <w:rPr>
                <w:sz w:val="20"/>
              </w:rPr>
              <w:t>Active malignancy (treatment within 6 months, or palliative)</w:t>
            </w:r>
          </w:p>
        </w:tc>
        <w:tc>
          <w:tcPr>
            <w:tcW w:w="4986" w:type="dxa"/>
            <w:shd w:val="clear" w:color="auto" w:fill="F5F5F5"/>
          </w:tcPr>
          <w:p w14:paraId="49E02694" w14:textId="77777777" w:rsidR="00FC7D14" w:rsidRDefault="00000000">
            <w:r>
              <w:rPr>
                <w:sz w:val="20"/>
              </w:rPr>
              <w:t>1</w:t>
            </w:r>
          </w:p>
        </w:tc>
      </w:tr>
      <w:tr w:rsidR="00FC7D14" w14:paraId="10DD87C8" w14:textId="77777777">
        <w:tc>
          <w:tcPr>
            <w:tcW w:w="4986" w:type="dxa"/>
            <w:shd w:val="clear" w:color="auto" w:fill="FFFFFF"/>
          </w:tcPr>
          <w:p w14:paraId="032C9361" w14:textId="77777777" w:rsidR="00FC7D14" w:rsidRDefault="00000000">
            <w:r>
              <w:rPr>
                <w:sz w:val="20"/>
              </w:rPr>
              <w:t>MAXIMUM POSSIBLE SCORE</w:t>
            </w:r>
          </w:p>
        </w:tc>
        <w:tc>
          <w:tcPr>
            <w:tcW w:w="4986" w:type="dxa"/>
            <w:shd w:val="clear" w:color="auto" w:fill="FFFFFF"/>
          </w:tcPr>
          <w:p w14:paraId="601E98EC" w14:textId="77777777" w:rsidR="00FC7D14" w:rsidRDefault="00000000">
            <w:r>
              <w:rPr>
                <w:sz w:val="20"/>
              </w:rPr>
              <w:t>12</w:t>
            </w:r>
          </w:p>
        </w:tc>
      </w:tr>
    </w:tbl>
    <w:p w14:paraId="1DAEB94F" w14:textId="77777777" w:rsidR="00FC7D14" w:rsidRDefault="00FC7D14"/>
    <w:p w14:paraId="5307C146" w14:textId="77777777" w:rsidR="00FC7D14" w:rsidRDefault="00000000">
      <w:pPr>
        <w:spacing w:before="240" w:after="80"/>
      </w:pPr>
      <w:r>
        <w:rPr>
          <w:b/>
          <w:color w:val="003366"/>
          <w:sz w:val="32"/>
        </w:rPr>
        <w:t>2. Score Interpretation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3"/>
        <w:gridCol w:w="2493"/>
        <w:gridCol w:w="2493"/>
        <w:gridCol w:w="2493"/>
      </w:tblGrid>
      <w:tr w:rsidR="00FC7D14" w14:paraId="22F8B8F0" w14:textId="77777777">
        <w:tc>
          <w:tcPr>
            <w:tcW w:w="2493" w:type="dxa"/>
            <w:shd w:val="clear" w:color="auto" w:fill="E0651F"/>
          </w:tcPr>
          <w:p w14:paraId="6B8E6F65" w14:textId="77777777" w:rsidR="00FC7D14" w:rsidRDefault="00000000">
            <w:r>
              <w:rPr>
                <w:b/>
                <w:color w:val="FFFFFF"/>
              </w:rPr>
              <w:t>Score</w:t>
            </w:r>
          </w:p>
        </w:tc>
        <w:tc>
          <w:tcPr>
            <w:tcW w:w="2493" w:type="dxa"/>
            <w:shd w:val="clear" w:color="auto" w:fill="E0651F"/>
          </w:tcPr>
          <w:p w14:paraId="52547525" w14:textId="77777777" w:rsidR="00FC7D14" w:rsidRDefault="00000000">
            <w:r>
              <w:rPr>
                <w:b/>
                <w:color w:val="FFFFFF"/>
              </w:rPr>
              <w:t>Category</w:t>
            </w:r>
          </w:p>
        </w:tc>
        <w:tc>
          <w:tcPr>
            <w:tcW w:w="2493" w:type="dxa"/>
            <w:shd w:val="clear" w:color="auto" w:fill="E0651F"/>
          </w:tcPr>
          <w:p w14:paraId="0D1EE53C" w14:textId="77777777" w:rsidR="00FC7D14" w:rsidRDefault="00000000">
            <w:r>
              <w:rPr>
                <w:b/>
                <w:color w:val="FFFFFF"/>
              </w:rPr>
              <w:t>Clinical Meaning</w:t>
            </w:r>
          </w:p>
        </w:tc>
        <w:tc>
          <w:tcPr>
            <w:tcW w:w="2493" w:type="dxa"/>
            <w:shd w:val="clear" w:color="auto" w:fill="E0651F"/>
          </w:tcPr>
          <w:p w14:paraId="754CEBA3" w14:textId="77777777" w:rsidR="00FC7D14" w:rsidRDefault="00000000">
            <w:r>
              <w:rPr>
                <w:b/>
                <w:color w:val="FFFFFF"/>
              </w:rPr>
              <w:t>Next Step</w:t>
            </w:r>
          </w:p>
        </w:tc>
      </w:tr>
      <w:tr w:rsidR="00FC7D14" w14:paraId="0E4EABC3" w14:textId="77777777">
        <w:tc>
          <w:tcPr>
            <w:tcW w:w="2493" w:type="dxa"/>
            <w:shd w:val="clear" w:color="auto" w:fill="F5F5F5"/>
          </w:tcPr>
          <w:p w14:paraId="3ADB983E" w14:textId="77777777" w:rsidR="00FC7D14" w:rsidRDefault="00000000">
            <w:r>
              <w:rPr>
                <w:sz w:val="20"/>
              </w:rPr>
              <w:t>4 or below</w:t>
            </w:r>
          </w:p>
        </w:tc>
        <w:tc>
          <w:tcPr>
            <w:tcW w:w="2493" w:type="dxa"/>
            <w:shd w:val="clear" w:color="auto" w:fill="F5F5F5"/>
          </w:tcPr>
          <w:p w14:paraId="156C6030" w14:textId="77777777" w:rsidR="00FC7D14" w:rsidRDefault="00000000">
            <w:r>
              <w:rPr>
                <w:sz w:val="20"/>
              </w:rPr>
              <w:t>PE UNLIKELY</w:t>
            </w:r>
          </w:p>
        </w:tc>
        <w:tc>
          <w:tcPr>
            <w:tcW w:w="2493" w:type="dxa"/>
            <w:shd w:val="clear" w:color="auto" w:fill="F5F5F5"/>
          </w:tcPr>
          <w:p w14:paraId="79B2C6DC" w14:textId="77777777" w:rsidR="00FC7D14" w:rsidRDefault="00000000">
            <w:r>
              <w:rPr>
                <w:sz w:val="20"/>
              </w:rPr>
              <w:t>Pre-test probability low</w:t>
            </w:r>
          </w:p>
        </w:tc>
        <w:tc>
          <w:tcPr>
            <w:tcW w:w="2493" w:type="dxa"/>
            <w:shd w:val="clear" w:color="auto" w:fill="F5F5F5"/>
          </w:tcPr>
          <w:p w14:paraId="5A83D351" w14:textId="77777777" w:rsidR="00FC7D14" w:rsidRDefault="00000000">
            <w:r>
              <w:rPr>
                <w:sz w:val="20"/>
              </w:rPr>
              <w:t>Perform D-dimer. If negative: PE excluded. If positive: proceed to CTPA.</w:t>
            </w:r>
          </w:p>
        </w:tc>
      </w:tr>
      <w:tr w:rsidR="00FC7D14" w14:paraId="7D3C847D" w14:textId="77777777">
        <w:tc>
          <w:tcPr>
            <w:tcW w:w="2493" w:type="dxa"/>
            <w:shd w:val="clear" w:color="auto" w:fill="FFFFFF"/>
          </w:tcPr>
          <w:p w14:paraId="7B200970" w14:textId="77777777" w:rsidR="00FC7D14" w:rsidRDefault="00000000">
            <w:r>
              <w:rPr>
                <w:sz w:val="20"/>
              </w:rPr>
              <w:t>Above 4</w:t>
            </w:r>
          </w:p>
        </w:tc>
        <w:tc>
          <w:tcPr>
            <w:tcW w:w="2493" w:type="dxa"/>
            <w:shd w:val="clear" w:color="auto" w:fill="FFFFFF"/>
          </w:tcPr>
          <w:p w14:paraId="17171755" w14:textId="77777777" w:rsidR="00FC7D14" w:rsidRDefault="00000000">
            <w:r>
              <w:rPr>
                <w:sz w:val="20"/>
              </w:rPr>
              <w:t>PE LIKELY</w:t>
            </w:r>
          </w:p>
        </w:tc>
        <w:tc>
          <w:tcPr>
            <w:tcW w:w="2493" w:type="dxa"/>
            <w:shd w:val="clear" w:color="auto" w:fill="FFFFFF"/>
          </w:tcPr>
          <w:p w14:paraId="6BE6E547" w14:textId="77777777" w:rsidR="00FC7D14" w:rsidRDefault="00000000">
            <w:r>
              <w:rPr>
                <w:sz w:val="20"/>
              </w:rPr>
              <w:t>Pre-test probability high</w:t>
            </w:r>
          </w:p>
        </w:tc>
        <w:tc>
          <w:tcPr>
            <w:tcW w:w="2493" w:type="dxa"/>
            <w:shd w:val="clear" w:color="auto" w:fill="FFFFFF"/>
          </w:tcPr>
          <w:p w14:paraId="13F6C6FD" w14:textId="77777777" w:rsidR="00FC7D14" w:rsidRDefault="00000000">
            <w:r>
              <w:rPr>
                <w:sz w:val="20"/>
              </w:rPr>
              <w:t>Do NOT do D-dimer. Arrange CTPA urgently. Start interim anticoagulation if delay &gt;4 hours.</w:t>
            </w:r>
          </w:p>
        </w:tc>
      </w:tr>
    </w:tbl>
    <w:p w14:paraId="15B3B28A" w14:textId="77777777" w:rsidR="00FC7D14" w:rsidRDefault="00FC7D1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FC7D14" w14:paraId="6C73399E" w14:textId="77777777">
        <w:tc>
          <w:tcPr>
            <w:tcW w:w="9972" w:type="dxa"/>
            <w:shd w:val="clear" w:color="auto" w:fill="003366"/>
          </w:tcPr>
          <w:p w14:paraId="29D506D1" w14:textId="77777777" w:rsidR="00FC7D14" w:rsidRDefault="00000000">
            <w:r>
              <w:rPr>
                <w:b/>
                <w:color w:val="FFFFFF"/>
                <w:sz w:val="24"/>
              </w:rPr>
              <w:t>D-Dimer Notes</w:t>
            </w:r>
          </w:p>
        </w:tc>
      </w:tr>
      <w:tr w:rsidR="00FC7D14" w14:paraId="26E848BF" w14:textId="77777777">
        <w:tc>
          <w:tcPr>
            <w:tcW w:w="9972" w:type="dxa"/>
            <w:shd w:val="clear" w:color="auto" w:fill="FFFFFF"/>
          </w:tcPr>
          <w:p w14:paraId="1B765D5C" w14:textId="77777777" w:rsidR="00FC7D14" w:rsidRDefault="00000000">
            <w:r>
              <w:rPr>
                <w:color w:val="000000"/>
              </w:rPr>
              <w:t>A negative D-dimer (below assay threshold) in a "PE unlikely" patient safely excludes PE without imaging.</w:t>
            </w:r>
          </w:p>
        </w:tc>
      </w:tr>
      <w:tr w:rsidR="00FC7D14" w14:paraId="60DBF44E" w14:textId="77777777">
        <w:tc>
          <w:tcPr>
            <w:tcW w:w="9972" w:type="dxa"/>
            <w:shd w:val="clear" w:color="auto" w:fill="FFFFFF"/>
          </w:tcPr>
          <w:p w14:paraId="383B9550" w14:textId="77777777" w:rsidR="00FC7D14" w:rsidRDefault="00000000">
            <w:r>
              <w:rPr>
                <w:color w:val="000000"/>
              </w:rPr>
              <w:t>D-dimer is POSITIVE in many conditions: infection, cancer, pregnancy, recent surgery, DVT, disseminated intravascular coagulation.</w:t>
            </w:r>
          </w:p>
        </w:tc>
      </w:tr>
      <w:tr w:rsidR="00FC7D14" w14:paraId="13B4E17F" w14:textId="77777777">
        <w:tc>
          <w:tcPr>
            <w:tcW w:w="9972" w:type="dxa"/>
            <w:shd w:val="clear" w:color="auto" w:fill="FFFFFF"/>
          </w:tcPr>
          <w:p w14:paraId="713830CB" w14:textId="77777777" w:rsidR="00FC7D14" w:rsidRDefault="00000000">
            <w:r>
              <w:rPr>
                <w:color w:val="000000"/>
              </w:rPr>
              <w:t>D-dimer is NOT used if Wells score is above 4 (PE likely) — false negatives can occur in massive PE.</w:t>
            </w:r>
          </w:p>
        </w:tc>
      </w:tr>
      <w:tr w:rsidR="00FC7D14" w14:paraId="0EE22173" w14:textId="77777777">
        <w:tc>
          <w:tcPr>
            <w:tcW w:w="9972" w:type="dxa"/>
            <w:shd w:val="clear" w:color="auto" w:fill="FFFFFF"/>
          </w:tcPr>
          <w:p w14:paraId="1D3B8175" w14:textId="77777777" w:rsidR="00FC7D14" w:rsidRDefault="00000000">
            <w:r>
              <w:rPr>
                <w:color w:val="000000"/>
              </w:rPr>
              <w:t>Age-adjusted D-dimer threshold: some centres use (age x 10) mcg/L in patients over 50 years — check local laboratory threshold.</w:t>
            </w:r>
          </w:p>
        </w:tc>
      </w:tr>
    </w:tbl>
    <w:p w14:paraId="1429F83F" w14:textId="77777777" w:rsidR="00FC7D14" w:rsidRDefault="00FC7D14"/>
    <w:p w14:paraId="527BA626" w14:textId="77777777" w:rsidR="00782397" w:rsidRDefault="00782397">
      <w:pPr>
        <w:rPr>
          <w:b/>
          <w:color w:val="003366"/>
          <w:sz w:val="32"/>
        </w:rPr>
      </w:pPr>
      <w:r>
        <w:rPr>
          <w:b/>
          <w:color w:val="003366"/>
          <w:sz w:val="32"/>
        </w:rPr>
        <w:br w:type="page"/>
      </w:r>
    </w:p>
    <w:p w14:paraId="29253698" w14:textId="68CE6EC0" w:rsidR="00FC7D14" w:rsidRDefault="00000000">
      <w:pPr>
        <w:spacing w:before="240" w:after="80"/>
      </w:pPr>
      <w:r>
        <w:rPr>
          <w:b/>
          <w:color w:val="003366"/>
          <w:sz w:val="32"/>
        </w:rPr>
        <w:lastRenderedPageBreak/>
        <w:t>3. Investigation and Treatment Pathway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4"/>
        <w:gridCol w:w="3324"/>
        <w:gridCol w:w="3324"/>
      </w:tblGrid>
      <w:tr w:rsidR="00FC7D14" w14:paraId="26C33A36" w14:textId="77777777">
        <w:tc>
          <w:tcPr>
            <w:tcW w:w="3324" w:type="dxa"/>
            <w:shd w:val="clear" w:color="auto" w:fill="003366"/>
          </w:tcPr>
          <w:p w14:paraId="13AC376B" w14:textId="77777777" w:rsidR="00FC7D14" w:rsidRDefault="00000000">
            <w:r>
              <w:rPr>
                <w:b/>
                <w:color w:val="FFFFFF"/>
              </w:rPr>
              <w:t>Scenario</w:t>
            </w:r>
          </w:p>
        </w:tc>
        <w:tc>
          <w:tcPr>
            <w:tcW w:w="3324" w:type="dxa"/>
            <w:shd w:val="clear" w:color="auto" w:fill="003366"/>
          </w:tcPr>
          <w:p w14:paraId="50D6C150" w14:textId="77777777" w:rsidR="00FC7D14" w:rsidRDefault="00000000">
            <w:r>
              <w:rPr>
                <w:b/>
                <w:color w:val="FFFFFF"/>
              </w:rPr>
              <w:t>Investigation</w:t>
            </w:r>
          </w:p>
        </w:tc>
        <w:tc>
          <w:tcPr>
            <w:tcW w:w="3324" w:type="dxa"/>
            <w:shd w:val="clear" w:color="auto" w:fill="003366"/>
          </w:tcPr>
          <w:p w14:paraId="59C2F1CD" w14:textId="77777777" w:rsidR="00FC7D14" w:rsidRDefault="00000000">
            <w:r>
              <w:rPr>
                <w:b/>
                <w:color w:val="FFFFFF"/>
              </w:rPr>
              <w:t>Treatment</w:t>
            </w:r>
          </w:p>
        </w:tc>
      </w:tr>
      <w:tr w:rsidR="00FC7D14" w14:paraId="24C8147B" w14:textId="77777777">
        <w:tc>
          <w:tcPr>
            <w:tcW w:w="3324" w:type="dxa"/>
            <w:shd w:val="clear" w:color="auto" w:fill="F5F5F5"/>
          </w:tcPr>
          <w:p w14:paraId="2A9D034F" w14:textId="77777777" w:rsidR="00FC7D14" w:rsidRDefault="00000000">
            <w:r>
              <w:rPr>
                <w:sz w:val="20"/>
              </w:rPr>
              <w:t>Wells 4 or below + D-dimer negative</w:t>
            </w:r>
          </w:p>
        </w:tc>
        <w:tc>
          <w:tcPr>
            <w:tcW w:w="3324" w:type="dxa"/>
            <w:shd w:val="clear" w:color="auto" w:fill="F5F5F5"/>
          </w:tcPr>
          <w:p w14:paraId="6494B16F" w14:textId="77777777" w:rsidR="00FC7D14" w:rsidRDefault="00000000">
            <w:r>
              <w:rPr>
                <w:sz w:val="20"/>
              </w:rPr>
              <w:t>No further imaging needed</w:t>
            </w:r>
          </w:p>
        </w:tc>
        <w:tc>
          <w:tcPr>
            <w:tcW w:w="3324" w:type="dxa"/>
            <w:shd w:val="clear" w:color="auto" w:fill="F5F5F5"/>
          </w:tcPr>
          <w:p w14:paraId="3767D0F5" w14:textId="77777777" w:rsidR="00FC7D14" w:rsidRDefault="00000000">
            <w:r>
              <w:rPr>
                <w:sz w:val="20"/>
              </w:rPr>
              <w:t>PE excluded. Seek alternative diagnosis.</w:t>
            </w:r>
          </w:p>
        </w:tc>
      </w:tr>
      <w:tr w:rsidR="00FC7D14" w14:paraId="2E433729" w14:textId="77777777">
        <w:tc>
          <w:tcPr>
            <w:tcW w:w="3324" w:type="dxa"/>
            <w:shd w:val="clear" w:color="auto" w:fill="FFFFFF"/>
          </w:tcPr>
          <w:p w14:paraId="2AC6857B" w14:textId="77777777" w:rsidR="00FC7D14" w:rsidRDefault="00000000">
            <w:r>
              <w:rPr>
                <w:sz w:val="20"/>
              </w:rPr>
              <w:t>Wells 4 or below + D-dimer positive</w:t>
            </w:r>
          </w:p>
        </w:tc>
        <w:tc>
          <w:tcPr>
            <w:tcW w:w="3324" w:type="dxa"/>
            <w:shd w:val="clear" w:color="auto" w:fill="FFFFFF"/>
          </w:tcPr>
          <w:p w14:paraId="1CFB8E83" w14:textId="77777777" w:rsidR="00FC7D14" w:rsidRDefault="00000000">
            <w:r>
              <w:rPr>
                <w:sz w:val="20"/>
              </w:rPr>
              <w:t>CTPA (or V/Q scan if CTPA contraindicated)</w:t>
            </w:r>
          </w:p>
        </w:tc>
        <w:tc>
          <w:tcPr>
            <w:tcW w:w="3324" w:type="dxa"/>
            <w:shd w:val="clear" w:color="auto" w:fill="FFFFFF"/>
          </w:tcPr>
          <w:p w14:paraId="7996EE5C" w14:textId="77777777" w:rsidR="00FC7D14" w:rsidRDefault="00000000">
            <w:r>
              <w:rPr>
                <w:sz w:val="20"/>
              </w:rPr>
              <w:t>Await CTPA result. Interim LMWH only if delay &gt;4 hours AND clinical suspicion high.</w:t>
            </w:r>
          </w:p>
        </w:tc>
      </w:tr>
      <w:tr w:rsidR="00FC7D14" w14:paraId="516E3008" w14:textId="77777777">
        <w:tc>
          <w:tcPr>
            <w:tcW w:w="3324" w:type="dxa"/>
            <w:shd w:val="clear" w:color="auto" w:fill="F5F5F5"/>
          </w:tcPr>
          <w:p w14:paraId="63A7DD8F" w14:textId="77777777" w:rsidR="00FC7D14" w:rsidRDefault="00000000">
            <w:r>
              <w:rPr>
                <w:sz w:val="20"/>
              </w:rPr>
              <w:t>Wells above 4 (PE likely)</w:t>
            </w:r>
          </w:p>
        </w:tc>
        <w:tc>
          <w:tcPr>
            <w:tcW w:w="3324" w:type="dxa"/>
            <w:shd w:val="clear" w:color="auto" w:fill="F5F5F5"/>
          </w:tcPr>
          <w:p w14:paraId="39EBA399" w14:textId="77777777" w:rsidR="00FC7D14" w:rsidRDefault="00000000">
            <w:r>
              <w:rPr>
                <w:sz w:val="20"/>
              </w:rPr>
              <w:t>CTPA urgently</w:t>
            </w:r>
          </w:p>
        </w:tc>
        <w:tc>
          <w:tcPr>
            <w:tcW w:w="3324" w:type="dxa"/>
            <w:shd w:val="clear" w:color="auto" w:fill="F5F5F5"/>
          </w:tcPr>
          <w:p w14:paraId="1FEFE699" w14:textId="77777777" w:rsidR="00FC7D14" w:rsidRDefault="00000000">
            <w:r>
              <w:rPr>
                <w:sz w:val="20"/>
              </w:rPr>
              <w:t>Interim LMWH while awaiting CTPA. Start DOAC once PE confirmed.</w:t>
            </w:r>
          </w:p>
        </w:tc>
      </w:tr>
      <w:tr w:rsidR="00FC7D14" w14:paraId="17C2B2BE" w14:textId="77777777">
        <w:tc>
          <w:tcPr>
            <w:tcW w:w="3324" w:type="dxa"/>
            <w:shd w:val="clear" w:color="auto" w:fill="FFFFFF"/>
          </w:tcPr>
          <w:p w14:paraId="0B358272" w14:textId="77777777" w:rsidR="00FC7D14" w:rsidRDefault="00000000">
            <w:r>
              <w:rPr>
                <w:sz w:val="20"/>
              </w:rPr>
              <w:t>CTPA confirms PE</w:t>
            </w:r>
          </w:p>
        </w:tc>
        <w:tc>
          <w:tcPr>
            <w:tcW w:w="3324" w:type="dxa"/>
            <w:shd w:val="clear" w:color="auto" w:fill="FFFFFF"/>
          </w:tcPr>
          <w:p w14:paraId="1ED9F33B" w14:textId="77777777" w:rsidR="00FC7D14" w:rsidRDefault="00000000">
            <w:r>
              <w:rPr>
                <w:sz w:val="20"/>
              </w:rPr>
              <w:t>No further imaging needed</w:t>
            </w:r>
          </w:p>
        </w:tc>
        <w:tc>
          <w:tcPr>
            <w:tcW w:w="3324" w:type="dxa"/>
            <w:shd w:val="clear" w:color="auto" w:fill="FFFFFF"/>
          </w:tcPr>
          <w:p w14:paraId="2A54F188" w14:textId="77777777" w:rsidR="00FC7D14" w:rsidRDefault="00000000">
            <w:r>
              <w:rPr>
                <w:sz w:val="20"/>
              </w:rPr>
              <w:t>Start DOAC immediately (see Section 4).</w:t>
            </w:r>
          </w:p>
        </w:tc>
      </w:tr>
      <w:tr w:rsidR="00FC7D14" w14:paraId="05F9B03C" w14:textId="77777777">
        <w:tc>
          <w:tcPr>
            <w:tcW w:w="3324" w:type="dxa"/>
            <w:shd w:val="clear" w:color="auto" w:fill="F5F5F5"/>
          </w:tcPr>
          <w:p w14:paraId="234FEFAD" w14:textId="77777777" w:rsidR="00FC7D14" w:rsidRDefault="00000000">
            <w:r>
              <w:rPr>
                <w:sz w:val="20"/>
              </w:rPr>
              <w:t>CTPA excludes PE</w:t>
            </w:r>
          </w:p>
        </w:tc>
        <w:tc>
          <w:tcPr>
            <w:tcW w:w="3324" w:type="dxa"/>
            <w:shd w:val="clear" w:color="auto" w:fill="F5F5F5"/>
          </w:tcPr>
          <w:p w14:paraId="4CAA92B8" w14:textId="77777777" w:rsidR="00FC7D14" w:rsidRDefault="00000000">
            <w:r>
              <w:rPr>
                <w:sz w:val="20"/>
              </w:rPr>
              <w:t>Consider V/Q scan if high clinical suspicion</w:t>
            </w:r>
          </w:p>
        </w:tc>
        <w:tc>
          <w:tcPr>
            <w:tcW w:w="3324" w:type="dxa"/>
            <w:shd w:val="clear" w:color="auto" w:fill="F5F5F5"/>
          </w:tcPr>
          <w:p w14:paraId="46CB72A3" w14:textId="77777777" w:rsidR="00FC7D14" w:rsidRDefault="00000000">
            <w:r>
              <w:rPr>
                <w:sz w:val="20"/>
              </w:rPr>
              <w:t>Discontinue anticoagulation. Seek alternative diagnosis.</w:t>
            </w:r>
          </w:p>
        </w:tc>
      </w:tr>
      <w:tr w:rsidR="00FC7D14" w14:paraId="27413C12" w14:textId="77777777">
        <w:tc>
          <w:tcPr>
            <w:tcW w:w="3324" w:type="dxa"/>
            <w:shd w:val="clear" w:color="auto" w:fill="FFFFFF"/>
          </w:tcPr>
          <w:p w14:paraId="56EA992E" w14:textId="77777777" w:rsidR="00FC7D14" w:rsidRDefault="00000000">
            <w:r>
              <w:rPr>
                <w:sz w:val="20"/>
              </w:rPr>
              <w:t>Haemodynamic instability (massive PE)</w:t>
            </w:r>
          </w:p>
        </w:tc>
        <w:tc>
          <w:tcPr>
            <w:tcW w:w="3324" w:type="dxa"/>
            <w:shd w:val="clear" w:color="auto" w:fill="FFFFFF"/>
          </w:tcPr>
          <w:p w14:paraId="01035A13" w14:textId="77777777" w:rsidR="00FC7D14" w:rsidRDefault="00000000">
            <w:r>
              <w:rPr>
                <w:sz w:val="20"/>
              </w:rPr>
              <w:t>Bedside echocardiogram or CTPA if stable enough</w:t>
            </w:r>
          </w:p>
        </w:tc>
        <w:tc>
          <w:tcPr>
            <w:tcW w:w="3324" w:type="dxa"/>
            <w:shd w:val="clear" w:color="auto" w:fill="FFFFFF"/>
          </w:tcPr>
          <w:p w14:paraId="78A32EA4" w14:textId="77777777" w:rsidR="00FC7D14" w:rsidRDefault="00000000">
            <w:r>
              <w:rPr>
                <w:sz w:val="20"/>
              </w:rPr>
              <w:t>999. Thrombolysis (IV alteplase) or surgical embolectomy. LMWH/unfractionated heparin.</w:t>
            </w:r>
          </w:p>
        </w:tc>
      </w:tr>
    </w:tbl>
    <w:p w14:paraId="0CAA528A" w14:textId="77777777" w:rsidR="00FC7D14" w:rsidRDefault="00FC7D14"/>
    <w:p w14:paraId="7D2D1CFE" w14:textId="77777777" w:rsidR="00FC7D14" w:rsidRDefault="00000000">
      <w:pPr>
        <w:spacing w:before="240" w:after="80"/>
      </w:pPr>
      <w:r>
        <w:rPr>
          <w:b/>
          <w:color w:val="003366"/>
          <w:sz w:val="32"/>
        </w:rPr>
        <w:t>4. First-Line DOAC Dosing for Confirmed PE</w:t>
      </w:r>
    </w:p>
    <w:p w14:paraId="46BE4A90" w14:textId="77777777" w:rsidR="00FC7D14" w:rsidRDefault="00000000">
      <w:pPr>
        <w:spacing w:before="40" w:after="80"/>
      </w:pPr>
      <w:r>
        <w:rPr>
          <w:color w:val="000000"/>
        </w:rPr>
        <w:t>DOACs are first-line for acute PE (NICE NG158 reviewed May 2026). No LMWH bridging required. Choose apixaban OR rivaroxaban.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4"/>
        <w:gridCol w:w="1994"/>
        <w:gridCol w:w="1994"/>
        <w:gridCol w:w="1994"/>
        <w:gridCol w:w="1994"/>
      </w:tblGrid>
      <w:tr w:rsidR="00FC7D14" w14:paraId="748F701A" w14:textId="77777777">
        <w:tc>
          <w:tcPr>
            <w:tcW w:w="1994" w:type="dxa"/>
            <w:shd w:val="clear" w:color="auto" w:fill="003366"/>
          </w:tcPr>
          <w:p w14:paraId="0D3F4DC2" w14:textId="77777777" w:rsidR="00FC7D14" w:rsidRDefault="00000000">
            <w:r>
              <w:rPr>
                <w:b/>
                <w:color w:val="FFFFFF"/>
              </w:rPr>
              <w:t>DOAC</w:t>
            </w:r>
          </w:p>
        </w:tc>
        <w:tc>
          <w:tcPr>
            <w:tcW w:w="1994" w:type="dxa"/>
            <w:shd w:val="clear" w:color="auto" w:fill="003366"/>
          </w:tcPr>
          <w:p w14:paraId="5096BDFA" w14:textId="77777777" w:rsidR="00FC7D14" w:rsidRDefault="00000000">
            <w:r>
              <w:rPr>
                <w:b/>
                <w:color w:val="FFFFFF"/>
              </w:rPr>
              <w:t>Loading Dose</w:t>
            </w:r>
          </w:p>
        </w:tc>
        <w:tc>
          <w:tcPr>
            <w:tcW w:w="1994" w:type="dxa"/>
            <w:shd w:val="clear" w:color="auto" w:fill="003366"/>
          </w:tcPr>
          <w:p w14:paraId="420309FE" w14:textId="77777777" w:rsidR="00FC7D14" w:rsidRDefault="00000000">
            <w:r>
              <w:rPr>
                <w:b/>
                <w:color w:val="FFFFFF"/>
              </w:rPr>
              <w:t>Maintenance</w:t>
            </w:r>
          </w:p>
        </w:tc>
        <w:tc>
          <w:tcPr>
            <w:tcW w:w="1994" w:type="dxa"/>
            <w:shd w:val="clear" w:color="auto" w:fill="003366"/>
          </w:tcPr>
          <w:p w14:paraId="09A33DE1" w14:textId="77777777" w:rsidR="00FC7D14" w:rsidRDefault="00000000">
            <w:r>
              <w:rPr>
                <w:b/>
                <w:color w:val="FFFFFF"/>
              </w:rPr>
              <w:t>Duration</w:t>
            </w:r>
          </w:p>
        </w:tc>
        <w:tc>
          <w:tcPr>
            <w:tcW w:w="1994" w:type="dxa"/>
            <w:shd w:val="clear" w:color="auto" w:fill="003366"/>
          </w:tcPr>
          <w:p w14:paraId="568983BB" w14:textId="77777777" w:rsidR="00FC7D14" w:rsidRDefault="00000000">
            <w:r>
              <w:rPr>
                <w:b/>
                <w:color w:val="FFFFFF"/>
              </w:rPr>
              <w:t>Notes</w:t>
            </w:r>
          </w:p>
        </w:tc>
      </w:tr>
      <w:tr w:rsidR="00FC7D14" w14:paraId="579E8B5A" w14:textId="77777777">
        <w:tc>
          <w:tcPr>
            <w:tcW w:w="1994" w:type="dxa"/>
            <w:shd w:val="clear" w:color="auto" w:fill="F5F5F5"/>
          </w:tcPr>
          <w:p w14:paraId="3DCC871D" w14:textId="77777777" w:rsidR="00FC7D14" w:rsidRDefault="00000000">
            <w:r>
              <w:rPr>
                <w:sz w:val="20"/>
              </w:rPr>
              <w:t>Apixaban</w:t>
            </w:r>
            <w:r>
              <w:rPr>
                <w:sz w:val="20"/>
              </w:rPr>
              <w:br/>
              <w:t>(Eliquis)</w:t>
            </w:r>
          </w:p>
        </w:tc>
        <w:tc>
          <w:tcPr>
            <w:tcW w:w="1994" w:type="dxa"/>
            <w:shd w:val="clear" w:color="auto" w:fill="F5F5F5"/>
          </w:tcPr>
          <w:p w14:paraId="6A682C23" w14:textId="77777777" w:rsidR="00FC7D14" w:rsidRDefault="00000000">
            <w:r>
              <w:rPr>
                <w:sz w:val="20"/>
              </w:rPr>
              <w:t>10mg TWICE DAILY for 7 days</w:t>
            </w:r>
          </w:p>
        </w:tc>
        <w:tc>
          <w:tcPr>
            <w:tcW w:w="1994" w:type="dxa"/>
            <w:shd w:val="clear" w:color="auto" w:fill="F5F5F5"/>
          </w:tcPr>
          <w:p w14:paraId="39723B4B" w14:textId="77777777" w:rsidR="00FC7D14" w:rsidRDefault="00000000">
            <w:r>
              <w:rPr>
                <w:sz w:val="20"/>
              </w:rPr>
              <w:t>Then 5mg TWICE DAILY</w:t>
            </w:r>
          </w:p>
        </w:tc>
        <w:tc>
          <w:tcPr>
            <w:tcW w:w="1994" w:type="dxa"/>
            <w:shd w:val="clear" w:color="auto" w:fill="F5F5F5"/>
          </w:tcPr>
          <w:p w14:paraId="6E597A65" w14:textId="77777777" w:rsidR="00FC7D14" w:rsidRDefault="00000000">
            <w:r>
              <w:rPr>
                <w:sz w:val="20"/>
              </w:rPr>
              <w:t>Minimum 3 months. Review at 3 and 6 months.</w:t>
            </w:r>
          </w:p>
        </w:tc>
        <w:tc>
          <w:tcPr>
            <w:tcW w:w="1994" w:type="dxa"/>
            <w:shd w:val="clear" w:color="auto" w:fill="F5F5F5"/>
          </w:tcPr>
          <w:p w14:paraId="79B95FD6" w14:textId="77777777" w:rsidR="00FC7D14" w:rsidRDefault="00000000">
            <w:r>
              <w:rPr>
                <w:sz w:val="20"/>
              </w:rPr>
              <w:t>No loading injection needed. Lower GI bleed risk vs rivaroxaban. Can be used in mild-moderate renal impairment.</w:t>
            </w:r>
          </w:p>
        </w:tc>
      </w:tr>
      <w:tr w:rsidR="00FC7D14" w14:paraId="7FF36D75" w14:textId="77777777">
        <w:tc>
          <w:tcPr>
            <w:tcW w:w="1994" w:type="dxa"/>
            <w:shd w:val="clear" w:color="auto" w:fill="FFFFFF"/>
          </w:tcPr>
          <w:p w14:paraId="7854EA36" w14:textId="77777777" w:rsidR="00FC7D14" w:rsidRDefault="00000000">
            <w:r>
              <w:rPr>
                <w:sz w:val="20"/>
              </w:rPr>
              <w:t>Rivaroxaban</w:t>
            </w:r>
            <w:r>
              <w:rPr>
                <w:sz w:val="20"/>
              </w:rPr>
              <w:br/>
              <w:t>(Xarelto)</w:t>
            </w:r>
          </w:p>
        </w:tc>
        <w:tc>
          <w:tcPr>
            <w:tcW w:w="1994" w:type="dxa"/>
            <w:shd w:val="clear" w:color="auto" w:fill="FFFFFF"/>
          </w:tcPr>
          <w:p w14:paraId="6CAA16BF" w14:textId="77777777" w:rsidR="00FC7D14" w:rsidRDefault="00000000">
            <w:r>
              <w:rPr>
                <w:sz w:val="20"/>
              </w:rPr>
              <w:t>15mg TWICE DAILY with food for 21 days</w:t>
            </w:r>
          </w:p>
        </w:tc>
        <w:tc>
          <w:tcPr>
            <w:tcW w:w="1994" w:type="dxa"/>
            <w:shd w:val="clear" w:color="auto" w:fill="FFFFFF"/>
          </w:tcPr>
          <w:p w14:paraId="5437846A" w14:textId="77777777" w:rsidR="00FC7D14" w:rsidRDefault="00000000">
            <w:r>
              <w:rPr>
                <w:sz w:val="20"/>
              </w:rPr>
              <w:t>Then 20mg ONCE DAILY with evening meal</w:t>
            </w:r>
          </w:p>
        </w:tc>
        <w:tc>
          <w:tcPr>
            <w:tcW w:w="1994" w:type="dxa"/>
            <w:shd w:val="clear" w:color="auto" w:fill="FFFFFF"/>
          </w:tcPr>
          <w:p w14:paraId="70DFA70E" w14:textId="77777777" w:rsidR="00FC7D14" w:rsidRDefault="00000000">
            <w:r>
              <w:rPr>
                <w:sz w:val="20"/>
              </w:rPr>
              <w:t>Minimum 3 months. Review at 3 and 6 months.</w:t>
            </w:r>
          </w:p>
        </w:tc>
        <w:tc>
          <w:tcPr>
            <w:tcW w:w="1994" w:type="dxa"/>
            <w:shd w:val="clear" w:color="auto" w:fill="FFFFFF"/>
          </w:tcPr>
          <w:p w14:paraId="4F18A80A" w14:textId="77777777" w:rsidR="00FC7D14" w:rsidRDefault="00000000">
            <w:r>
              <w:rPr>
                <w:sz w:val="20"/>
              </w:rPr>
              <w:t>Take with food for optimal absorption. Avoid if eGFR below 15.</w:t>
            </w:r>
          </w:p>
        </w:tc>
      </w:tr>
      <w:tr w:rsidR="00FC7D14" w14:paraId="506D784B" w14:textId="77777777">
        <w:tc>
          <w:tcPr>
            <w:tcW w:w="1994" w:type="dxa"/>
            <w:shd w:val="clear" w:color="auto" w:fill="F5F5F5"/>
          </w:tcPr>
          <w:p w14:paraId="38BB1BF0" w14:textId="77777777" w:rsidR="00FC7D14" w:rsidRDefault="00000000">
            <w:r>
              <w:rPr>
                <w:sz w:val="20"/>
              </w:rPr>
              <w:t>Warfarin</w:t>
            </w:r>
            <w:r>
              <w:rPr>
                <w:sz w:val="20"/>
              </w:rPr>
              <w:br/>
              <w:t>(INR 2-3)</w:t>
            </w:r>
          </w:p>
        </w:tc>
        <w:tc>
          <w:tcPr>
            <w:tcW w:w="1994" w:type="dxa"/>
            <w:shd w:val="clear" w:color="auto" w:fill="F5F5F5"/>
          </w:tcPr>
          <w:p w14:paraId="7D2B9888" w14:textId="77777777" w:rsidR="00FC7D14" w:rsidRDefault="00000000">
            <w:r>
              <w:rPr>
                <w:sz w:val="20"/>
              </w:rPr>
              <w:t>LMWH bridge until INR therapeutic (min 5 days)</w:t>
            </w:r>
          </w:p>
        </w:tc>
        <w:tc>
          <w:tcPr>
            <w:tcW w:w="1994" w:type="dxa"/>
            <w:shd w:val="clear" w:color="auto" w:fill="F5F5F5"/>
          </w:tcPr>
          <w:p w14:paraId="0C878B27" w14:textId="77777777" w:rsidR="00FC7D14" w:rsidRDefault="00000000">
            <w:r>
              <w:rPr>
                <w:sz w:val="20"/>
              </w:rPr>
              <w:t>Dose adjusted to INR 2-3</w:t>
            </w:r>
          </w:p>
        </w:tc>
        <w:tc>
          <w:tcPr>
            <w:tcW w:w="1994" w:type="dxa"/>
            <w:shd w:val="clear" w:color="auto" w:fill="F5F5F5"/>
          </w:tcPr>
          <w:p w14:paraId="46F20074" w14:textId="77777777" w:rsidR="00FC7D14" w:rsidRDefault="00000000">
            <w:r>
              <w:rPr>
                <w:sz w:val="20"/>
              </w:rPr>
              <w:t>Minimum 3 months.</w:t>
            </w:r>
          </w:p>
        </w:tc>
        <w:tc>
          <w:tcPr>
            <w:tcW w:w="1994" w:type="dxa"/>
            <w:shd w:val="clear" w:color="auto" w:fill="F5F5F5"/>
          </w:tcPr>
          <w:p w14:paraId="4D083F33" w14:textId="77777777" w:rsidR="00FC7D14" w:rsidRDefault="00000000">
            <w:r>
              <w:rPr>
                <w:sz w:val="20"/>
              </w:rPr>
              <w:t>Use ONLY for antiphospholipid syndrome (DOACs are inferior). Requires regular INR monitoring.</w:t>
            </w:r>
          </w:p>
        </w:tc>
      </w:tr>
      <w:tr w:rsidR="00FC7D14" w14:paraId="02447990" w14:textId="77777777">
        <w:tc>
          <w:tcPr>
            <w:tcW w:w="1994" w:type="dxa"/>
            <w:shd w:val="clear" w:color="auto" w:fill="FFFFFF"/>
          </w:tcPr>
          <w:p w14:paraId="12ACBD40" w14:textId="77777777" w:rsidR="00FC7D14" w:rsidRDefault="00000000">
            <w:r>
              <w:rPr>
                <w:sz w:val="20"/>
              </w:rPr>
              <w:t>LMWH</w:t>
            </w:r>
            <w:r>
              <w:rPr>
                <w:sz w:val="20"/>
              </w:rPr>
              <w:br/>
              <w:t>(e.g. Dalteparin)</w:t>
            </w:r>
          </w:p>
        </w:tc>
        <w:tc>
          <w:tcPr>
            <w:tcW w:w="1994" w:type="dxa"/>
            <w:shd w:val="clear" w:color="auto" w:fill="FFFFFF"/>
          </w:tcPr>
          <w:p w14:paraId="07E4F83A" w14:textId="77777777" w:rsidR="00FC7D14" w:rsidRDefault="00000000">
            <w:r>
              <w:rPr>
                <w:sz w:val="20"/>
              </w:rPr>
              <w:t>Weight-based (see BNF)</w:t>
            </w:r>
          </w:p>
        </w:tc>
        <w:tc>
          <w:tcPr>
            <w:tcW w:w="1994" w:type="dxa"/>
            <w:shd w:val="clear" w:color="auto" w:fill="FFFFFF"/>
          </w:tcPr>
          <w:p w14:paraId="7613707B" w14:textId="77777777" w:rsidR="00FC7D14" w:rsidRDefault="00000000">
            <w:r>
              <w:rPr>
                <w:sz w:val="20"/>
              </w:rPr>
              <w:t>Weight-based daily or BD</w:t>
            </w:r>
          </w:p>
        </w:tc>
        <w:tc>
          <w:tcPr>
            <w:tcW w:w="1994" w:type="dxa"/>
            <w:shd w:val="clear" w:color="auto" w:fill="FFFFFF"/>
          </w:tcPr>
          <w:p w14:paraId="62CF0D5A" w14:textId="77777777" w:rsidR="00FC7D14" w:rsidRDefault="00000000">
            <w:r>
              <w:rPr>
                <w:sz w:val="20"/>
              </w:rPr>
              <w:t>For pregnancy only or until CTPA available.</w:t>
            </w:r>
          </w:p>
        </w:tc>
        <w:tc>
          <w:tcPr>
            <w:tcW w:w="1994" w:type="dxa"/>
            <w:shd w:val="clear" w:color="auto" w:fill="FFFFFF"/>
          </w:tcPr>
          <w:p w14:paraId="3C401A79" w14:textId="77777777" w:rsidR="00FC7D14" w:rsidRDefault="00000000">
            <w:r>
              <w:rPr>
                <w:sz w:val="20"/>
              </w:rPr>
              <w:t>Use throughout pregnancy (no DOACs). Postpartum: switch to warfarin from day 3 (or DOAC if not breastfeeding).</w:t>
            </w:r>
          </w:p>
        </w:tc>
      </w:tr>
    </w:tbl>
    <w:p w14:paraId="17F8487B" w14:textId="77777777" w:rsidR="00FC7D14" w:rsidRDefault="00FC7D1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FC7D14" w14:paraId="6C3C076B" w14:textId="77777777">
        <w:tc>
          <w:tcPr>
            <w:tcW w:w="9972" w:type="dxa"/>
            <w:shd w:val="clear" w:color="auto" w:fill="E0651F"/>
          </w:tcPr>
          <w:p w14:paraId="2B014EE2" w14:textId="77777777" w:rsidR="00FC7D14" w:rsidRDefault="00000000">
            <w:r>
              <w:rPr>
                <w:b/>
                <w:color w:val="FFFFFF"/>
                <w:sz w:val="24"/>
              </w:rPr>
              <w:t>Treatment Duration Decision</w:t>
            </w:r>
          </w:p>
        </w:tc>
      </w:tr>
      <w:tr w:rsidR="00FC7D14" w14:paraId="49276FAF" w14:textId="77777777">
        <w:tc>
          <w:tcPr>
            <w:tcW w:w="9972" w:type="dxa"/>
            <w:shd w:val="clear" w:color="auto" w:fill="FFFFFF"/>
          </w:tcPr>
          <w:p w14:paraId="55F59379" w14:textId="77777777" w:rsidR="00FC7D14" w:rsidRDefault="00000000">
            <w:r>
              <w:rPr>
                <w:color w:val="000000"/>
              </w:rPr>
              <w:t>3 months: provoked PE (e.g. post-surgery, immobility). Low recurrence risk. Stop at 3 months.</w:t>
            </w:r>
          </w:p>
        </w:tc>
      </w:tr>
      <w:tr w:rsidR="00FC7D14" w14:paraId="2334E03E" w14:textId="77777777">
        <w:tc>
          <w:tcPr>
            <w:tcW w:w="9972" w:type="dxa"/>
            <w:shd w:val="clear" w:color="auto" w:fill="FFFFFF"/>
          </w:tcPr>
          <w:p w14:paraId="08F4678A" w14:textId="77777777" w:rsidR="00FC7D14" w:rsidRDefault="00000000">
            <w:r>
              <w:rPr>
                <w:color w:val="000000"/>
              </w:rPr>
              <w:t>3-6 months then review: first unprovoked PE. Weigh recurrence risk vs bleeding risk.</w:t>
            </w:r>
          </w:p>
        </w:tc>
      </w:tr>
      <w:tr w:rsidR="00FC7D14" w14:paraId="05CCBEB7" w14:textId="77777777">
        <w:tc>
          <w:tcPr>
            <w:tcW w:w="9972" w:type="dxa"/>
            <w:shd w:val="clear" w:color="auto" w:fill="FFFFFF"/>
          </w:tcPr>
          <w:p w14:paraId="3E8B6C76" w14:textId="77777777" w:rsidR="00FC7D14" w:rsidRDefault="00000000">
            <w:r>
              <w:rPr>
                <w:color w:val="000000"/>
              </w:rPr>
              <w:t>Indefinite: recurrent VTE, antiphospholipid syndrome, active cancer, strong inherited thrombophilia.</w:t>
            </w:r>
          </w:p>
        </w:tc>
      </w:tr>
      <w:tr w:rsidR="00FC7D14" w14:paraId="66DE88BB" w14:textId="77777777">
        <w:tc>
          <w:tcPr>
            <w:tcW w:w="9972" w:type="dxa"/>
            <w:shd w:val="clear" w:color="auto" w:fill="FFFFFF"/>
          </w:tcPr>
          <w:p w14:paraId="1ABD2FC6" w14:textId="77777777" w:rsidR="00FC7D14" w:rsidRDefault="00000000">
            <w:r>
              <w:rPr>
                <w:color w:val="000000"/>
              </w:rPr>
              <w:t>Cancer-associated VTE: LMWH or DOACs (apixaban/rivaroxaban) — not warfarin (unless APLS).</w:t>
            </w:r>
          </w:p>
        </w:tc>
      </w:tr>
    </w:tbl>
    <w:p w14:paraId="16826BF3" w14:textId="77777777" w:rsidR="00FC7D14" w:rsidRDefault="00000000">
      <w:pPr>
        <w:spacing w:before="240" w:after="80"/>
      </w:pPr>
      <w:r>
        <w:rPr>
          <w:b/>
          <w:color w:val="003366"/>
          <w:sz w:val="32"/>
        </w:rPr>
        <w:lastRenderedPageBreak/>
        <w:t>5. Special Situations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FC7D14" w14:paraId="14325892" w14:textId="77777777">
        <w:tc>
          <w:tcPr>
            <w:tcW w:w="9972" w:type="dxa"/>
            <w:shd w:val="clear" w:color="auto" w:fill="CC0000"/>
          </w:tcPr>
          <w:p w14:paraId="2474140F" w14:textId="77777777" w:rsidR="00FC7D14" w:rsidRDefault="00000000">
            <w:r>
              <w:rPr>
                <w:b/>
                <w:color w:val="FFFFFF"/>
                <w:sz w:val="24"/>
              </w:rPr>
              <w:t>Antiphospholipid Syndrome — Do NOT Use DOACs</w:t>
            </w:r>
          </w:p>
        </w:tc>
      </w:tr>
      <w:tr w:rsidR="00FC7D14" w14:paraId="49215EDD" w14:textId="77777777">
        <w:tc>
          <w:tcPr>
            <w:tcW w:w="9972" w:type="dxa"/>
            <w:shd w:val="clear" w:color="auto" w:fill="FFFFFF"/>
          </w:tcPr>
          <w:p w14:paraId="6A7C99B3" w14:textId="77777777" w:rsidR="00FC7D14" w:rsidRDefault="00000000">
            <w:r>
              <w:rPr>
                <w:color w:val="000000"/>
              </w:rPr>
              <w:t>Antiphospholipid syndrome: use WARFARIN (target INR 2.5-3.5 depending on manifestation).</w:t>
            </w:r>
          </w:p>
        </w:tc>
      </w:tr>
      <w:tr w:rsidR="00FC7D14" w14:paraId="7DA63DDD" w14:textId="77777777">
        <w:tc>
          <w:tcPr>
            <w:tcW w:w="9972" w:type="dxa"/>
            <w:shd w:val="clear" w:color="auto" w:fill="FFFFFF"/>
          </w:tcPr>
          <w:p w14:paraId="20412146" w14:textId="77777777" w:rsidR="00FC7D14" w:rsidRDefault="00000000">
            <w:r>
              <w:rPr>
                <w:color w:val="000000"/>
              </w:rPr>
              <w:t>DOACs are associated with higher rates of arterial thrombosis and stroke in triple-positive APLS.</w:t>
            </w:r>
          </w:p>
        </w:tc>
      </w:tr>
      <w:tr w:rsidR="00FC7D14" w14:paraId="35E0FAD1" w14:textId="77777777">
        <w:tc>
          <w:tcPr>
            <w:tcW w:w="9972" w:type="dxa"/>
            <w:shd w:val="clear" w:color="auto" w:fill="FFFFFF"/>
          </w:tcPr>
          <w:p w14:paraId="6DA03367" w14:textId="77777777" w:rsidR="00FC7D14" w:rsidRDefault="00000000">
            <w:r>
              <w:rPr>
                <w:color w:val="000000"/>
              </w:rPr>
              <w:t>If already on DOAC for APLS: switch to warfarin.</w:t>
            </w:r>
          </w:p>
        </w:tc>
      </w:tr>
    </w:tbl>
    <w:p w14:paraId="1302FC45" w14:textId="77777777" w:rsidR="00FC7D14" w:rsidRDefault="00FC7D1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FC7D14" w14:paraId="044339F5" w14:textId="77777777">
        <w:tc>
          <w:tcPr>
            <w:tcW w:w="9972" w:type="dxa"/>
            <w:shd w:val="clear" w:color="auto" w:fill="CC0000"/>
          </w:tcPr>
          <w:p w14:paraId="74949C75" w14:textId="77777777" w:rsidR="00FC7D14" w:rsidRDefault="00000000">
            <w:r>
              <w:rPr>
                <w:b/>
                <w:color w:val="FFFFFF"/>
                <w:sz w:val="24"/>
              </w:rPr>
              <w:t>Pregnancy and Postpartum VTE</w:t>
            </w:r>
          </w:p>
        </w:tc>
      </w:tr>
      <w:tr w:rsidR="00FC7D14" w14:paraId="4FD16434" w14:textId="77777777">
        <w:tc>
          <w:tcPr>
            <w:tcW w:w="9972" w:type="dxa"/>
            <w:shd w:val="clear" w:color="auto" w:fill="FFFFFF"/>
          </w:tcPr>
          <w:p w14:paraId="22130C73" w14:textId="77777777" w:rsidR="00FC7D14" w:rsidRDefault="00000000">
            <w:r>
              <w:rPr>
                <w:color w:val="000000"/>
              </w:rPr>
              <w:t>LMWH ONLY throughout pregnancy (warfarin teratogenic in 1st trimester; DOACs contraindicated throughout).</w:t>
            </w:r>
          </w:p>
        </w:tc>
      </w:tr>
      <w:tr w:rsidR="00FC7D14" w14:paraId="61CE5D80" w14:textId="77777777">
        <w:tc>
          <w:tcPr>
            <w:tcW w:w="9972" w:type="dxa"/>
            <w:shd w:val="clear" w:color="auto" w:fill="FFFFFF"/>
          </w:tcPr>
          <w:p w14:paraId="2EFE0339" w14:textId="77777777" w:rsidR="00FC7D14" w:rsidRDefault="00000000">
            <w:r>
              <w:rPr>
                <w:color w:val="000000"/>
              </w:rPr>
              <w:t>Postpartum (not breastfeeding): LMWH bridge then warfarin from day 3, OR DOAC once safe.</w:t>
            </w:r>
          </w:p>
        </w:tc>
      </w:tr>
      <w:tr w:rsidR="00FC7D14" w14:paraId="3F520BA4" w14:textId="77777777">
        <w:tc>
          <w:tcPr>
            <w:tcW w:w="9972" w:type="dxa"/>
            <w:shd w:val="clear" w:color="auto" w:fill="FFFFFF"/>
          </w:tcPr>
          <w:p w14:paraId="44E5CF64" w14:textId="77777777" w:rsidR="00FC7D14" w:rsidRDefault="00000000">
            <w:r>
              <w:rPr>
                <w:color w:val="000000"/>
              </w:rPr>
              <w:t>Postpartum (breastfeeding): LMWH or warfarin only — DOACs present in breast milk.</w:t>
            </w:r>
          </w:p>
        </w:tc>
      </w:tr>
      <w:tr w:rsidR="00FC7D14" w14:paraId="032B2508" w14:textId="77777777">
        <w:tc>
          <w:tcPr>
            <w:tcW w:w="9972" w:type="dxa"/>
            <w:shd w:val="clear" w:color="auto" w:fill="FFFFFF"/>
          </w:tcPr>
          <w:p w14:paraId="49956406" w14:textId="77777777" w:rsidR="00FC7D14" w:rsidRDefault="00000000">
            <w:r>
              <w:rPr>
                <w:color w:val="000000"/>
              </w:rPr>
              <w:t>Duration: minimum 3 months, and at least 6 weeks postpartum.</w:t>
            </w:r>
          </w:p>
        </w:tc>
      </w:tr>
    </w:tbl>
    <w:p w14:paraId="7199DAFB" w14:textId="77777777" w:rsidR="00FC7D14" w:rsidRDefault="00000000">
      <w:pPr>
        <w:spacing w:before="240" w:after="80"/>
      </w:pPr>
      <w:r>
        <w:rPr>
          <w:b/>
          <w:color w:val="003366"/>
          <w:sz w:val="32"/>
        </w:rPr>
        <w:t>6. Red Flags — When to Admit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FC7D14" w14:paraId="6ABF1AFD" w14:textId="77777777">
        <w:tc>
          <w:tcPr>
            <w:tcW w:w="9972" w:type="dxa"/>
            <w:shd w:val="clear" w:color="auto" w:fill="CC0000"/>
          </w:tcPr>
          <w:p w14:paraId="3672BCBB" w14:textId="77777777" w:rsidR="00FC7D14" w:rsidRDefault="00000000">
            <w:r>
              <w:rPr>
                <w:b/>
                <w:color w:val="FFFFFF"/>
                <w:sz w:val="24"/>
              </w:rPr>
              <w:t>Admit / 999 for PE</w:t>
            </w:r>
          </w:p>
        </w:tc>
      </w:tr>
      <w:tr w:rsidR="00FC7D14" w14:paraId="525C71D3" w14:textId="77777777">
        <w:tc>
          <w:tcPr>
            <w:tcW w:w="9972" w:type="dxa"/>
            <w:shd w:val="clear" w:color="auto" w:fill="FFFFFF"/>
          </w:tcPr>
          <w:p w14:paraId="407B3992" w14:textId="77777777" w:rsidR="00FC7D14" w:rsidRDefault="00000000">
            <w:r>
              <w:rPr>
                <w:color w:val="000000"/>
              </w:rPr>
              <w:t>Haemodynamic instability: SBP below 90, HR above 130, altered GCS.</w:t>
            </w:r>
          </w:p>
        </w:tc>
      </w:tr>
      <w:tr w:rsidR="00FC7D14" w14:paraId="500742B1" w14:textId="77777777">
        <w:tc>
          <w:tcPr>
            <w:tcW w:w="9972" w:type="dxa"/>
            <w:shd w:val="clear" w:color="auto" w:fill="FFFFFF"/>
          </w:tcPr>
          <w:p w14:paraId="3F87990C" w14:textId="77777777" w:rsidR="00FC7D14" w:rsidRDefault="00000000">
            <w:r>
              <w:rPr>
                <w:color w:val="000000"/>
              </w:rPr>
              <w:t>SpO2 below 94% despite supplemental oxygen.</w:t>
            </w:r>
          </w:p>
        </w:tc>
      </w:tr>
      <w:tr w:rsidR="00FC7D14" w14:paraId="3FC50BFC" w14:textId="77777777">
        <w:tc>
          <w:tcPr>
            <w:tcW w:w="9972" w:type="dxa"/>
            <w:shd w:val="clear" w:color="auto" w:fill="FFFFFF"/>
          </w:tcPr>
          <w:p w14:paraId="41965844" w14:textId="77777777" w:rsidR="00FC7D14" w:rsidRDefault="00000000">
            <w:r>
              <w:rPr>
                <w:color w:val="000000"/>
              </w:rPr>
              <w:t>Submassive PE with right heart strain on ECG (S1Q3T3, right bundle branch block).</w:t>
            </w:r>
          </w:p>
        </w:tc>
      </w:tr>
      <w:tr w:rsidR="00FC7D14" w14:paraId="3DC1493C" w14:textId="77777777">
        <w:tc>
          <w:tcPr>
            <w:tcW w:w="9972" w:type="dxa"/>
            <w:shd w:val="clear" w:color="auto" w:fill="FFFFFF"/>
          </w:tcPr>
          <w:p w14:paraId="05698FE0" w14:textId="77777777" w:rsidR="00FC7D14" w:rsidRDefault="00000000">
            <w:r>
              <w:rPr>
                <w:color w:val="000000"/>
              </w:rPr>
              <w:t>Pregnancy with suspected PE.</w:t>
            </w:r>
          </w:p>
        </w:tc>
      </w:tr>
      <w:tr w:rsidR="00FC7D14" w14:paraId="563B4FAC" w14:textId="77777777">
        <w:tc>
          <w:tcPr>
            <w:tcW w:w="9972" w:type="dxa"/>
            <w:shd w:val="clear" w:color="auto" w:fill="FFFFFF"/>
          </w:tcPr>
          <w:p w14:paraId="3B2359DD" w14:textId="77777777" w:rsidR="00FC7D14" w:rsidRDefault="00000000">
            <w:r>
              <w:rPr>
                <w:color w:val="000000"/>
              </w:rPr>
              <w:t>Unable to anticoagulate safely (major bleeding risk).</w:t>
            </w:r>
          </w:p>
        </w:tc>
      </w:tr>
    </w:tbl>
    <w:p w14:paraId="3C6C51E6" w14:textId="77777777" w:rsidR="00FC7D14" w:rsidRDefault="00FC7D14"/>
    <w:p w14:paraId="228ECB49" w14:textId="77777777" w:rsidR="00FC7D14" w:rsidRDefault="00000000">
      <w:pPr>
        <w:spacing w:before="240" w:after="80"/>
      </w:pPr>
      <w:r>
        <w:rPr>
          <w:b/>
          <w:color w:val="003366"/>
          <w:sz w:val="32"/>
        </w:rPr>
        <w:t>7. GP AKT / SCA Exam Tips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FC7D14" w14:paraId="7822C05E" w14:textId="77777777">
        <w:tc>
          <w:tcPr>
            <w:tcW w:w="9972" w:type="dxa"/>
            <w:shd w:val="clear" w:color="auto" w:fill="003366"/>
          </w:tcPr>
          <w:p w14:paraId="5B19641E" w14:textId="77777777" w:rsidR="00FC7D14" w:rsidRDefault="00000000">
            <w:r>
              <w:rPr>
                <w:b/>
                <w:color w:val="FFFFFF"/>
                <w:sz w:val="24"/>
              </w:rPr>
              <w:t>In the Exam</w:t>
            </w:r>
          </w:p>
        </w:tc>
      </w:tr>
      <w:tr w:rsidR="00FC7D14" w14:paraId="30A915A0" w14:textId="77777777">
        <w:tc>
          <w:tcPr>
            <w:tcW w:w="9972" w:type="dxa"/>
            <w:shd w:val="clear" w:color="auto" w:fill="FFFFFF"/>
          </w:tcPr>
          <w:p w14:paraId="683ABE72" w14:textId="77777777" w:rsidR="00FC7D14" w:rsidRDefault="00000000">
            <w:r>
              <w:rPr>
                <w:color w:val="000000"/>
              </w:rPr>
              <w:t>Know the 7 Wells criteria and their exact scores by memory.</w:t>
            </w:r>
          </w:p>
        </w:tc>
      </w:tr>
      <w:tr w:rsidR="00FC7D14" w14:paraId="1EDFCAAE" w14:textId="77777777">
        <w:tc>
          <w:tcPr>
            <w:tcW w:w="9972" w:type="dxa"/>
            <w:shd w:val="clear" w:color="auto" w:fill="FFFFFF"/>
          </w:tcPr>
          <w:p w14:paraId="61AF586A" w14:textId="77777777" w:rsidR="00FC7D14" w:rsidRDefault="00000000">
            <w:r>
              <w:rPr>
                <w:color w:val="000000"/>
              </w:rPr>
              <w:t>Wells above 4 = CTPA direct (no D-dimer).</w:t>
            </w:r>
          </w:p>
        </w:tc>
      </w:tr>
      <w:tr w:rsidR="00FC7D14" w14:paraId="64FD1F2B" w14:textId="77777777">
        <w:tc>
          <w:tcPr>
            <w:tcW w:w="9972" w:type="dxa"/>
            <w:shd w:val="clear" w:color="auto" w:fill="FFFFFF"/>
          </w:tcPr>
          <w:p w14:paraId="0A6F2578" w14:textId="77777777" w:rsidR="00FC7D14" w:rsidRDefault="00000000">
            <w:r>
              <w:rPr>
                <w:color w:val="000000"/>
              </w:rPr>
              <w:t>Wells 4 or below = D-dimer first.</w:t>
            </w:r>
          </w:p>
        </w:tc>
      </w:tr>
      <w:tr w:rsidR="00FC7D14" w14:paraId="1D610E52" w14:textId="77777777">
        <w:tc>
          <w:tcPr>
            <w:tcW w:w="9972" w:type="dxa"/>
            <w:shd w:val="clear" w:color="auto" w:fill="FFFFFF"/>
          </w:tcPr>
          <w:p w14:paraId="5DA1A5C3" w14:textId="77777777" w:rsidR="00FC7D14" w:rsidRDefault="00000000">
            <w:r>
              <w:rPr>
                <w:color w:val="000000"/>
              </w:rPr>
              <w:t>DOAC first-line: apixaban or rivaroxaban. Know loading doses.</w:t>
            </w:r>
          </w:p>
        </w:tc>
      </w:tr>
      <w:tr w:rsidR="00FC7D14" w14:paraId="5698A2F7" w14:textId="77777777">
        <w:tc>
          <w:tcPr>
            <w:tcW w:w="9972" w:type="dxa"/>
            <w:shd w:val="clear" w:color="auto" w:fill="FFFFFF"/>
          </w:tcPr>
          <w:p w14:paraId="2F6F2985" w14:textId="77777777" w:rsidR="00FC7D14" w:rsidRDefault="00000000">
            <w:r>
              <w:rPr>
                <w:color w:val="000000"/>
              </w:rPr>
              <w:t>Antiphospholipid syndrome = warfarin ONLY (classic AKT trap question).</w:t>
            </w:r>
          </w:p>
        </w:tc>
      </w:tr>
      <w:tr w:rsidR="00FC7D14" w14:paraId="6EFAC826" w14:textId="77777777">
        <w:tc>
          <w:tcPr>
            <w:tcW w:w="9972" w:type="dxa"/>
            <w:shd w:val="clear" w:color="auto" w:fill="FFFFFF"/>
          </w:tcPr>
          <w:p w14:paraId="38B0BACB" w14:textId="77777777" w:rsidR="00FC7D14" w:rsidRDefault="00000000">
            <w:r>
              <w:rPr>
                <w:color w:val="000000"/>
              </w:rPr>
              <w:t>Pregnancy = LMWH only throughout.</w:t>
            </w:r>
          </w:p>
        </w:tc>
      </w:tr>
      <w:tr w:rsidR="00FC7D14" w14:paraId="34325A2C" w14:textId="77777777">
        <w:tc>
          <w:tcPr>
            <w:tcW w:w="9972" w:type="dxa"/>
            <w:shd w:val="clear" w:color="auto" w:fill="FFFFFF"/>
          </w:tcPr>
          <w:p w14:paraId="25DD41CF" w14:textId="77777777" w:rsidR="00FC7D14" w:rsidRDefault="00000000">
            <w:r>
              <w:rPr>
                <w:color w:val="000000"/>
              </w:rPr>
              <w:t>Duration triggers: 3 months provoked; indefinite recurrent/APLS/cancer.</w:t>
            </w:r>
          </w:p>
        </w:tc>
      </w:tr>
      <w:tr w:rsidR="00FC7D14" w14:paraId="202E5C26" w14:textId="77777777">
        <w:tc>
          <w:tcPr>
            <w:tcW w:w="9972" w:type="dxa"/>
            <w:shd w:val="clear" w:color="auto" w:fill="FFFFFF"/>
          </w:tcPr>
          <w:p w14:paraId="0ABA17C3" w14:textId="77777777" w:rsidR="00FC7D14" w:rsidRDefault="00000000">
            <w:r>
              <w:rPr>
                <w:color w:val="000000"/>
              </w:rPr>
              <w:t>CTPA is standard imaging. V/Q scan: preferred in renal impairment, pregnancy (lower radiation to foetus), young women (breast tissue radiation concern).</w:t>
            </w:r>
          </w:p>
        </w:tc>
      </w:tr>
    </w:tbl>
    <w:p w14:paraId="4FB75613" w14:textId="77777777" w:rsidR="00FC7D14" w:rsidRDefault="00000000">
      <w:pPr>
        <w:spacing w:before="240" w:after="80"/>
      </w:pPr>
      <w:r>
        <w:rPr>
          <w:b/>
          <w:color w:val="003366"/>
          <w:sz w:val="32"/>
        </w:rPr>
        <w:t>References</w:t>
      </w:r>
    </w:p>
    <w:p w14:paraId="476E008D" w14:textId="77777777" w:rsidR="00FC7D14" w:rsidRDefault="00000000">
      <w:pPr>
        <w:spacing w:before="40" w:after="80"/>
      </w:pPr>
      <w:r>
        <w:rPr>
          <w:color w:val="505050"/>
        </w:rPr>
        <w:t>[1] NICE NG158. Venous thromboembolic diseases: diagnosis, management and thrombophilia testing. Reviewed May 2026. nice.org.uk/guidance/ng158</w:t>
      </w:r>
    </w:p>
    <w:p w14:paraId="6217FF68" w14:textId="77777777" w:rsidR="00FC7D14" w:rsidRDefault="00000000">
      <w:pPr>
        <w:spacing w:before="40" w:after="80"/>
      </w:pPr>
      <w:r>
        <w:rPr>
          <w:color w:val="505050"/>
        </w:rPr>
        <w:t>[2] BNF 91. March 2026. bnf.nice.org.uk</w:t>
      </w:r>
    </w:p>
    <w:p w14:paraId="4DAE1EFC" w14:textId="77777777" w:rsidR="00FC7D14" w:rsidRDefault="00000000">
      <w:pPr>
        <w:spacing w:before="40" w:after="80"/>
      </w:pPr>
      <w:r>
        <w:rPr>
          <w:color w:val="505050"/>
        </w:rPr>
        <w:t>[3] Wells PS et al. Derivation of a simple clinical model to categorize patients probability of pulmonary embolism. Thrombosis and Haemostasis. 2000;83:416-420.</w:t>
      </w:r>
    </w:p>
    <w:p w14:paraId="2BE77A19" w14:textId="77777777" w:rsidR="00FC7D14" w:rsidRDefault="00FC7D14"/>
    <w:p w14:paraId="6A43CEAC" w14:textId="77777777" w:rsidR="00FC7D14" w:rsidRDefault="00000000">
      <w:pPr>
        <w:shd w:val="clear" w:color="auto" w:fill="FFF3E0"/>
        <w:spacing w:before="120"/>
      </w:pPr>
      <w:r>
        <w:rPr>
          <w:b/>
          <w:color w:val="B43C00"/>
          <w:sz w:val="20"/>
        </w:rPr>
        <w:t>DISCLAIMER: Always double check this advice and drug doses with the latest NICE/BNF guidance. This document is for educational purposes only.</w:t>
      </w:r>
    </w:p>
    <w:sectPr w:rsidR="00FC7D14" w:rsidSect="00034616">
      <w:footerReference w:type="default" r:id="rId8"/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95605" w14:textId="77777777" w:rsidR="008120B3" w:rsidRDefault="008120B3">
      <w:pPr>
        <w:spacing w:after="0" w:line="240" w:lineRule="auto"/>
      </w:pPr>
      <w:r>
        <w:separator/>
      </w:r>
    </w:p>
  </w:endnote>
  <w:endnote w:type="continuationSeparator" w:id="0">
    <w:p w14:paraId="0482F256" w14:textId="77777777" w:rsidR="008120B3" w:rsidRDefault="00812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E9664" w14:textId="77777777" w:rsidR="00FC7D14" w:rsidRDefault="00000000">
    <w:pPr>
      <w:pStyle w:val="Footer"/>
      <w:jc w:val="center"/>
    </w:pPr>
    <w:r>
      <w:rPr>
        <w:color w:val="646464"/>
        <w:sz w:val="18"/>
      </w:rPr>
      <w:t>A free resource provided by www.bradfordvts.co.uk, Dr Ramesh Mehay, revised May 2026 | NICE NG158 | www.bradfordvts.co.uk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7EA12" w14:textId="77777777" w:rsidR="008120B3" w:rsidRDefault="008120B3">
      <w:pPr>
        <w:spacing w:after="0" w:line="240" w:lineRule="auto"/>
      </w:pPr>
      <w:r>
        <w:separator/>
      </w:r>
    </w:p>
  </w:footnote>
  <w:footnote w:type="continuationSeparator" w:id="0">
    <w:p w14:paraId="25D45467" w14:textId="77777777" w:rsidR="008120B3" w:rsidRDefault="00812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83207856">
    <w:abstractNumId w:val="8"/>
  </w:num>
  <w:num w:numId="2" w16cid:durableId="679432579">
    <w:abstractNumId w:val="6"/>
  </w:num>
  <w:num w:numId="3" w16cid:durableId="309940791">
    <w:abstractNumId w:val="5"/>
  </w:num>
  <w:num w:numId="4" w16cid:durableId="1497694382">
    <w:abstractNumId w:val="4"/>
  </w:num>
  <w:num w:numId="5" w16cid:durableId="263151883">
    <w:abstractNumId w:val="7"/>
  </w:num>
  <w:num w:numId="6" w16cid:durableId="1655262172">
    <w:abstractNumId w:val="3"/>
  </w:num>
  <w:num w:numId="7" w16cid:durableId="916669658">
    <w:abstractNumId w:val="2"/>
  </w:num>
  <w:num w:numId="8" w16cid:durableId="311829962">
    <w:abstractNumId w:val="1"/>
  </w:num>
  <w:num w:numId="9" w16cid:durableId="1666397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82397"/>
    <w:rsid w:val="008120B3"/>
    <w:rsid w:val="00A3282A"/>
    <w:rsid w:val="00AA1D8D"/>
    <w:rsid w:val="00B47730"/>
    <w:rsid w:val="00CB0664"/>
    <w:rsid w:val="00FC693F"/>
    <w:rsid w:val="00FC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B415AE"/>
  <w14:defaultImageDpi w14:val="300"/>
  <w15:docId w15:val="{DC3411CE-B967-454E-83D5-2CA63509D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905</Words>
  <Characters>5168</Characters>
  <Application>Microsoft Office Word</Application>
  <DocSecurity>0</DocSecurity>
  <Lines>215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Ramesh Mehay</cp:lastModifiedBy>
  <cp:revision>3</cp:revision>
  <dcterms:created xsi:type="dcterms:W3CDTF">2013-12-23T23:15:00Z</dcterms:created>
  <dcterms:modified xsi:type="dcterms:W3CDTF">2026-06-15T21:43:00Z</dcterms:modified>
  <cp:category/>
</cp:coreProperties>
</file>