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9746"/>
      </w:tblGrid>
      <w:tr w:rsidR="00971884" w14:paraId="25929393" w14:textId="77777777">
        <w:trPr>
          <w:jc w:val="center"/>
        </w:trPr>
        <w:tc>
          <w:tcPr>
            <w:tcW w:w="9746" w:type="dxa"/>
            <w:shd w:val="clear" w:color="auto" w:fill="E0651F"/>
          </w:tcPr>
          <w:p w14:paraId="223B0C09" w14:textId="77777777" w:rsidR="00971884" w:rsidRDefault="00000000">
            <w:pPr>
              <w:spacing w:before="200" w:after="40"/>
              <w:jc w:val="center"/>
            </w:pPr>
            <w:r>
              <w:rPr>
                <w:rFonts w:ascii="Calibri" w:hAnsi="Calibri"/>
                <w:b/>
                <w:caps/>
                <w:color w:val="FFFFFF"/>
              </w:rPr>
              <w:t>BRADFORD VTS TEACHING AIDS</w:t>
            </w:r>
          </w:p>
          <w:p w14:paraId="4E4982F8" w14:textId="04B27D0C" w:rsidR="00971884" w:rsidRDefault="00DE2575">
            <w:pPr>
              <w:spacing w:before="80" w:after="80"/>
              <w:jc w:val="center"/>
            </w:pPr>
            <w:r>
              <w:rPr>
                <w:rFonts w:ascii="Calibri" w:hAnsi="Calibri"/>
                <w:b/>
                <w:color w:val="FFFFFF"/>
                <w:sz w:val="52"/>
              </w:rPr>
              <w:t>Abuse, DOLS &amp; Safeguarding</w:t>
            </w:r>
          </w:p>
          <w:p w14:paraId="75324BCB" w14:textId="77777777" w:rsidR="00971884" w:rsidRDefault="00000000">
            <w:pPr>
              <w:spacing w:before="40"/>
              <w:jc w:val="center"/>
            </w:pPr>
            <w:r>
              <w:rPr>
                <w:rFonts w:ascii="Calibri" w:hAnsi="Calibri"/>
                <w:i/>
                <w:color w:val="FFE5CC"/>
                <w:sz w:val="24"/>
              </w:rPr>
              <w:t>Particular Areas for General Practice  ·  Bradford VTS  ·  May 2026</w:t>
            </w:r>
          </w:p>
        </w:tc>
      </w:tr>
    </w:tbl>
    <w:p w14:paraId="03342661" w14:textId="77777777" w:rsidR="00971884" w:rsidRDefault="00000000">
      <w:pPr>
        <w:jc w:val="center"/>
      </w:pPr>
      <w:r>
        <w:rPr>
          <w:noProof/>
        </w:rPr>
        <w:drawing>
          <wp:inline distT="0" distB="0" distL="0" distR="0" wp14:anchorId="3155F689" wp14:editId="49DFB079">
            <wp:extent cx="5669280" cy="3779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8"/>
                    <a:stretch>
                      <a:fillRect/>
                    </a:stretch>
                  </pic:blipFill>
                  <pic:spPr>
                    <a:xfrm>
                      <a:off x="0" y="0"/>
                      <a:ext cx="5669280" cy="3779520"/>
                    </a:xfrm>
                    <a:prstGeom prst="rect">
                      <a:avLst/>
                    </a:prstGeom>
                  </pic:spPr>
                </pic:pic>
              </a:graphicData>
            </a:graphic>
          </wp:inline>
        </w:drawing>
      </w:r>
    </w:p>
    <w:p w14:paraId="02B0FEA8" w14:textId="77777777" w:rsidR="00971884" w:rsidRDefault="00000000">
      <w:pPr>
        <w:jc w:val="center"/>
      </w:pPr>
      <w:r>
        <w:rPr>
          <w:i/>
          <w:color w:val="7F8C8D"/>
          <w:sz w:val="18"/>
        </w:rPr>
        <w:t>Multi-agency collaboration is at the heart of effective adult safeguarding in the community.</w:t>
      </w:r>
    </w:p>
    <w:p w14:paraId="5B2614FA" w14:textId="77777777" w:rsidR="00971884" w:rsidRDefault="00971884"/>
    <w:p w14:paraId="5EFF9028" w14:textId="77777777" w:rsidR="00971884" w:rsidRDefault="00000000">
      <w:pPr>
        <w:spacing w:before="240" w:after="120"/>
      </w:pPr>
      <w:r>
        <w:rPr>
          <w:rFonts w:ascii="Calibri" w:hAnsi="Calibri"/>
          <w:b/>
          <w:color w:val="1A3A5C"/>
          <w:sz w:val="32"/>
        </w:rPr>
        <w:t>1. What is Adult Safeguarding? (Care Act 2014)</w:t>
      </w:r>
    </w:p>
    <w:tbl>
      <w:tblPr>
        <w:tblStyle w:val="TableGrid"/>
        <w:tblW w:w="0" w:type="auto"/>
        <w:jc w:val="center"/>
        <w:tblLook w:val="04A0" w:firstRow="1" w:lastRow="0" w:firstColumn="1" w:lastColumn="0" w:noHBand="0" w:noVBand="1"/>
      </w:tblPr>
      <w:tblGrid>
        <w:gridCol w:w="9746"/>
      </w:tblGrid>
      <w:tr w:rsidR="00971884" w14:paraId="0DD565DF" w14:textId="77777777">
        <w:trPr>
          <w:jc w:val="center"/>
        </w:trPr>
        <w:tc>
          <w:tcPr>
            <w:tcW w:w="9746" w:type="dxa"/>
            <w:shd w:val="clear" w:color="auto" w:fill="FEF9E7"/>
          </w:tcPr>
          <w:p w14:paraId="0D4A42D3" w14:textId="77777777" w:rsidR="00971884" w:rsidRDefault="00000000">
            <w:pPr>
              <w:spacing w:before="80" w:after="40"/>
            </w:pPr>
            <w:r>
              <w:rPr>
                <w:rFonts w:ascii="Calibri" w:hAnsi="Calibri"/>
                <w:b/>
                <w:color w:val="7D6608"/>
              </w:rPr>
              <w:t>📋 Statutory Definition — Care Act 2014, Section 42</w:t>
            </w:r>
          </w:p>
          <w:p w14:paraId="74F24887" w14:textId="77777777" w:rsidR="00971884" w:rsidRDefault="00000000">
            <w:pPr>
              <w:spacing w:before="40" w:after="80"/>
            </w:pPr>
            <w:r>
              <w:rPr>
                <w:rFonts w:ascii="Calibri" w:hAnsi="Calibri"/>
                <w:sz w:val="21"/>
              </w:rPr>
              <w:t>A safeguarding duty applies to an adult who:</w:t>
            </w:r>
            <w:r>
              <w:rPr>
                <w:rFonts w:ascii="Calibri" w:hAnsi="Calibri"/>
                <w:sz w:val="21"/>
              </w:rPr>
              <w:br/>
              <w:t>1. Has needs for care and support (whether or not the Local Authority is meeting those needs)</w:t>
            </w:r>
            <w:r>
              <w:rPr>
                <w:rFonts w:ascii="Calibri" w:hAnsi="Calibri"/>
                <w:sz w:val="21"/>
              </w:rPr>
              <w:br/>
              <w:t>2. Is experiencing, or is at risk of, abuse or neglect</w:t>
            </w:r>
            <w:r>
              <w:rPr>
                <w:rFonts w:ascii="Calibri" w:hAnsi="Calibri"/>
                <w:sz w:val="21"/>
              </w:rPr>
              <w:br/>
              <w:t>3. As a result of those care and support needs, is unable to protect themselves from the risk or experience of abuse or neglect</w:t>
            </w:r>
            <w:r>
              <w:rPr>
                <w:rFonts w:ascii="Calibri" w:hAnsi="Calibri"/>
                <w:sz w:val="21"/>
              </w:rPr>
              <w:br/>
            </w:r>
            <w:r>
              <w:rPr>
                <w:rFonts w:ascii="Calibri" w:hAnsi="Calibri"/>
                <w:sz w:val="21"/>
              </w:rPr>
              <w:br/>
              <w:t>Safeguarding means protecting an adult's right to live in safety, free from abuse and neglect. It is about people and organisations working together to prevent and stop both the risks and experience of abuse or neglect. (Care Act Guidance, 2023)</w:t>
            </w:r>
          </w:p>
        </w:tc>
      </w:tr>
    </w:tbl>
    <w:p w14:paraId="4EB1D52E" w14:textId="77777777" w:rsidR="00971884" w:rsidRDefault="00971884"/>
    <w:p w14:paraId="6010047A" w14:textId="77777777" w:rsidR="001C4CCD" w:rsidRDefault="001C4CCD">
      <w:pPr>
        <w:rPr>
          <w:rFonts w:ascii="Calibri" w:hAnsi="Calibri"/>
          <w:b/>
          <w:color w:val="2E86AB"/>
          <w:sz w:val="28"/>
        </w:rPr>
      </w:pPr>
      <w:r>
        <w:rPr>
          <w:rFonts w:ascii="Calibri" w:hAnsi="Calibri"/>
          <w:b/>
          <w:color w:val="2E86AB"/>
          <w:sz w:val="28"/>
        </w:rPr>
        <w:br w:type="page"/>
      </w:r>
    </w:p>
    <w:p w14:paraId="174C3642" w14:textId="7AD1DCC9" w:rsidR="00971884" w:rsidRDefault="00000000">
      <w:pPr>
        <w:spacing w:before="160" w:after="120"/>
      </w:pPr>
      <w:r>
        <w:rPr>
          <w:rFonts w:ascii="Calibri" w:hAnsi="Calibri"/>
          <w:b/>
          <w:color w:val="2E86AB"/>
          <w:sz w:val="28"/>
        </w:rPr>
        <w:lastRenderedPageBreak/>
        <w:t>The Six Safeguarding Principles (Care Act 2014)</w:t>
      </w:r>
    </w:p>
    <w:p w14:paraId="61CA2EB5" w14:textId="77777777" w:rsidR="00971884" w:rsidRDefault="00000000">
      <w:pPr>
        <w:pStyle w:val="ListBullet"/>
        <w:spacing w:before="20" w:after="40"/>
        <w:ind w:left="432"/>
      </w:pPr>
      <w:r>
        <w:rPr>
          <w:rFonts w:ascii="Calibri" w:hAnsi="Calibri"/>
          <w:b/>
          <w:color w:val="2C3E50"/>
        </w:rPr>
        <w:t xml:space="preserve">1. Empowerment: </w:t>
      </w:r>
      <w:r>
        <w:rPr>
          <w:rFonts w:ascii="Calibri" w:hAnsi="Calibri"/>
          <w:color w:val="2C3E50"/>
        </w:rPr>
        <w:t>People are supported and encouraged to make their own decisions and give informed consent.</w:t>
      </w:r>
    </w:p>
    <w:p w14:paraId="246EC074" w14:textId="77777777" w:rsidR="00971884" w:rsidRDefault="00000000">
      <w:pPr>
        <w:pStyle w:val="ListBullet"/>
        <w:spacing w:before="20" w:after="40"/>
        <w:ind w:left="432"/>
      </w:pPr>
      <w:r>
        <w:rPr>
          <w:rFonts w:ascii="Calibri" w:hAnsi="Calibri"/>
          <w:b/>
          <w:color w:val="2C3E50"/>
        </w:rPr>
        <w:t xml:space="preserve">2. Prevention: </w:t>
      </w:r>
      <w:r>
        <w:rPr>
          <w:rFonts w:ascii="Calibri" w:hAnsi="Calibri"/>
          <w:color w:val="2C3E50"/>
        </w:rPr>
        <w:t>It is better to act before harm occurs. Proactively identify risk and act early.</w:t>
      </w:r>
    </w:p>
    <w:p w14:paraId="47D9EECB" w14:textId="77777777" w:rsidR="00971884" w:rsidRDefault="00000000">
      <w:pPr>
        <w:pStyle w:val="ListBullet"/>
        <w:spacing w:before="20" w:after="40"/>
        <w:ind w:left="432"/>
      </w:pPr>
      <w:r>
        <w:rPr>
          <w:rFonts w:ascii="Calibri" w:hAnsi="Calibri"/>
          <w:b/>
          <w:color w:val="2C3E50"/>
        </w:rPr>
        <w:t xml:space="preserve">3. Proportionality: </w:t>
      </w:r>
      <w:r>
        <w:rPr>
          <w:rFonts w:ascii="Calibri" w:hAnsi="Calibri"/>
          <w:color w:val="2C3E50"/>
        </w:rPr>
        <w:t>The least intrusive response appropriate to the risk presented.</w:t>
      </w:r>
    </w:p>
    <w:p w14:paraId="0EAAB49F" w14:textId="77777777" w:rsidR="00971884" w:rsidRDefault="00000000">
      <w:pPr>
        <w:pStyle w:val="ListBullet"/>
        <w:spacing w:before="20" w:after="40"/>
        <w:ind w:left="432"/>
      </w:pPr>
      <w:r>
        <w:rPr>
          <w:rFonts w:ascii="Calibri" w:hAnsi="Calibri"/>
          <w:b/>
          <w:color w:val="2C3E50"/>
        </w:rPr>
        <w:t xml:space="preserve">4. Protection: </w:t>
      </w:r>
      <w:r>
        <w:rPr>
          <w:rFonts w:ascii="Calibri" w:hAnsi="Calibri"/>
          <w:color w:val="2C3E50"/>
        </w:rPr>
        <w:t>Support and representation for those in greatest need.</w:t>
      </w:r>
    </w:p>
    <w:p w14:paraId="45DFE731" w14:textId="77777777" w:rsidR="00971884" w:rsidRDefault="00000000">
      <w:pPr>
        <w:pStyle w:val="ListBullet"/>
        <w:spacing w:before="20" w:after="40"/>
        <w:ind w:left="432"/>
      </w:pPr>
      <w:r>
        <w:rPr>
          <w:rFonts w:ascii="Calibri" w:hAnsi="Calibri"/>
          <w:b/>
          <w:color w:val="2C3E50"/>
        </w:rPr>
        <w:t xml:space="preserve">5. Partnership: </w:t>
      </w:r>
      <w:r>
        <w:rPr>
          <w:rFonts w:ascii="Calibri" w:hAnsi="Calibri"/>
          <w:color w:val="2C3E50"/>
        </w:rPr>
        <w:t>Local solutions through services working with their communities. Communities have a part to play.</w:t>
      </w:r>
    </w:p>
    <w:p w14:paraId="39B51BD1" w14:textId="77777777" w:rsidR="00971884" w:rsidRDefault="00000000">
      <w:pPr>
        <w:pStyle w:val="ListBullet"/>
        <w:spacing w:before="20" w:after="40"/>
        <w:ind w:left="432"/>
      </w:pPr>
      <w:r>
        <w:rPr>
          <w:rFonts w:ascii="Calibri" w:hAnsi="Calibri"/>
          <w:b/>
          <w:color w:val="2C3E50"/>
        </w:rPr>
        <w:t xml:space="preserve">6. Accountability: </w:t>
      </w:r>
      <w:r>
        <w:rPr>
          <w:rFonts w:ascii="Calibri" w:hAnsi="Calibri"/>
          <w:color w:val="2C3E50"/>
        </w:rPr>
        <w:t>Accountability and transparency in delivering safeguarding. Clear lines of responsibility.</w:t>
      </w:r>
    </w:p>
    <w:p w14:paraId="73F8F2AB" w14:textId="77777777" w:rsidR="00971884" w:rsidRDefault="00000000">
      <w:pPr>
        <w:spacing w:before="40" w:after="80"/>
      </w:pPr>
      <w:r>
        <w:rPr>
          <w:rFonts w:ascii="Calibri" w:hAnsi="Calibri"/>
          <w:b/>
          <w:i/>
          <w:color w:val="1E8449"/>
        </w:rPr>
        <w:t>Memory mnemonic: EP4 — Empowerment, Prevention, Proportionality, Protection, Partnership, Accountability</w:t>
      </w:r>
    </w:p>
    <w:p w14:paraId="308290D8" w14:textId="77777777" w:rsidR="00971884" w:rsidRDefault="00000000">
      <w:pPr>
        <w:spacing w:before="240" w:after="120"/>
      </w:pPr>
      <w:r>
        <w:rPr>
          <w:rFonts w:ascii="Calibri" w:hAnsi="Calibri"/>
          <w:b/>
          <w:color w:val="1A3A5C"/>
          <w:sz w:val="32"/>
        </w:rPr>
        <w:t>2. Categories of Abuse (10 Types — Care Act 2014)</w:t>
      </w:r>
    </w:p>
    <w:tbl>
      <w:tblPr>
        <w:tblStyle w:val="TableGrid"/>
        <w:tblW w:w="0" w:type="auto"/>
        <w:jc w:val="center"/>
        <w:tblLook w:val="04A0" w:firstRow="1" w:lastRow="0" w:firstColumn="1" w:lastColumn="0" w:noHBand="0" w:noVBand="1"/>
      </w:tblPr>
      <w:tblGrid>
        <w:gridCol w:w="4873"/>
        <w:gridCol w:w="4873"/>
      </w:tblGrid>
      <w:tr w:rsidR="00971884" w14:paraId="26AFDCA5" w14:textId="77777777">
        <w:trPr>
          <w:jc w:val="center"/>
        </w:trPr>
        <w:tc>
          <w:tcPr>
            <w:tcW w:w="4873" w:type="dxa"/>
            <w:shd w:val="clear" w:color="auto" w:fill="1A3A5C"/>
          </w:tcPr>
          <w:p w14:paraId="1BFB78BA" w14:textId="77777777" w:rsidR="00971884" w:rsidRDefault="00000000">
            <w:r>
              <w:rPr>
                <w:rFonts w:ascii="Calibri" w:hAnsi="Calibri"/>
                <w:b/>
                <w:color w:val="FFFFFF"/>
                <w:sz w:val="21"/>
              </w:rPr>
              <w:t>Category of Abuse</w:t>
            </w:r>
          </w:p>
        </w:tc>
        <w:tc>
          <w:tcPr>
            <w:tcW w:w="4873" w:type="dxa"/>
            <w:shd w:val="clear" w:color="auto" w:fill="1A3A5C"/>
          </w:tcPr>
          <w:p w14:paraId="19532B46" w14:textId="77777777" w:rsidR="00971884" w:rsidRDefault="00000000">
            <w:r>
              <w:rPr>
                <w:rFonts w:ascii="Calibri" w:hAnsi="Calibri"/>
                <w:b/>
                <w:color w:val="FFFFFF"/>
                <w:sz w:val="21"/>
              </w:rPr>
              <w:t>Description (Care Act 2014)</w:t>
            </w:r>
          </w:p>
        </w:tc>
      </w:tr>
      <w:tr w:rsidR="00971884" w14:paraId="5EEECD9A" w14:textId="77777777">
        <w:trPr>
          <w:jc w:val="center"/>
        </w:trPr>
        <w:tc>
          <w:tcPr>
            <w:tcW w:w="4873" w:type="dxa"/>
            <w:shd w:val="clear" w:color="auto" w:fill="EBF5FB"/>
          </w:tcPr>
          <w:p w14:paraId="43B072F8" w14:textId="77777777" w:rsidR="00971884" w:rsidRDefault="00000000">
            <w:r>
              <w:rPr>
                <w:rFonts w:ascii="Calibri" w:hAnsi="Calibri"/>
                <w:b/>
                <w:sz w:val="20"/>
              </w:rPr>
              <w:t>Physical abuse</w:t>
            </w:r>
          </w:p>
        </w:tc>
        <w:tc>
          <w:tcPr>
            <w:tcW w:w="4873" w:type="dxa"/>
            <w:shd w:val="clear" w:color="auto" w:fill="EBF5FB"/>
          </w:tcPr>
          <w:p w14:paraId="63376371" w14:textId="77777777" w:rsidR="00971884" w:rsidRDefault="00000000">
            <w:r>
              <w:rPr>
                <w:rFonts w:ascii="Calibri" w:hAnsi="Calibri"/>
                <w:sz w:val="20"/>
              </w:rPr>
              <w:t>Assault, hitting, slapping, pushing, misuse of medication, restraint, inappropriate physical sanctions, FGM.</w:t>
            </w:r>
          </w:p>
        </w:tc>
      </w:tr>
      <w:tr w:rsidR="00971884" w14:paraId="6B3A7028" w14:textId="77777777">
        <w:trPr>
          <w:jc w:val="center"/>
        </w:trPr>
        <w:tc>
          <w:tcPr>
            <w:tcW w:w="4873" w:type="dxa"/>
            <w:shd w:val="clear" w:color="auto" w:fill="FFFFFF"/>
          </w:tcPr>
          <w:p w14:paraId="0A5267D6" w14:textId="77777777" w:rsidR="00971884" w:rsidRDefault="00000000">
            <w:r>
              <w:rPr>
                <w:rFonts w:ascii="Calibri" w:hAnsi="Calibri"/>
                <w:b/>
                <w:sz w:val="20"/>
              </w:rPr>
              <w:t>Domestic violence</w:t>
            </w:r>
          </w:p>
        </w:tc>
        <w:tc>
          <w:tcPr>
            <w:tcW w:w="4873" w:type="dxa"/>
            <w:shd w:val="clear" w:color="auto" w:fill="FFFFFF"/>
          </w:tcPr>
          <w:p w14:paraId="16663CE2" w14:textId="77777777" w:rsidR="00971884" w:rsidRDefault="00000000">
            <w:r>
              <w:rPr>
                <w:rFonts w:ascii="Calibri" w:hAnsi="Calibri"/>
                <w:sz w:val="20"/>
              </w:rPr>
              <w:t>Psychological, physical, sexual, financial, emotional abuse. Honour-based violence (HBV) and forced marriage.</w:t>
            </w:r>
          </w:p>
        </w:tc>
      </w:tr>
      <w:tr w:rsidR="00971884" w14:paraId="4A5C2185" w14:textId="77777777">
        <w:trPr>
          <w:jc w:val="center"/>
        </w:trPr>
        <w:tc>
          <w:tcPr>
            <w:tcW w:w="4873" w:type="dxa"/>
            <w:shd w:val="clear" w:color="auto" w:fill="EBF5FB"/>
          </w:tcPr>
          <w:p w14:paraId="3BEDA85E" w14:textId="77777777" w:rsidR="00971884" w:rsidRDefault="00000000">
            <w:r>
              <w:rPr>
                <w:rFonts w:ascii="Calibri" w:hAnsi="Calibri"/>
                <w:b/>
                <w:sz w:val="20"/>
              </w:rPr>
              <w:t>Sexual abuse</w:t>
            </w:r>
          </w:p>
        </w:tc>
        <w:tc>
          <w:tcPr>
            <w:tcW w:w="4873" w:type="dxa"/>
            <w:shd w:val="clear" w:color="auto" w:fill="EBF5FB"/>
          </w:tcPr>
          <w:p w14:paraId="2760DF1D" w14:textId="77777777" w:rsidR="00971884" w:rsidRDefault="00000000">
            <w:r>
              <w:rPr>
                <w:rFonts w:ascii="Calibri" w:hAnsi="Calibri"/>
                <w:sz w:val="20"/>
              </w:rPr>
              <w:t>Rape, indecent exposure, sexual harassment, inappropriate touching, sexual photography, subjection to pornography, sexual teasing or innuendo.</w:t>
            </w:r>
          </w:p>
        </w:tc>
      </w:tr>
      <w:tr w:rsidR="00971884" w14:paraId="67CE40BD" w14:textId="77777777">
        <w:trPr>
          <w:jc w:val="center"/>
        </w:trPr>
        <w:tc>
          <w:tcPr>
            <w:tcW w:w="4873" w:type="dxa"/>
            <w:shd w:val="clear" w:color="auto" w:fill="FFFFFF"/>
          </w:tcPr>
          <w:p w14:paraId="4B7EB7D1" w14:textId="77777777" w:rsidR="00971884" w:rsidRDefault="00000000">
            <w:r>
              <w:rPr>
                <w:rFonts w:ascii="Calibri" w:hAnsi="Calibri"/>
                <w:b/>
                <w:sz w:val="20"/>
              </w:rPr>
              <w:t>Psychological abuse</w:t>
            </w:r>
          </w:p>
        </w:tc>
        <w:tc>
          <w:tcPr>
            <w:tcW w:w="4873" w:type="dxa"/>
            <w:shd w:val="clear" w:color="auto" w:fill="FFFFFF"/>
          </w:tcPr>
          <w:p w14:paraId="575EB839" w14:textId="77777777" w:rsidR="00971884" w:rsidRDefault="00000000">
            <w:r>
              <w:rPr>
                <w:rFonts w:ascii="Calibri" w:hAnsi="Calibri"/>
                <w:sz w:val="20"/>
              </w:rPr>
              <w:t>Emotional abuse, threats of harm or abandonment, deprivation of contact, humiliation, intimidation, coercion, harassment, verbal abuse, cyber bullying, isolation, unjustified withdrawal of support.</w:t>
            </w:r>
          </w:p>
        </w:tc>
      </w:tr>
      <w:tr w:rsidR="00971884" w14:paraId="2C9755C4" w14:textId="77777777">
        <w:trPr>
          <w:jc w:val="center"/>
        </w:trPr>
        <w:tc>
          <w:tcPr>
            <w:tcW w:w="4873" w:type="dxa"/>
            <w:shd w:val="clear" w:color="auto" w:fill="EBF5FB"/>
          </w:tcPr>
          <w:p w14:paraId="6E969149" w14:textId="77777777" w:rsidR="00971884" w:rsidRDefault="00000000">
            <w:r>
              <w:rPr>
                <w:rFonts w:ascii="Calibri" w:hAnsi="Calibri"/>
                <w:b/>
                <w:sz w:val="20"/>
              </w:rPr>
              <w:t>Financial / material abuse</w:t>
            </w:r>
          </w:p>
        </w:tc>
        <w:tc>
          <w:tcPr>
            <w:tcW w:w="4873" w:type="dxa"/>
            <w:shd w:val="clear" w:color="auto" w:fill="EBF5FB"/>
          </w:tcPr>
          <w:p w14:paraId="21509CAD" w14:textId="77777777" w:rsidR="00971884" w:rsidRDefault="00000000">
            <w:r>
              <w:rPr>
                <w:rFonts w:ascii="Calibri" w:hAnsi="Calibri"/>
                <w:sz w:val="20"/>
              </w:rPr>
              <w:t>Theft, fraud, internet scamming, coercion regarding financial affairs, misuse of property or benefits, coercion regarding wills or inheritance.</w:t>
            </w:r>
          </w:p>
        </w:tc>
      </w:tr>
      <w:tr w:rsidR="00971884" w14:paraId="54BB0AC5" w14:textId="77777777">
        <w:trPr>
          <w:jc w:val="center"/>
        </w:trPr>
        <w:tc>
          <w:tcPr>
            <w:tcW w:w="4873" w:type="dxa"/>
            <w:shd w:val="clear" w:color="auto" w:fill="FFFFFF"/>
          </w:tcPr>
          <w:p w14:paraId="44C20D87" w14:textId="77777777" w:rsidR="00971884" w:rsidRDefault="00000000">
            <w:r>
              <w:rPr>
                <w:rFonts w:ascii="Calibri" w:hAnsi="Calibri"/>
                <w:b/>
                <w:sz w:val="20"/>
              </w:rPr>
              <w:t>Modern slavery</w:t>
            </w:r>
          </w:p>
        </w:tc>
        <w:tc>
          <w:tcPr>
            <w:tcW w:w="4873" w:type="dxa"/>
            <w:shd w:val="clear" w:color="auto" w:fill="FFFFFF"/>
          </w:tcPr>
          <w:p w14:paraId="638DDF43" w14:textId="77777777" w:rsidR="00971884" w:rsidRDefault="00000000">
            <w:r>
              <w:rPr>
                <w:rFonts w:ascii="Calibri" w:hAnsi="Calibri"/>
                <w:sz w:val="20"/>
              </w:rPr>
              <w:t>Trafficking, forced labour, domestic servitude. Traffickers use coercion and deception to force individuals into abuse and inhumane treatment.</w:t>
            </w:r>
          </w:p>
        </w:tc>
      </w:tr>
      <w:tr w:rsidR="00971884" w14:paraId="53F27FD0" w14:textId="77777777">
        <w:trPr>
          <w:jc w:val="center"/>
        </w:trPr>
        <w:tc>
          <w:tcPr>
            <w:tcW w:w="4873" w:type="dxa"/>
            <w:shd w:val="clear" w:color="auto" w:fill="EBF5FB"/>
          </w:tcPr>
          <w:p w14:paraId="269903F4" w14:textId="77777777" w:rsidR="00971884" w:rsidRDefault="00000000">
            <w:r>
              <w:rPr>
                <w:rFonts w:ascii="Calibri" w:hAnsi="Calibri"/>
                <w:b/>
                <w:sz w:val="20"/>
              </w:rPr>
              <w:t>Discriminatory abuse</w:t>
            </w:r>
          </w:p>
        </w:tc>
        <w:tc>
          <w:tcPr>
            <w:tcW w:w="4873" w:type="dxa"/>
            <w:shd w:val="clear" w:color="auto" w:fill="EBF5FB"/>
          </w:tcPr>
          <w:p w14:paraId="5739800E" w14:textId="77777777" w:rsidR="00971884" w:rsidRDefault="00000000">
            <w:r>
              <w:rPr>
                <w:rFonts w:ascii="Calibri" w:hAnsi="Calibri"/>
                <w:sz w:val="20"/>
              </w:rPr>
              <w:t>Harassment, slurs, or similar treatment because of race, gender/gender identity, age, disability, sexual orientation, or religion.</w:t>
            </w:r>
          </w:p>
        </w:tc>
      </w:tr>
      <w:tr w:rsidR="00971884" w14:paraId="704F851A" w14:textId="77777777">
        <w:trPr>
          <w:jc w:val="center"/>
        </w:trPr>
        <w:tc>
          <w:tcPr>
            <w:tcW w:w="4873" w:type="dxa"/>
            <w:shd w:val="clear" w:color="auto" w:fill="FFFFFF"/>
          </w:tcPr>
          <w:p w14:paraId="191E2987" w14:textId="77777777" w:rsidR="00971884" w:rsidRDefault="00000000">
            <w:r>
              <w:rPr>
                <w:rFonts w:ascii="Calibri" w:hAnsi="Calibri"/>
                <w:b/>
                <w:sz w:val="20"/>
              </w:rPr>
              <w:t>Organisational abuse</w:t>
            </w:r>
          </w:p>
        </w:tc>
        <w:tc>
          <w:tcPr>
            <w:tcW w:w="4873" w:type="dxa"/>
            <w:shd w:val="clear" w:color="auto" w:fill="FFFFFF"/>
          </w:tcPr>
          <w:p w14:paraId="352BE727" w14:textId="77777777" w:rsidR="00971884" w:rsidRDefault="00000000">
            <w:r>
              <w:rPr>
                <w:rFonts w:ascii="Calibri" w:hAnsi="Calibri"/>
                <w:sz w:val="20"/>
              </w:rPr>
              <w:t>Neglect and poor care practice within an institution or care setting (hospital, care home, or domiciliary care). May range from one-off incidents to ongoing ill-treatment.</w:t>
            </w:r>
          </w:p>
        </w:tc>
      </w:tr>
      <w:tr w:rsidR="00971884" w14:paraId="1EF5CBD4" w14:textId="77777777">
        <w:trPr>
          <w:jc w:val="center"/>
        </w:trPr>
        <w:tc>
          <w:tcPr>
            <w:tcW w:w="4873" w:type="dxa"/>
            <w:shd w:val="clear" w:color="auto" w:fill="EBF5FB"/>
          </w:tcPr>
          <w:p w14:paraId="35B230A8" w14:textId="77777777" w:rsidR="00971884" w:rsidRDefault="00000000">
            <w:r>
              <w:rPr>
                <w:rFonts w:ascii="Calibri" w:hAnsi="Calibri"/>
                <w:b/>
                <w:sz w:val="20"/>
              </w:rPr>
              <w:t>Neglect and acts of omission</w:t>
            </w:r>
          </w:p>
        </w:tc>
        <w:tc>
          <w:tcPr>
            <w:tcW w:w="4873" w:type="dxa"/>
            <w:shd w:val="clear" w:color="auto" w:fill="EBF5FB"/>
          </w:tcPr>
          <w:p w14:paraId="10015A67" w14:textId="77777777" w:rsidR="00971884" w:rsidRDefault="00000000">
            <w:r>
              <w:rPr>
                <w:rFonts w:ascii="Calibri" w:hAnsi="Calibri"/>
                <w:sz w:val="20"/>
              </w:rPr>
              <w:t>Ignoring medical, emotional, or physical care needs; failure to provide access to health, care, or educational services; withholding necessities of life (medication, nutrition, heating).</w:t>
            </w:r>
          </w:p>
        </w:tc>
      </w:tr>
      <w:tr w:rsidR="00971884" w14:paraId="24FA638A" w14:textId="77777777">
        <w:trPr>
          <w:jc w:val="center"/>
        </w:trPr>
        <w:tc>
          <w:tcPr>
            <w:tcW w:w="4873" w:type="dxa"/>
            <w:shd w:val="clear" w:color="auto" w:fill="FFFFFF"/>
          </w:tcPr>
          <w:p w14:paraId="56995683" w14:textId="77777777" w:rsidR="00971884" w:rsidRDefault="00000000">
            <w:r>
              <w:rPr>
                <w:rFonts w:ascii="Calibri" w:hAnsi="Calibri"/>
                <w:b/>
                <w:sz w:val="20"/>
              </w:rPr>
              <w:t>Self-neglect</w:t>
            </w:r>
          </w:p>
        </w:tc>
        <w:tc>
          <w:tcPr>
            <w:tcW w:w="4873" w:type="dxa"/>
            <w:shd w:val="clear" w:color="auto" w:fill="FFFFFF"/>
          </w:tcPr>
          <w:p w14:paraId="5398B8E7" w14:textId="77777777" w:rsidR="00971884" w:rsidRDefault="00000000">
            <w:r>
              <w:rPr>
                <w:rFonts w:ascii="Calibri" w:hAnsi="Calibri"/>
                <w:sz w:val="20"/>
              </w:rPr>
              <w:t>Neglecting to care for one's personal hygiene, health, or surroundings; hoarding; refusing appropriate care or medication.</w:t>
            </w:r>
          </w:p>
        </w:tc>
      </w:tr>
    </w:tbl>
    <w:p w14:paraId="34C97502" w14:textId="77777777" w:rsidR="00971884" w:rsidRDefault="00971884"/>
    <w:p w14:paraId="2F9A9955" w14:textId="77777777" w:rsidR="00971884" w:rsidRDefault="00000000">
      <w:pPr>
        <w:spacing w:before="240" w:after="120"/>
      </w:pPr>
      <w:r>
        <w:rPr>
          <w:rFonts w:ascii="Calibri" w:hAnsi="Calibri"/>
          <w:b/>
          <w:color w:val="1A3A5C"/>
          <w:sz w:val="32"/>
        </w:rPr>
        <w:lastRenderedPageBreak/>
        <w:t>3. Recognising Abuse in General Practice</w:t>
      </w:r>
    </w:p>
    <w:p w14:paraId="58F90FEB" w14:textId="77777777" w:rsidR="00971884" w:rsidRDefault="00000000">
      <w:pPr>
        <w:spacing w:before="40" w:after="80"/>
      </w:pPr>
      <w:r>
        <w:rPr>
          <w:rFonts w:ascii="Calibri" w:hAnsi="Calibri"/>
          <w:color w:val="2C3E50"/>
        </w:rPr>
        <w:t>Abuse may be one-off or repeated; deliberate or unintentional; from action or inaction; perpetrated by any person (family member, carer, other patients, staff, neighbours). It can take place in any setting.</w:t>
      </w:r>
    </w:p>
    <w:p w14:paraId="65E4937E" w14:textId="77777777" w:rsidR="00971884" w:rsidRDefault="00000000">
      <w:pPr>
        <w:spacing w:before="120" w:after="120"/>
      </w:pPr>
      <w:r>
        <w:rPr>
          <w:rFonts w:ascii="Calibri" w:hAnsi="Calibri"/>
          <w:b/>
          <w:color w:val="2E86AB"/>
          <w:sz w:val="24"/>
        </w:rPr>
        <w:t>Physical signs:</w:t>
      </w:r>
    </w:p>
    <w:p w14:paraId="0CFB42E9" w14:textId="77777777" w:rsidR="00971884" w:rsidRDefault="00000000">
      <w:pPr>
        <w:pStyle w:val="ListBullet"/>
        <w:spacing w:before="20" w:after="40"/>
        <w:ind w:left="432"/>
      </w:pPr>
      <w:r>
        <w:rPr>
          <w:rFonts w:ascii="Calibri" w:hAnsi="Calibri"/>
          <w:color w:val="2C3E50"/>
        </w:rPr>
        <w:t>Unexplained injuries or injuries inconsistent with the explanation given</w:t>
      </w:r>
    </w:p>
    <w:p w14:paraId="1E429AF8" w14:textId="77777777" w:rsidR="00971884" w:rsidRDefault="00000000">
      <w:pPr>
        <w:pStyle w:val="ListBullet"/>
        <w:spacing w:before="20" w:after="40"/>
        <w:ind w:left="432"/>
      </w:pPr>
      <w:r>
        <w:rPr>
          <w:rFonts w:ascii="Calibri" w:hAnsi="Calibri"/>
          <w:color w:val="2C3E50"/>
        </w:rPr>
        <w:t>Burns, bruises in unusual sites or at different stages of healing</w:t>
      </w:r>
    </w:p>
    <w:p w14:paraId="7C3FEA04" w14:textId="77777777" w:rsidR="00971884" w:rsidRDefault="00000000">
      <w:pPr>
        <w:pStyle w:val="ListBullet"/>
        <w:spacing w:before="20" w:after="40"/>
        <w:ind w:left="432"/>
      </w:pPr>
      <w:r>
        <w:rPr>
          <w:rFonts w:ascii="Calibri" w:hAnsi="Calibri"/>
          <w:color w:val="2C3E50"/>
        </w:rPr>
        <w:t>Pressure sores (Grade 3 or 4), especially in a person who is dependent</w:t>
      </w:r>
    </w:p>
    <w:p w14:paraId="3B01980F" w14:textId="77777777" w:rsidR="00971884" w:rsidRDefault="00000000">
      <w:pPr>
        <w:pStyle w:val="ListBullet"/>
        <w:spacing w:before="20" w:after="40"/>
        <w:ind w:left="432"/>
      </w:pPr>
      <w:r>
        <w:rPr>
          <w:rFonts w:ascii="Calibri" w:hAnsi="Calibri"/>
          <w:color w:val="2C3E50"/>
        </w:rPr>
        <w:t>Significant weight loss, malnutrition, or dehydration in a person with care needs</w:t>
      </w:r>
    </w:p>
    <w:p w14:paraId="473353FC" w14:textId="77777777" w:rsidR="00971884" w:rsidRDefault="00000000">
      <w:pPr>
        <w:pStyle w:val="ListBullet"/>
        <w:spacing w:before="20" w:after="40"/>
        <w:ind w:left="432"/>
      </w:pPr>
      <w:r>
        <w:rPr>
          <w:rFonts w:ascii="Calibri" w:hAnsi="Calibri"/>
          <w:color w:val="2C3E50"/>
        </w:rPr>
        <w:t>Over-sedation or evidence of medication misuse</w:t>
      </w:r>
    </w:p>
    <w:p w14:paraId="1729D0E7" w14:textId="77777777" w:rsidR="00971884" w:rsidRDefault="00000000">
      <w:pPr>
        <w:pStyle w:val="ListBullet"/>
        <w:spacing w:before="20" w:after="40"/>
        <w:ind w:left="432"/>
      </w:pPr>
      <w:r>
        <w:rPr>
          <w:rFonts w:ascii="Calibri" w:hAnsi="Calibri"/>
          <w:color w:val="2C3E50"/>
        </w:rPr>
        <w:t>Poor hygiene inappropriate to the person's own means</w:t>
      </w:r>
    </w:p>
    <w:p w14:paraId="3A3FE60A" w14:textId="77777777" w:rsidR="00971884" w:rsidRDefault="00000000">
      <w:pPr>
        <w:pStyle w:val="ListBullet"/>
        <w:spacing w:before="20" w:after="40"/>
        <w:ind w:left="432"/>
      </w:pPr>
      <w:r>
        <w:rPr>
          <w:rFonts w:ascii="Calibri" w:hAnsi="Calibri"/>
          <w:color w:val="2C3E50"/>
        </w:rPr>
        <w:t>Signs of non-fatal strangulation (NFS) — often NO visible marks</w:t>
      </w:r>
    </w:p>
    <w:p w14:paraId="4068E958" w14:textId="77777777" w:rsidR="00971884" w:rsidRDefault="00000000">
      <w:pPr>
        <w:spacing w:before="120" w:after="120"/>
      </w:pPr>
      <w:r>
        <w:rPr>
          <w:rFonts w:ascii="Calibri" w:hAnsi="Calibri"/>
          <w:b/>
          <w:color w:val="2E86AB"/>
          <w:sz w:val="24"/>
        </w:rPr>
        <w:t>Behavioural signs:</w:t>
      </w:r>
    </w:p>
    <w:p w14:paraId="13CCBB66" w14:textId="77777777" w:rsidR="00971884" w:rsidRDefault="00000000">
      <w:pPr>
        <w:pStyle w:val="ListBullet"/>
        <w:spacing w:before="20" w:after="40"/>
        <w:ind w:left="432"/>
      </w:pPr>
      <w:r>
        <w:rPr>
          <w:rFonts w:ascii="Calibri" w:hAnsi="Calibri"/>
          <w:color w:val="2C3E50"/>
        </w:rPr>
        <w:t>Fear, withdrawal, anxiety, or agitation in the presence of a carer or family member</w:t>
      </w:r>
    </w:p>
    <w:p w14:paraId="303DF725" w14:textId="77777777" w:rsidR="00971884" w:rsidRDefault="00000000">
      <w:pPr>
        <w:pStyle w:val="ListBullet"/>
        <w:spacing w:before="20" w:after="40"/>
        <w:ind w:left="432"/>
      </w:pPr>
      <w:r>
        <w:rPr>
          <w:rFonts w:ascii="Calibri" w:hAnsi="Calibri"/>
          <w:color w:val="2C3E50"/>
        </w:rPr>
        <w:t>Patient not allowed to speak for themselves; carer/family member speaks for them</w:t>
      </w:r>
    </w:p>
    <w:p w14:paraId="543F1E08" w14:textId="77777777" w:rsidR="00971884" w:rsidRDefault="00000000">
      <w:pPr>
        <w:pStyle w:val="ListBullet"/>
        <w:spacing w:before="20" w:after="40"/>
        <w:ind w:left="432"/>
      </w:pPr>
      <w:r>
        <w:rPr>
          <w:rFonts w:ascii="Calibri" w:hAnsi="Calibri"/>
          <w:color w:val="2C3E50"/>
        </w:rPr>
        <w:t>Frequent attendances with vague, unexplained symptoms</w:t>
      </w:r>
    </w:p>
    <w:p w14:paraId="146FFFB6" w14:textId="77777777" w:rsidR="00971884" w:rsidRDefault="00000000">
      <w:pPr>
        <w:pStyle w:val="ListBullet"/>
        <w:spacing w:before="20" w:after="40"/>
        <w:ind w:left="432"/>
      </w:pPr>
      <w:r>
        <w:rPr>
          <w:rFonts w:ascii="Calibri" w:hAnsi="Calibri"/>
          <w:color w:val="2C3E50"/>
        </w:rPr>
        <w:t>Non-attendance (WNB — Was Not Brought) especially in dependent adults</w:t>
      </w:r>
    </w:p>
    <w:p w14:paraId="27B1A4B0" w14:textId="77777777" w:rsidR="00971884" w:rsidRDefault="00000000">
      <w:pPr>
        <w:pStyle w:val="ListBullet"/>
        <w:spacing w:before="20" w:after="40"/>
        <w:ind w:left="432"/>
      </w:pPr>
      <w:r>
        <w:rPr>
          <w:rFonts w:ascii="Calibri" w:hAnsi="Calibri"/>
          <w:color w:val="2C3E50"/>
        </w:rPr>
        <w:t>Sudden, significant change in behaviour, personality, or mental state</w:t>
      </w:r>
    </w:p>
    <w:p w14:paraId="6507B6EC" w14:textId="77777777" w:rsidR="00971884" w:rsidRDefault="00000000">
      <w:pPr>
        <w:pStyle w:val="ListBullet"/>
        <w:spacing w:before="20" w:after="40"/>
        <w:ind w:left="432"/>
      </w:pPr>
      <w:r>
        <w:rPr>
          <w:rFonts w:ascii="Calibri" w:hAnsi="Calibri"/>
          <w:color w:val="2C3E50"/>
        </w:rPr>
        <w:t>Distress when certain topics are raised (financial matters, medication, specific persons)</w:t>
      </w:r>
    </w:p>
    <w:p w14:paraId="74016468" w14:textId="77777777" w:rsidR="00971884" w:rsidRDefault="00000000">
      <w:pPr>
        <w:pStyle w:val="ListBullet"/>
        <w:spacing w:before="20" w:after="40"/>
        <w:ind w:left="432"/>
      </w:pPr>
      <w:r>
        <w:rPr>
          <w:rFonts w:ascii="Calibri" w:hAnsi="Calibri"/>
          <w:color w:val="2C3E50"/>
        </w:rPr>
        <w:t>Reluctance to discuss home situation; appears fearful of partner or carer</w:t>
      </w:r>
    </w:p>
    <w:p w14:paraId="7475E077" w14:textId="77777777" w:rsidR="00971884" w:rsidRDefault="00000000">
      <w:pPr>
        <w:spacing w:before="120" w:after="120"/>
      </w:pPr>
      <w:r>
        <w:rPr>
          <w:rFonts w:ascii="Calibri" w:hAnsi="Calibri"/>
          <w:b/>
          <w:color w:val="2E86AB"/>
          <w:sz w:val="24"/>
        </w:rPr>
        <w:t>Financial / environmental signs:</w:t>
      </w:r>
    </w:p>
    <w:p w14:paraId="69312AA4" w14:textId="77777777" w:rsidR="00971884" w:rsidRDefault="00000000">
      <w:pPr>
        <w:pStyle w:val="ListBullet"/>
        <w:spacing w:before="20" w:after="40"/>
        <w:ind w:left="432"/>
      </w:pPr>
      <w:r>
        <w:rPr>
          <w:rFonts w:ascii="Calibri" w:hAnsi="Calibri"/>
          <w:color w:val="2C3E50"/>
        </w:rPr>
        <w:t>Sudden depletion of financial resources; unexpected changes to will or power of attorney</w:t>
      </w:r>
    </w:p>
    <w:p w14:paraId="1E3DC7B2" w14:textId="77777777" w:rsidR="00971884" w:rsidRDefault="00000000">
      <w:pPr>
        <w:pStyle w:val="ListBullet"/>
        <w:spacing w:before="20" w:after="40"/>
        <w:ind w:left="432"/>
      </w:pPr>
      <w:r>
        <w:rPr>
          <w:rFonts w:ascii="Calibri" w:hAnsi="Calibri"/>
          <w:color w:val="2C3E50"/>
        </w:rPr>
        <w:t>Unpaid bills or direct debits in a person who previously managed their finances independently</w:t>
      </w:r>
    </w:p>
    <w:p w14:paraId="4322C3A4" w14:textId="77777777" w:rsidR="00971884" w:rsidRDefault="00000000">
      <w:pPr>
        <w:pStyle w:val="ListBullet"/>
        <w:spacing w:before="20" w:after="40"/>
        <w:ind w:left="432"/>
      </w:pPr>
      <w:r>
        <w:rPr>
          <w:rFonts w:ascii="Calibri" w:hAnsi="Calibri"/>
          <w:color w:val="2C3E50"/>
        </w:rPr>
        <w:t>New 'friend' or acquaintance in a position of influence, especially with an older person</w:t>
      </w:r>
    </w:p>
    <w:p w14:paraId="27B84B76" w14:textId="77777777" w:rsidR="00971884" w:rsidRDefault="00000000">
      <w:pPr>
        <w:pStyle w:val="ListBullet"/>
        <w:spacing w:before="20" w:after="40"/>
        <w:ind w:left="432"/>
      </w:pPr>
      <w:r>
        <w:rPr>
          <w:rFonts w:ascii="Calibri" w:hAnsi="Calibri"/>
          <w:color w:val="2C3E50"/>
        </w:rPr>
        <w:t>Person lives in squalor despite having the means or support to live better (self-neglect or organisational neglect)</w:t>
      </w:r>
    </w:p>
    <w:tbl>
      <w:tblPr>
        <w:tblStyle w:val="TableGrid"/>
        <w:tblW w:w="0" w:type="auto"/>
        <w:jc w:val="center"/>
        <w:tblLook w:val="04A0" w:firstRow="1" w:lastRow="0" w:firstColumn="1" w:lastColumn="0" w:noHBand="0" w:noVBand="1"/>
      </w:tblPr>
      <w:tblGrid>
        <w:gridCol w:w="9746"/>
      </w:tblGrid>
      <w:tr w:rsidR="00971884" w14:paraId="30709CC0" w14:textId="77777777">
        <w:trPr>
          <w:jc w:val="center"/>
        </w:trPr>
        <w:tc>
          <w:tcPr>
            <w:tcW w:w="9746" w:type="dxa"/>
            <w:shd w:val="clear" w:color="auto" w:fill="E8F8F5"/>
          </w:tcPr>
          <w:p w14:paraId="6433C262" w14:textId="77777777" w:rsidR="00971884" w:rsidRDefault="00000000">
            <w:pPr>
              <w:spacing w:before="80" w:after="40"/>
            </w:pPr>
            <w:r>
              <w:rPr>
                <w:rFonts w:ascii="Calibri" w:hAnsi="Calibri"/>
                <w:b/>
                <w:color w:val="1E8449"/>
              </w:rPr>
              <w:t>💡 Professional Curiosity (Lord Laming, 2003 — 'respectful uncertainty')</w:t>
            </w:r>
          </w:p>
          <w:p w14:paraId="30B5259C" w14:textId="77777777" w:rsidR="00971884" w:rsidRDefault="00000000">
            <w:pPr>
              <w:spacing w:before="40" w:after="80"/>
            </w:pPr>
            <w:r>
              <w:rPr>
                <w:rFonts w:ascii="Calibri" w:hAnsi="Calibri"/>
                <w:sz w:val="21"/>
              </w:rPr>
              <w:t>Professional curiosity = the capacity to explore and understand what is happening within a family or household rather than making assumptions or accepting things at face value.</w:t>
            </w:r>
            <w:r>
              <w:rPr>
                <w:rFonts w:ascii="Calibri" w:hAnsi="Calibri"/>
                <w:sz w:val="21"/>
              </w:rPr>
              <w:br/>
            </w:r>
            <w:r>
              <w:rPr>
                <w:rFonts w:ascii="Calibri" w:hAnsi="Calibri"/>
                <w:sz w:val="21"/>
              </w:rPr>
              <w:br/>
              <w:t>Ask yourself:</w:t>
            </w:r>
            <w:r>
              <w:rPr>
                <w:rFonts w:ascii="Calibri" w:hAnsi="Calibri"/>
                <w:sz w:val="21"/>
              </w:rPr>
              <w:br/>
              <w:t>• Am I remaining curious and open to new information?</w:t>
            </w:r>
            <w:r>
              <w:rPr>
                <w:rFonts w:ascii="Calibri" w:hAnsi="Calibri"/>
                <w:sz w:val="21"/>
              </w:rPr>
              <w:br/>
              <w:t>• Would I be prepared to change my mind with new information?</w:t>
            </w:r>
            <w:r>
              <w:rPr>
                <w:rFonts w:ascii="Calibri" w:hAnsi="Calibri"/>
                <w:sz w:val="21"/>
              </w:rPr>
              <w:br/>
              <w:t>• Am I 'thinking the unthinkable'? (Daniel Pelka Review)</w:t>
            </w:r>
            <w:r>
              <w:rPr>
                <w:rFonts w:ascii="Calibri" w:hAnsi="Calibri"/>
                <w:sz w:val="21"/>
              </w:rPr>
              <w:br/>
              <w:t>• Have I considered who else might be at risk in this household?</w:t>
            </w:r>
            <w:r>
              <w:rPr>
                <w:rFonts w:ascii="Calibri" w:hAnsi="Calibri"/>
                <w:sz w:val="21"/>
              </w:rPr>
              <w:br/>
            </w:r>
            <w:r>
              <w:rPr>
                <w:rFonts w:ascii="Calibri" w:hAnsi="Calibri"/>
                <w:sz w:val="21"/>
              </w:rPr>
              <w:br/>
              <w:t>Safeguarding Adults Reviews (SARs) and Domestic Homicide Reviews (DHRs) consistently identify fixed thinking, 'disguised compliance', and failure to seek advice as key themes in failures to protect adults.</w:t>
            </w:r>
          </w:p>
        </w:tc>
      </w:tr>
    </w:tbl>
    <w:p w14:paraId="6B3A4BBD" w14:textId="77777777" w:rsidR="00971884" w:rsidRDefault="00971884"/>
    <w:p w14:paraId="527F1757" w14:textId="77777777" w:rsidR="001C4CCD" w:rsidRDefault="001C4CCD">
      <w:pPr>
        <w:rPr>
          <w:rFonts w:ascii="Calibri" w:hAnsi="Calibri"/>
          <w:b/>
          <w:color w:val="1A3A5C"/>
          <w:sz w:val="32"/>
        </w:rPr>
      </w:pPr>
      <w:r>
        <w:rPr>
          <w:rFonts w:ascii="Calibri" w:hAnsi="Calibri"/>
          <w:b/>
          <w:color w:val="1A3A5C"/>
          <w:sz w:val="32"/>
        </w:rPr>
        <w:br w:type="page"/>
      </w:r>
    </w:p>
    <w:p w14:paraId="36787145" w14:textId="6188A717" w:rsidR="00971884" w:rsidRDefault="00000000">
      <w:pPr>
        <w:spacing w:before="240" w:after="120"/>
      </w:pPr>
      <w:r>
        <w:rPr>
          <w:rFonts w:ascii="Calibri" w:hAnsi="Calibri"/>
          <w:b/>
          <w:color w:val="1A3A5C"/>
          <w:sz w:val="32"/>
        </w:rPr>
        <w:lastRenderedPageBreak/>
        <w:t>4. What to Do If You Suspect Abuse (Decision Framework)</w:t>
      </w:r>
    </w:p>
    <w:p w14:paraId="459E3537" w14:textId="77777777" w:rsidR="00971884" w:rsidRDefault="00000000">
      <w:pPr>
        <w:pStyle w:val="ListBullet"/>
        <w:spacing w:before="20" w:after="40"/>
        <w:ind w:left="432"/>
      </w:pPr>
      <w:r>
        <w:rPr>
          <w:rFonts w:ascii="Calibri" w:hAnsi="Calibri"/>
          <w:b/>
          <w:color w:val="2C3E50"/>
        </w:rPr>
        <w:t xml:space="preserve">Step 1: </w:t>
      </w:r>
      <w:r>
        <w:rPr>
          <w:rFonts w:ascii="Calibri" w:hAnsi="Calibri"/>
          <w:color w:val="2C3E50"/>
        </w:rPr>
        <w:t>Ensure the immediate safety and welfare of the adult (and any other person at risk). Dial 999 if there is an immediate threat to life.</w:t>
      </w:r>
    </w:p>
    <w:p w14:paraId="616C4DF4" w14:textId="77777777" w:rsidR="00971884" w:rsidRDefault="00000000">
      <w:pPr>
        <w:pStyle w:val="ListBullet"/>
        <w:spacing w:before="20" w:after="40"/>
        <w:ind w:left="432"/>
      </w:pPr>
      <w:r>
        <w:rPr>
          <w:rFonts w:ascii="Calibri" w:hAnsi="Calibri"/>
          <w:b/>
          <w:color w:val="2C3E50"/>
        </w:rPr>
        <w:t xml:space="preserve">Step 2: </w:t>
      </w:r>
      <w:r>
        <w:rPr>
          <w:rFonts w:ascii="Calibri" w:hAnsi="Calibri"/>
          <w:color w:val="2C3E50"/>
        </w:rPr>
        <w:t>Consider whether a crime has been reported — dial 101 unless there is immediate risk. Consider the need to preserve forensic evidence.</w:t>
      </w:r>
    </w:p>
    <w:p w14:paraId="12F774B7" w14:textId="77777777" w:rsidR="00971884" w:rsidRDefault="00000000">
      <w:pPr>
        <w:pStyle w:val="ListBullet"/>
        <w:spacing w:before="20" w:after="40"/>
        <w:ind w:left="432"/>
      </w:pPr>
      <w:r>
        <w:rPr>
          <w:rFonts w:ascii="Calibri" w:hAnsi="Calibri"/>
          <w:b/>
          <w:color w:val="2C3E50"/>
        </w:rPr>
        <w:t xml:space="preserve">Step 3: </w:t>
      </w:r>
      <w:r>
        <w:rPr>
          <w:rFonts w:ascii="Calibri" w:hAnsi="Calibri"/>
          <w:color w:val="2C3E50"/>
        </w:rPr>
        <w:t>Gather information, including the adult's desired outcomes. Use open, non-leading questions. Record in the patient's own words.</w:t>
      </w:r>
    </w:p>
    <w:p w14:paraId="3A45599C" w14:textId="77777777" w:rsidR="00971884" w:rsidRDefault="00000000">
      <w:pPr>
        <w:pStyle w:val="ListBullet"/>
        <w:spacing w:before="20" w:after="40"/>
        <w:ind w:left="432"/>
      </w:pPr>
      <w:r>
        <w:rPr>
          <w:rFonts w:ascii="Calibri" w:hAnsi="Calibri"/>
          <w:b/>
          <w:color w:val="2C3E50"/>
        </w:rPr>
        <w:t xml:space="preserve">Step 4: </w:t>
      </w:r>
      <w:r>
        <w:rPr>
          <w:rFonts w:ascii="Calibri" w:hAnsi="Calibri"/>
          <w:color w:val="2C3E50"/>
        </w:rPr>
        <w:t>Decide whether to raise a safeguarding concern. Immediately if the concern is urgent; within the same working day for other concerns.</w:t>
      </w:r>
    </w:p>
    <w:p w14:paraId="118B9A4E" w14:textId="77777777" w:rsidR="00971884" w:rsidRDefault="00000000">
      <w:pPr>
        <w:pStyle w:val="ListBullet"/>
        <w:spacing w:before="20" w:after="40"/>
        <w:ind w:left="432"/>
      </w:pPr>
      <w:r>
        <w:rPr>
          <w:rFonts w:ascii="Calibri" w:hAnsi="Calibri"/>
          <w:b/>
          <w:color w:val="2C3E50"/>
        </w:rPr>
        <w:t xml:space="preserve">Step 5: </w:t>
      </w:r>
      <w:r>
        <w:rPr>
          <w:rFonts w:ascii="Calibri" w:hAnsi="Calibri"/>
          <w:color w:val="2C3E50"/>
        </w:rPr>
        <w:t>Document the incident and all actions and decisions taken. Ensure key people are informed (CQC, relatives as appropriate, contract teams).</w:t>
      </w:r>
    </w:p>
    <w:p w14:paraId="33AB53A4" w14:textId="77777777" w:rsidR="00971884" w:rsidRDefault="00000000">
      <w:pPr>
        <w:pStyle w:val="ListBullet"/>
        <w:spacing w:before="20" w:after="40"/>
        <w:ind w:left="432"/>
      </w:pPr>
      <w:r>
        <w:rPr>
          <w:rFonts w:ascii="Calibri" w:hAnsi="Calibri"/>
          <w:b/>
          <w:color w:val="2C3E50"/>
        </w:rPr>
        <w:t xml:space="preserve">Step 6: </w:t>
      </w:r>
      <w:r>
        <w:rPr>
          <w:rFonts w:ascii="Calibri" w:hAnsi="Calibri"/>
          <w:color w:val="2C3E50"/>
        </w:rPr>
        <w:t>Consider whether other people are also at risk — including children in the household. Follow the Practice's Safeguarding Children policy if children are involved.</w:t>
      </w:r>
    </w:p>
    <w:tbl>
      <w:tblPr>
        <w:tblStyle w:val="TableGrid"/>
        <w:tblW w:w="0" w:type="auto"/>
        <w:jc w:val="center"/>
        <w:tblLook w:val="04A0" w:firstRow="1" w:lastRow="0" w:firstColumn="1" w:lastColumn="0" w:noHBand="0" w:noVBand="1"/>
      </w:tblPr>
      <w:tblGrid>
        <w:gridCol w:w="9746"/>
      </w:tblGrid>
      <w:tr w:rsidR="00971884" w14:paraId="4E5B52C8" w14:textId="77777777">
        <w:trPr>
          <w:jc w:val="center"/>
        </w:trPr>
        <w:tc>
          <w:tcPr>
            <w:tcW w:w="9746" w:type="dxa"/>
            <w:shd w:val="clear" w:color="auto" w:fill="FEF9E7"/>
          </w:tcPr>
          <w:p w14:paraId="4EB481FC" w14:textId="77777777" w:rsidR="00971884" w:rsidRDefault="00000000">
            <w:pPr>
              <w:spacing w:before="80" w:after="40"/>
            </w:pPr>
            <w:r>
              <w:rPr>
                <w:rFonts w:ascii="Calibri" w:hAnsi="Calibri"/>
                <w:b/>
                <w:color w:val="7D6608"/>
              </w:rPr>
              <w:t>❓ Three threshold questions (Care Act 2014):</w:t>
            </w:r>
          </w:p>
          <w:p w14:paraId="7DEB7E5B" w14:textId="77777777" w:rsidR="00971884" w:rsidRDefault="00000000">
            <w:pPr>
              <w:spacing w:before="40" w:after="80"/>
            </w:pPr>
            <w:r>
              <w:rPr>
                <w:rFonts w:ascii="Calibri" w:hAnsi="Calibri"/>
                <w:sz w:val="21"/>
              </w:rPr>
              <w:t>Q1. Does the adult have care and support needs?</w:t>
            </w:r>
            <w:r>
              <w:rPr>
                <w:rFonts w:ascii="Calibri" w:hAnsi="Calibri"/>
                <w:sz w:val="21"/>
              </w:rPr>
              <w:br/>
              <w:t>Q2. Is the person experiencing, or at risk of, abuse or neglect?</w:t>
            </w:r>
            <w:r>
              <w:rPr>
                <w:rFonts w:ascii="Calibri" w:hAnsi="Calibri"/>
                <w:sz w:val="21"/>
              </w:rPr>
              <w:br/>
              <w:t>Q3. As a result of those care and support needs, is the person unable to protect themselves?</w:t>
            </w:r>
            <w:r>
              <w:rPr>
                <w:rFonts w:ascii="Calibri" w:hAnsi="Calibri"/>
                <w:sz w:val="21"/>
              </w:rPr>
              <w:br/>
            </w:r>
            <w:r>
              <w:rPr>
                <w:rFonts w:ascii="Calibri" w:hAnsi="Calibri"/>
                <w:sz w:val="21"/>
              </w:rPr>
              <w:br/>
              <w:t>If YES to all three → raise a safeguarding concern.</w:t>
            </w:r>
            <w:r>
              <w:rPr>
                <w:rFonts w:ascii="Calibri" w:hAnsi="Calibri"/>
                <w:sz w:val="21"/>
              </w:rPr>
              <w:br/>
              <w:t>If unsure → seek advice from the Practice Safeguarding Lead or the ICB Safeguarding Adults Team.</w:t>
            </w:r>
          </w:p>
        </w:tc>
      </w:tr>
    </w:tbl>
    <w:p w14:paraId="2083A7E3" w14:textId="77777777" w:rsidR="00971884" w:rsidRDefault="00971884"/>
    <w:p w14:paraId="75CC7226" w14:textId="77777777" w:rsidR="00971884" w:rsidRDefault="00000000">
      <w:pPr>
        <w:spacing w:before="120" w:after="120"/>
      </w:pPr>
      <w:r>
        <w:rPr>
          <w:rFonts w:ascii="Calibri" w:hAnsi="Calibri"/>
          <w:b/>
          <w:color w:val="C0392B"/>
          <w:sz w:val="24"/>
        </w:rPr>
        <w:t>When to override the patient's wishes:</w:t>
      </w:r>
    </w:p>
    <w:p w14:paraId="3F440EF8" w14:textId="77777777" w:rsidR="00971884" w:rsidRDefault="00000000">
      <w:pPr>
        <w:pStyle w:val="ListBullet"/>
        <w:spacing w:before="20" w:after="40"/>
        <w:ind w:left="432"/>
      </w:pPr>
      <w:r>
        <w:rPr>
          <w:rFonts w:ascii="Calibri" w:hAnsi="Calibri"/>
          <w:color w:val="C0392B"/>
        </w:rPr>
        <w:t>It is in the public interest (risk to others; staff/volunteer involved; abuse on organisational property)</w:t>
      </w:r>
    </w:p>
    <w:p w14:paraId="30FF20FA" w14:textId="77777777" w:rsidR="00971884" w:rsidRDefault="00000000">
      <w:pPr>
        <w:pStyle w:val="ListBullet"/>
        <w:spacing w:before="20" w:after="40"/>
        <w:ind w:left="432"/>
      </w:pPr>
      <w:r>
        <w:rPr>
          <w:rFonts w:ascii="Calibri" w:hAnsi="Calibri"/>
          <w:color w:val="C0392B"/>
        </w:rPr>
        <w:t>The adult lacks mental capacity to consent (Mental Capacity Act 2005 — best interests decision)</w:t>
      </w:r>
    </w:p>
    <w:p w14:paraId="46A0EB57" w14:textId="77777777" w:rsidR="00971884" w:rsidRDefault="00000000">
      <w:pPr>
        <w:pStyle w:val="ListBullet"/>
        <w:spacing w:before="20" w:after="40"/>
        <w:ind w:left="432"/>
      </w:pPr>
      <w:r>
        <w:rPr>
          <w:rFonts w:ascii="Calibri" w:hAnsi="Calibri"/>
          <w:color w:val="C0392B"/>
        </w:rPr>
        <w:t>The adult is subject to coercion or undue influence to the extent that they cannot give consent</w:t>
      </w:r>
    </w:p>
    <w:p w14:paraId="26713E40" w14:textId="77777777" w:rsidR="00971884" w:rsidRDefault="00000000">
      <w:pPr>
        <w:pStyle w:val="ListBullet"/>
        <w:spacing w:before="20" w:after="40"/>
        <w:ind w:left="432"/>
      </w:pPr>
      <w:r>
        <w:rPr>
          <w:rFonts w:ascii="Calibri" w:hAnsi="Calibri"/>
          <w:color w:val="C0392B"/>
        </w:rPr>
        <w:t>It is in the adult's vital interests (prevention of serious harm or life-threatening situations)</w:t>
      </w:r>
    </w:p>
    <w:p w14:paraId="616DE854" w14:textId="77777777" w:rsidR="00971884" w:rsidRDefault="00000000">
      <w:pPr>
        <w:spacing w:before="240" w:after="120"/>
      </w:pPr>
      <w:r>
        <w:rPr>
          <w:rFonts w:ascii="Calibri" w:hAnsi="Calibri"/>
          <w:b/>
          <w:color w:val="1A3A5C"/>
          <w:sz w:val="32"/>
        </w:rPr>
        <w:t>5. How to Raise a Safeguarding Concern (Bradford)</w:t>
      </w:r>
    </w:p>
    <w:tbl>
      <w:tblPr>
        <w:tblStyle w:val="TableGrid"/>
        <w:tblW w:w="0" w:type="auto"/>
        <w:jc w:val="center"/>
        <w:tblLook w:val="04A0" w:firstRow="1" w:lastRow="0" w:firstColumn="1" w:lastColumn="0" w:noHBand="0" w:noVBand="1"/>
      </w:tblPr>
      <w:tblGrid>
        <w:gridCol w:w="9746"/>
      </w:tblGrid>
      <w:tr w:rsidR="00971884" w14:paraId="58984F1A" w14:textId="77777777">
        <w:trPr>
          <w:jc w:val="center"/>
        </w:trPr>
        <w:tc>
          <w:tcPr>
            <w:tcW w:w="9746" w:type="dxa"/>
            <w:shd w:val="clear" w:color="auto" w:fill="E8F4FD"/>
          </w:tcPr>
          <w:p w14:paraId="5076B881" w14:textId="77777777" w:rsidR="00971884" w:rsidRDefault="00000000">
            <w:pPr>
              <w:spacing w:before="80" w:after="40"/>
            </w:pPr>
            <w:r>
              <w:rPr>
                <w:rFonts w:ascii="Calibri" w:hAnsi="Calibri"/>
                <w:b/>
                <w:color w:val="1A3A5C"/>
              </w:rPr>
              <w:t>📞 Bradford District</w:t>
            </w:r>
          </w:p>
          <w:p w14:paraId="75910C78" w14:textId="77777777" w:rsidR="00971884" w:rsidRDefault="00000000">
            <w:pPr>
              <w:spacing w:before="40" w:after="80"/>
            </w:pPr>
            <w:r>
              <w:rPr>
                <w:rFonts w:ascii="Calibri" w:hAnsi="Calibri"/>
                <w:sz w:val="21"/>
              </w:rPr>
              <w:t>Report online: https://www.saferbradford.co.uk/report-a-concern</w:t>
            </w:r>
            <w:r>
              <w:rPr>
                <w:rFonts w:ascii="Calibri" w:hAnsi="Calibri"/>
                <w:sz w:val="21"/>
              </w:rPr>
              <w:br/>
              <w:t>Or call: 01274 431077 (Bradford Safeguarding Adult Team — office hours)</w:t>
            </w:r>
            <w:r>
              <w:rPr>
                <w:rFonts w:ascii="Calibri" w:hAnsi="Calibri"/>
                <w:sz w:val="21"/>
              </w:rPr>
              <w:br/>
              <w:t>Out of Hours: Adult Social Care Emergency Duty Team — 01274 431010</w:t>
            </w:r>
            <w:r>
              <w:rPr>
                <w:rFonts w:ascii="Calibri" w:hAnsi="Calibri"/>
                <w:sz w:val="21"/>
              </w:rPr>
              <w:br/>
            </w:r>
            <w:r>
              <w:rPr>
                <w:rFonts w:ascii="Calibri" w:hAnsi="Calibri"/>
                <w:sz w:val="21"/>
              </w:rPr>
              <w:br/>
              <w:t>Remember: If you don't report your concerns, the abuse may continue. You do NOT need proof — only reasonable concern.</w:t>
            </w:r>
          </w:p>
        </w:tc>
      </w:tr>
    </w:tbl>
    <w:p w14:paraId="661F8DDB" w14:textId="77777777" w:rsidR="00971884" w:rsidRDefault="00971884"/>
    <w:tbl>
      <w:tblPr>
        <w:tblStyle w:val="TableGrid"/>
        <w:tblW w:w="0" w:type="auto"/>
        <w:jc w:val="center"/>
        <w:tblLook w:val="04A0" w:firstRow="1" w:lastRow="0" w:firstColumn="1" w:lastColumn="0" w:noHBand="0" w:noVBand="1"/>
      </w:tblPr>
      <w:tblGrid>
        <w:gridCol w:w="9746"/>
      </w:tblGrid>
      <w:tr w:rsidR="00971884" w14:paraId="41F1C9A5" w14:textId="77777777">
        <w:trPr>
          <w:jc w:val="center"/>
        </w:trPr>
        <w:tc>
          <w:tcPr>
            <w:tcW w:w="9746" w:type="dxa"/>
            <w:shd w:val="clear" w:color="auto" w:fill="E8F4FD"/>
          </w:tcPr>
          <w:p w14:paraId="6391FC99" w14:textId="77777777" w:rsidR="00971884" w:rsidRDefault="00000000">
            <w:pPr>
              <w:spacing w:before="80" w:after="40"/>
            </w:pPr>
            <w:r>
              <w:rPr>
                <w:rFonts w:ascii="Calibri" w:hAnsi="Calibri"/>
                <w:b/>
                <w:color w:val="1A3A5C"/>
              </w:rPr>
              <w:t>📞 North Yorkshire</w:t>
            </w:r>
          </w:p>
          <w:p w14:paraId="729464F4" w14:textId="77777777" w:rsidR="00971884" w:rsidRDefault="00000000">
            <w:pPr>
              <w:spacing w:before="40" w:after="80"/>
            </w:pPr>
            <w:r>
              <w:rPr>
                <w:rFonts w:ascii="Calibri" w:hAnsi="Calibri"/>
                <w:sz w:val="21"/>
              </w:rPr>
              <w:t>Call: 0300 131 2 131 (24 hours, including out of hours)</w:t>
            </w:r>
            <w:r>
              <w:rPr>
                <w:rFonts w:ascii="Calibri" w:hAnsi="Calibri"/>
                <w:sz w:val="21"/>
              </w:rPr>
              <w:br/>
              <w:t>Online: https://www.northyorks.gov.uk/safeguarding-vulnerable-adults</w:t>
            </w:r>
          </w:p>
        </w:tc>
      </w:tr>
    </w:tbl>
    <w:p w14:paraId="73D19315" w14:textId="77777777" w:rsidR="00971884" w:rsidRDefault="00971884"/>
    <w:p w14:paraId="4A048C28" w14:textId="77777777" w:rsidR="00971884" w:rsidRDefault="00000000">
      <w:pPr>
        <w:spacing w:before="240" w:after="120"/>
      </w:pPr>
      <w:r>
        <w:rPr>
          <w:rFonts w:ascii="Calibri" w:hAnsi="Calibri"/>
          <w:b/>
          <w:color w:val="1A3A5C"/>
          <w:sz w:val="32"/>
        </w:rPr>
        <w:lastRenderedPageBreak/>
        <w:t>6. Making Safeguarding Personal (MSP)</w:t>
      </w:r>
    </w:p>
    <w:p w14:paraId="2B81BA5E" w14:textId="77777777" w:rsidR="00971884" w:rsidRDefault="00000000">
      <w:pPr>
        <w:spacing w:before="40" w:after="80"/>
      </w:pPr>
      <w:r>
        <w:rPr>
          <w:rFonts w:ascii="Calibri" w:hAnsi="Calibri"/>
          <w:color w:val="2C3E50"/>
        </w:rPr>
        <w:t>'Making Safeguarding Personal' means safeguarding should be person-led and outcomes-focused. Engage with the adult in a conversation about how best to understand and respond to any risks they face, in a way that enhances their involvement, choice and control. This includes the wishes of the adult at risk to establish, develop or continue a relationship and their right to make an informed choice. (Care Act, Section 14.15)</w:t>
      </w:r>
    </w:p>
    <w:p w14:paraId="2AD767D7" w14:textId="77777777" w:rsidR="00971884" w:rsidRDefault="00000000">
      <w:pPr>
        <w:spacing w:before="40" w:after="80"/>
      </w:pPr>
      <w:r>
        <w:rPr>
          <w:rFonts w:ascii="Calibri" w:hAnsi="Calibri"/>
          <w:i/>
          <w:color w:val="5D6D7E"/>
        </w:rPr>
        <w:t>The key principle is to support and empower individuals by capturing their wishes and feelings, seeing them as the experts in their own lives. Ask: 'What does being safe mean to you, and how can we best achieve that?'</w:t>
      </w:r>
    </w:p>
    <w:p w14:paraId="24B765B8" w14:textId="77777777" w:rsidR="00971884" w:rsidRDefault="00000000">
      <w:pPr>
        <w:spacing w:before="240" w:after="120"/>
      </w:pPr>
      <w:r>
        <w:rPr>
          <w:rFonts w:ascii="Calibri" w:hAnsi="Calibri"/>
          <w:b/>
          <w:color w:val="1A3A5C"/>
          <w:sz w:val="32"/>
        </w:rPr>
        <w:t>7. Deprivation of Liberty (DoLS and LPS)</w:t>
      </w:r>
    </w:p>
    <w:p w14:paraId="2AC609AE" w14:textId="77777777" w:rsidR="00971884" w:rsidRDefault="00000000">
      <w:pPr>
        <w:spacing w:before="40" w:after="80"/>
      </w:pPr>
      <w:r>
        <w:rPr>
          <w:rFonts w:ascii="Calibri" w:hAnsi="Calibri"/>
          <w:color w:val="2C3E50"/>
        </w:rPr>
        <w:t>A person is deprived of their liberty if they are under continuous supervision and control AND are not free to leave permanently, for a not negligible amount of time. Deprivation of liberty MUST be authorised — by a court, under the Mental Health Act, or under the Deprivation of Liberty Safeguards (DoLS, MCA 2005).</w:t>
      </w:r>
    </w:p>
    <w:p w14:paraId="0A6E16C8" w14:textId="77777777" w:rsidR="00971884" w:rsidRDefault="00000000">
      <w:pPr>
        <w:spacing w:before="40" w:after="80"/>
      </w:pPr>
      <w:r>
        <w:rPr>
          <w:rFonts w:ascii="Calibri" w:hAnsi="Calibri"/>
          <w:b/>
          <w:color w:val="2C3E50"/>
        </w:rPr>
        <w:t>DoLS applies to hospital patients and care home residents aged 18+ who are NOT subject to the Mental Health Act.</w:t>
      </w:r>
    </w:p>
    <w:p w14:paraId="3C6C9D78" w14:textId="77777777" w:rsidR="00971884" w:rsidRDefault="00000000">
      <w:pPr>
        <w:spacing w:before="120" w:after="120"/>
      </w:pPr>
      <w:r>
        <w:rPr>
          <w:rFonts w:ascii="Calibri" w:hAnsi="Calibri"/>
          <w:b/>
          <w:color w:val="2E86AB"/>
          <w:sz w:val="24"/>
        </w:rPr>
        <w:t>GP responsibilities:</w:t>
      </w:r>
    </w:p>
    <w:p w14:paraId="2DE1E1E2" w14:textId="77777777" w:rsidR="00971884" w:rsidRDefault="00000000">
      <w:pPr>
        <w:pStyle w:val="ListBullet"/>
        <w:spacing w:before="20" w:after="40"/>
        <w:ind w:left="432"/>
      </w:pPr>
      <w:r>
        <w:rPr>
          <w:rFonts w:ascii="Calibri" w:hAnsi="Calibri"/>
          <w:color w:val="2C3E50"/>
        </w:rPr>
        <w:t>If a patient may be being deprived of their liberty at home or in a care setting: discuss with the care provider to establish whether it has been authorised.</w:t>
      </w:r>
    </w:p>
    <w:p w14:paraId="4DA3540C" w14:textId="77777777" w:rsidR="00971884" w:rsidRDefault="00000000">
      <w:pPr>
        <w:pStyle w:val="ListBullet"/>
        <w:spacing w:before="20" w:after="40"/>
        <w:ind w:left="432"/>
      </w:pPr>
      <w:r>
        <w:rPr>
          <w:rFonts w:ascii="Calibri" w:hAnsi="Calibri"/>
          <w:color w:val="2C3E50"/>
        </w:rPr>
        <w:t>Consider whether medications being prescribed could contribute to a deprivation of liberty (e.g., sedating medications in a person under constant supervision and not free to leave) — raise this with the care provider.</w:t>
      </w:r>
    </w:p>
    <w:p w14:paraId="0DDC2C00" w14:textId="77777777" w:rsidR="00971884" w:rsidRDefault="00000000">
      <w:pPr>
        <w:pStyle w:val="ListBullet"/>
        <w:spacing w:before="20" w:after="40"/>
        <w:ind w:left="432"/>
      </w:pPr>
      <w:r>
        <w:rPr>
          <w:rFonts w:ascii="Calibri" w:hAnsi="Calibri"/>
          <w:color w:val="2C3E50"/>
        </w:rPr>
        <w:t>If the care provider is NOT taking steps to have a DoL authorised: consider raising a safeguarding concern with the Local Authority and/or seek advice from the ICB safeguarding team.</w:t>
      </w:r>
    </w:p>
    <w:p w14:paraId="5290B518" w14:textId="77777777" w:rsidR="00971884" w:rsidRDefault="00000000">
      <w:pPr>
        <w:pStyle w:val="ListBullet"/>
        <w:spacing w:before="20" w:after="40"/>
        <w:ind w:left="432"/>
      </w:pPr>
      <w:r>
        <w:rPr>
          <w:rFonts w:ascii="Calibri" w:hAnsi="Calibri"/>
          <w:color w:val="2C3E50"/>
        </w:rPr>
        <w:t>Note: Liberty Protection Safeguards (LPS — Mental Capacity (Amendment) Act 2019) were legislated to replace DoLS but have not yet been implemented as of May 2026. DoLS remains in force.</w:t>
      </w:r>
    </w:p>
    <w:p w14:paraId="1480434C" w14:textId="77777777" w:rsidR="00971884" w:rsidRDefault="00000000">
      <w:pPr>
        <w:spacing w:before="240" w:after="120"/>
      </w:pPr>
      <w:r>
        <w:rPr>
          <w:rFonts w:ascii="Calibri" w:hAnsi="Calibri"/>
          <w:b/>
          <w:color w:val="1A3A5C"/>
          <w:sz w:val="32"/>
        </w:rPr>
        <w:t>8. Prevent Duty in General Practice</w:t>
      </w:r>
    </w:p>
    <w:p w14:paraId="17A26B77" w14:textId="77777777" w:rsidR="00971884" w:rsidRDefault="00000000">
      <w:pPr>
        <w:spacing w:before="40" w:after="80"/>
      </w:pPr>
      <w:r>
        <w:rPr>
          <w:rFonts w:ascii="Calibri" w:hAnsi="Calibri"/>
          <w:color w:val="2C3E50"/>
        </w:rPr>
        <w:t>PREVENT is part of the UK's counter-terrorism strategy, preventing people from becoming involved in terrorism or supporting terrorism (Counter Terrorism and Security Act 2015 — statutory duty for all NHS organisations). Its focus is on vulnerable individuals at risk of being exploited by radicalisers and drawn into terrorist-related activity.</w:t>
      </w:r>
    </w:p>
    <w:p w14:paraId="4D017831" w14:textId="77777777" w:rsidR="00971884" w:rsidRDefault="00000000">
      <w:pPr>
        <w:spacing w:before="120" w:after="120"/>
      </w:pPr>
      <w:r>
        <w:rPr>
          <w:rFonts w:ascii="Calibri" w:hAnsi="Calibri"/>
          <w:b/>
          <w:color w:val="2E86AB"/>
          <w:sz w:val="24"/>
        </w:rPr>
        <w:t>GP practice responsibilities:</w:t>
      </w:r>
    </w:p>
    <w:p w14:paraId="4C6CBFF9" w14:textId="77777777" w:rsidR="00971884" w:rsidRDefault="00000000">
      <w:pPr>
        <w:pStyle w:val="ListBullet"/>
        <w:spacing w:before="20" w:after="40"/>
        <w:ind w:left="432"/>
      </w:pPr>
      <w:r>
        <w:rPr>
          <w:rFonts w:ascii="Calibri" w:hAnsi="Calibri"/>
          <w:color w:val="2C3E50"/>
        </w:rPr>
        <w:t>All staff should complete PREVENT training appropriate to their role.</w:t>
      </w:r>
    </w:p>
    <w:p w14:paraId="030D9AF0" w14:textId="77777777" w:rsidR="00971884" w:rsidRDefault="00000000">
      <w:pPr>
        <w:pStyle w:val="ListBullet"/>
        <w:spacing w:before="20" w:after="40"/>
        <w:ind w:left="432"/>
      </w:pPr>
      <w:r>
        <w:rPr>
          <w:rFonts w:ascii="Calibri" w:hAnsi="Calibri"/>
          <w:color w:val="2C3E50"/>
        </w:rPr>
        <w:t>Healthcare professionals may meet people at greater risk of radicalisation — e.g., those with mental health issues, learning disabilities, or who are socially isolated.</w:t>
      </w:r>
    </w:p>
    <w:p w14:paraId="3BFD96BF" w14:textId="77777777" w:rsidR="00971884" w:rsidRDefault="00000000">
      <w:pPr>
        <w:pStyle w:val="ListBullet"/>
        <w:spacing w:before="20" w:after="40"/>
        <w:ind w:left="432"/>
      </w:pPr>
      <w:r>
        <w:rPr>
          <w:rFonts w:ascii="Calibri" w:hAnsi="Calibri"/>
          <w:color w:val="2C3E50"/>
        </w:rPr>
        <w:t>If concerned that a patient may be at risk of radicalisation: discuss with the Practice GP Safeguarding Lead for Adults.</w:t>
      </w:r>
    </w:p>
    <w:p w14:paraId="0A8CE1A7" w14:textId="77777777" w:rsidR="00971884" w:rsidRDefault="00000000">
      <w:pPr>
        <w:pStyle w:val="ListBullet"/>
        <w:spacing w:before="20" w:after="40"/>
        <w:ind w:left="432"/>
      </w:pPr>
      <w:r>
        <w:rPr>
          <w:rFonts w:ascii="Calibri" w:hAnsi="Calibri"/>
          <w:color w:val="2C3E50"/>
        </w:rPr>
        <w:t>If a PREVENT referral is required: complete the referral form and follow the PREVENT pathway on GP ASSIST.</w:t>
      </w:r>
    </w:p>
    <w:p w14:paraId="59B979FD" w14:textId="77777777" w:rsidR="00971884" w:rsidRDefault="00000000">
      <w:pPr>
        <w:pStyle w:val="ListBullet"/>
        <w:spacing w:before="20" w:after="40"/>
        <w:ind w:left="432"/>
      </w:pPr>
      <w:r>
        <w:rPr>
          <w:rFonts w:ascii="Calibri" w:hAnsi="Calibri"/>
          <w:color w:val="2C3E50"/>
        </w:rPr>
        <w:lastRenderedPageBreak/>
        <w:t>GP practices can receive PREVENT Information Sweep Requests from police — the ICB forwards these; the practice must review the record and respond within 5 working days.</w:t>
      </w:r>
    </w:p>
    <w:p w14:paraId="3B89D333" w14:textId="77777777" w:rsidR="00971884" w:rsidRDefault="00000000">
      <w:pPr>
        <w:pStyle w:val="ListBullet"/>
        <w:spacing w:before="20" w:after="40"/>
        <w:ind w:left="432"/>
      </w:pPr>
      <w:r>
        <w:rPr>
          <w:rFonts w:ascii="Calibri" w:hAnsi="Calibri"/>
          <w:color w:val="2C3E50"/>
        </w:rPr>
        <w:t>Mark any PREVENT documentation 'Not for online viewing'.</w:t>
      </w:r>
    </w:p>
    <w:p w14:paraId="317821C5" w14:textId="77777777" w:rsidR="00971884" w:rsidRDefault="00000000">
      <w:pPr>
        <w:pStyle w:val="ListBullet"/>
        <w:spacing w:before="20" w:after="40"/>
        <w:ind w:left="432"/>
      </w:pPr>
      <w:r>
        <w:rPr>
          <w:rFonts w:ascii="Calibri" w:hAnsi="Calibri"/>
          <w:color w:val="2C3E50"/>
        </w:rPr>
        <w:t>CHANNEL: multi-agency process within PREVENT; provides support to individuals at risk of radicalisation.</w:t>
      </w:r>
    </w:p>
    <w:p w14:paraId="68B45F07" w14:textId="77777777" w:rsidR="00971884" w:rsidRDefault="00000000">
      <w:pPr>
        <w:spacing w:before="240" w:after="120"/>
      </w:pPr>
      <w:r>
        <w:rPr>
          <w:rFonts w:ascii="Calibri" w:hAnsi="Calibri"/>
          <w:b/>
          <w:color w:val="1A3A5C"/>
          <w:sz w:val="32"/>
        </w:rPr>
        <w:t>9. Safe Record Keeping for Safeguarding</w:t>
      </w:r>
    </w:p>
    <w:p w14:paraId="6AAE6EED" w14:textId="77777777" w:rsidR="00971884" w:rsidRDefault="00000000">
      <w:pPr>
        <w:pStyle w:val="ListBullet"/>
        <w:spacing w:before="20" w:after="40"/>
        <w:ind w:left="432"/>
      </w:pPr>
      <w:r>
        <w:rPr>
          <w:rFonts w:ascii="Calibri" w:hAnsi="Calibri"/>
          <w:color w:val="2C3E50"/>
        </w:rPr>
        <w:t>Use the Safeguarding Adults template in SystmOne (GP Assist &gt; Safeguarding); use the appropriate clinical coding.</w:t>
      </w:r>
    </w:p>
    <w:p w14:paraId="40E25CB4" w14:textId="77777777" w:rsidR="00971884" w:rsidRDefault="00000000">
      <w:pPr>
        <w:pStyle w:val="ListBullet"/>
        <w:spacing w:before="20" w:after="40"/>
        <w:ind w:left="432"/>
      </w:pPr>
      <w:r>
        <w:rPr>
          <w:rFonts w:ascii="Calibri" w:hAnsi="Calibri"/>
          <w:color w:val="2C3E50"/>
        </w:rPr>
        <w:t>Mark ALL safeguarding entries: 'Not for online viewing'.</w:t>
      </w:r>
    </w:p>
    <w:p w14:paraId="470B40BA" w14:textId="77777777" w:rsidR="00971884" w:rsidRDefault="00000000">
      <w:pPr>
        <w:pStyle w:val="ListBullet"/>
        <w:spacing w:before="20" w:after="40"/>
        <w:ind w:left="432"/>
      </w:pPr>
      <w:r>
        <w:rPr>
          <w:rFonts w:ascii="Calibri" w:hAnsi="Calibri"/>
          <w:color w:val="2C3E50"/>
        </w:rPr>
        <w:t>Record concerns and information about vulnerable adults/adults at risk using the safeguarding adult template.</w:t>
      </w:r>
    </w:p>
    <w:p w14:paraId="15BF0986" w14:textId="77777777" w:rsidR="00971884" w:rsidRDefault="00000000">
      <w:pPr>
        <w:pStyle w:val="ListBullet"/>
        <w:spacing w:before="20" w:after="40"/>
        <w:ind w:left="432"/>
      </w:pPr>
      <w:r>
        <w:rPr>
          <w:rFonts w:ascii="Calibri" w:hAnsi="Calibri"/>
          <w:color w:val="2C3E50"/>
        </w:rPr>
        <w:t>Record third-party safeguarding information (from social care, police, other agencies) in the safeguarding template with appropriate coding; save copies of referrals in the communications/records section of SystmOne.</w:t>
      </w:r>
    </w:p>
    <w:p w14:paraId="5CDD0703" w14:textId="77777777" w:rsidR="00971884" w:rsidRDefault="00000000">
      <w:pPr>
        <w:pStyle w:val="ListBullet"/>
        <w:spacing w:before="20" w:after="40"/>
        <w:ind w:left="432"/>
      </w:pPr>
      <w:r>
        <w:rPr>
          <w:rFonts w:ascii="Calibri" w:hAnsi="Calibri"/>
          <w:color w:val="2C3E50"/>
        </w:rPr>
        <w:t>Mark any safeguarding information that could put the patient at additional risk (e.g., DA disclosures) as 'Not for online viewing'.</w:t>
      </w:r>
    </w:p>
    <w:p w14:paraId="2662D3CF" w14:textId="77777777" w:rsidR="00971884" w:rsidRDefault="00000000">
      <w:pPr>
        <w:pStyle w:val="ListBullet"/>
        <w:spacing w:before="20" w:after="40"/>
        <w:ind w:left="432"/>
      </w:pPr>
      <w:r>
        <w:rPr>
          <w:rFonts w:ascii="Calibri" w:hAnsi="Calibri"/>
          <w:color w:val="2C3E50"/>
        </w:rPr>
        <w:t>Email communications relating to safeguarding should only be used when secure; copy the email and response into the record.</w:t>
      </w:r>
    </w:p>
    <w:p w14:paraId="38647E3F" w14:textId="77777777" w:rsidR="00971884" w:rsidRDefault="00000000">
      <w:pPr>
        <w:pStyle w:val="ListBullet"/>
        <w:spacing w:before="20" w:after="40"/>
        <w:ind w:left="432"/>
      </w:pPr>
      <w:r>
        <w:rPr>
          <w:rFonts w:ascii="Calibri" w:hAnsi="Calibri"/>
          <w:color w:val="2C3E50"/>
        </w:rPr>
        <w:t>Records, storage, and disposal must follow NHS Records Management Code of Practice 2020.</w:t>
      </w:r>
    </w:p>
    <w:p w14:paraId="024C0CC2" w14:textId="77777777" w:rsidR="00971884" w:rsidRDefault="00000000">
      <w:pPr>
        <w:pStyle w:val="ListBullet"/>
        <w:spacing w:before="20" w:after="40"/>
        <w:ind w:left="432"/>
      </w:pPr>
      <w:r>
        <w:rPr>
          <w:rFonts w:ascii="Calibri" w:hAnsi="Calibri"/>
          <w:color w:val="2C3E50"/>
        </w:rPr>
        <w:t>If safeguarding information relates to a person in a position of trust (e.g., a staff member) — record securely in the personnel file in line with local jurisdiction guidance.</w:t>
      </w:r>
    </w:p>
    <w:p w14:paraId="3A922819" w14:textId="77777777" w:rsidR="00971884" w:rsidRDefault="00000000">
      <w:pPr>
        <w:spacing w:before="240" w:after="120"/>
      </w:pPr>
      <w:r>
        <w:rPr>
          <w:rFonts w:ascii="Calibri" w:hAnsi="Calibri"/>
          <w:b/>
          <w:color w:val="1A3A5C"/>
          <w:sz w:val="32"/>
        </w:rPr>
        <w:t>10. Multi-Agency Working and Information Sharing</w:t>
      </w:r>
    </w:p>
    <w:p w14:paraId="141914B7" w14:textId="77777777" w:rsidR="00971884" w:rsidRDefault="00000000">
      <w:pPr>
        <w:spacing w:before="40" w:after="80"/>
      </w:pPr>
      <w:r>
        <w:rPr>
          <w:rFonts w:ascii="Calibri" w:hAnsi="Calibri"/>
          <w:color w:val="2C3E50"/>
        </w:rPr>
        <w:t>Sharing the right information, at the right time, with the right people is fundamental to good safeguarding practice. A decision to share must always be based on professional judgement about safety and wellbeing.</w:t>
      </w:r>
    </w:p>
    <w:p w14:paraId="213C5B7E" w14:textId="77777777" w:rsidR="00971884" w:rsidRDefault="00000000">
      <w:pPr>
        <w:spacing w:before="120" w:after="120"/>
      </w:pPr>
      <w:r>
        <w:rPr>
          <w:rFonts w:ascii="Calibri" w:hAnsi="Calibri"/>
          <w:b/>
          <w:color w:val="2E86AB"/>
          <w:sz w:val="24"/>
        </w:rPr>
        <w:t>Seven Golden Rules of Information Sharing:</w:t>
      </w:r>
    </w:p>
    <w:p w14:paraId="238EAE4B" w14:textId="77777777" w:rsidR="00971884" w:rsidRDefault="00000000">
      <w:pPr>
        <w:pStyle w:val="ListBullet"/>
        <w:spacing w:before="20" w:after="40"/>
        <w:ind w:left="432"/>
      </w:pPr>
      <w:r>
        <w:rPr>
          <w:rFonts w:ascii="Calibri" w:hAnsi="Calibri"/>
          <w:b/>
          <w:color w:val="2C3E50"/>
        </w:rPr>
        <w:t xml:space="preserve">1. </w:t>
      </w:r>
      <w:r>
        <w:rPr>
          <w:rFonts w:ascii="Calibri" w:hAnsi="Calibri"/>
          <w:color w:val="2C3E50"/>
        </w:rPr>
        <w:t>Remember that the Data Protection Act (UK GDPR) is not a barrier to sharing information — it provides a framework for sharing appropriately</w:t>
      </w:r>
    </w:p>
    <w:p w14:paraId="33C12B98" w14:textId="77777777" w:rsidR="00971884" w:rsidRDefault="00000000">
      <w:pPr>
        <w:pStyle w:val="ListBullet"/>
        <w:spacing w:before="20" w:after="40"/>
        <w:ind w:left="432"/>
      </w:pPr>
      <w:r>
        <w:rPr>
          <w:rFonts w:ascii="Calibri" w:hAnsi="Calibri"/>
          <w:b/>
          <w:color w:val="2C3E50"/>
        </w:rPr>
        <w:t xml:space="preserve">2. </w:t>
      </w:r>
      <w:r>
        <w:rPr>
          <w:rFonts w:ascii="Calibri" w:hAnsi="Calibri"/>
          <w:color w:val="2C3E50"/>
        </w:rPr>
        <w:t>Be open and honest with the person about what and why information will be shared (unless doing so would cause risk)</w:t>
      </w:r>
    </w:p>
    <w:p w14:paraId="14B2307A" w14:textId="77777777" w:rsidR="00971884" w:rsidRDefault="00000000">
      <w:pPr>
        <w:pStyle w:val="ListBullet"/>
        <w:spacing w:before="20" w:after="40"/>
        <w:ind w:left="432"/>
      </w:pPr>
      <w:r>
        <w:rPr>
          <w:rFonts w:ascii="Calibri" w:hAnsi="Calibri"/>
          <w:b/>
          <w:color w:val="2C3E50"/>
        </w:rPr>
        <w:t xml:space="preserve">3. </w:t>
      </w:r>
      <w:r>
        <w:rPr>
          <w:rFonts w:ascii="Calibri" w:hAnsi="Calibri"/>
          <w:color w:val="2C3E50"/>
        </w:rPr>
        <w:t>Seek advice if in doubt, without disclosing identifying information initially</w:t>
      </w:r>
    </w:p>
    <w:p w14:paraId="12FA6C06" w14:textId="77777777" w:rsidR="00971884" w:rsidRDefault="00000000">
      <w:pPr>
        <w:pStyle w:val="ListBullet"/>
        <w:spacing w:before="20" w:after="40"/>
        <w:ind w:left="432"/>
      </w:pPr>
      <w:r>
        <w:rPr>
          <w:rFonts w:ascii="Calibri" w:hAnsi="Calibri"/>
          <w:b/>
          <w:color w:val="2C3E50"/>
        </w:rPr>
        <w:t xml:space="preserve">4. </w:t>
      </w:r>
      <w:r>
        <w:rPr>
          <w:rFonts w:ascii="Calibri" w:hAnsi="Calibri"/>
          <w:color w:val="2C3E50"/>
        </w:rPr>
        <w:t>Share with consent where possible; respect the wishes of those who do not consent, unless safety requires override</w:t>
      </w:r>
    </w:p>
    <w:p w14:paraId="2C0EE265" w14:textId="77777777" w:rsidR="00971884" w:rsidRDefault="00000000">
      <w:pPr>
        <w:pStyle w:val="ListBullet"/>
        <w:spacing w:before="20" w:after="40"/>
        <w:ind w:left="432"/>
      </w:pPr>
      <w:r>
        <w:rPr>
          <w:rFonts w:ascii="Calibri" w:hAnsi="Calibri"/>
          <w:b/>
          <w:color w:val="2C3E50"/>
        </w:rPr>
        <w:t xml:space="preserve">5. </w:t>
      </w:r>
      <w:r>
        <w:rPr>
          <w:rFonts w:ascii="Calibri" w:hAnsi="Calibri"/>
          <w:color w:val="2C3E50"/>
        </w:rPr>
        <w:t>Consider whether sharing is necessary, proportionate, relevant, accurate, timely, and secure</w:t>
      </w:r>
    </w:p>
    <w:p w14:paraId="521009B8" w14:textId="77777777" w:rsidR="00971884" w:rsidRDefault="00000000">
      <w:pPr>
        <w:pStyle w:val="ListBullet"/>
        <w:spacing w:before="20" w:after="40"/>
        <w:ind w:left="432"/>
      </w:pPr>
      <w:r>
        <w:rPr>
          <w:rFonts w:ascii="Calibri" w:hAnsi="Calibri"/>
          <w:b/>
          <w:color w:val="2C3E50"/>
        </w:rPr>
        <w:t xml:space="preserve">6. </w:t>
      </w:r>
      <w:r>
        <w:rPr>
          <w:rFonts w:ascii="Calibri" w:hAnsi="Calibri"/>
          <w:color w:val="2C3E50"/>
        </w:rPr>
        <w:t>Keep a record of your decision and your reasons (whether or not you share information)</w:t>
      </w:r>
    </w:p>
    <w:p w14:paraId="4C51A731" w14:textId="77777777" w:rsidR="00971884" w:rsidRDefault="00000000">
      <w:pPr>
        <w:pStyle w:val="ListBullet"/>
        <w:spacing w:before="20" w:after="40"/>
        <w:ind w:left="432"/>
      </w:pPr>
      <w:r>
        <w:rPr>
          <w:rFonts w:ascii="Calibri" w:hAnsi="Calibri"/>
          <w:b/>
          <w:color w:val="2C3E50"/>
        </w:rPr>
        <w:t xml:space="preserve">7. </w:t>
      </w:r>
      <w:r>
        <w:rPr>
          <w:rFonts w:ascii="Calibri" w:hAnsi="Calibri"/>
          <w:color w:val="2C3E50"/>
        </w:rPr>
        <w:t>Keep information sharing to the minimum necessary for the purpose</w:t>
      </w:r>
    </w:p>
    <w:p w14:paraId="0C52003B" w14:textId="77777777" w:rsidR="001C4CCD" w:rsidRDefault="001C4CCD">
      <w:pPr>
        <w:rPr>
          <w:rFonts w:ascii="Calibri" w:hAnsi="Calibri"/>
          <w:b/>
          <w:color w:val="1A3A5C"/>
          <w:sz w:val="32"/>
        </w:rPr>
      </w:pPr>
      <w:r>
        <w:rPr>
          <w:rFonts w:ascii="Calibri" w:hAnsi="Calibri"/>
          <w:b/>
          <w:color w:val="1A3A5C"/>
          <w:sz w:val="32"/>
        </w:rPr>
        <w:br w:type="page"/>
      </w:r>
    </w:p>
    <w:p w14:paraId="0D3DDD34" w14:textId="77777777" w:rsidR="00971884" w:rsidRDefault="00000000">
      <w:pPr>
        <w:spacing w:before="240" w:after="120"/>
      </w:pPr>
      <w:r>
        <w:rPr>
          <w:rFonts w:ascii="Calibri" w:hAnsi="Calibri"/>
          <w:b/>
          <w:color w:val="1A3A5C"/>
          <w:sz w:val="32"/>
        </w:rPr>
        <w:lastRenderedPageBreak/>
        <w:t>12. Exam Tips for GP Trainees (AKT &amp; SCA)</w:t>
      </w:r>
    </w:p>
    <w:tbl>
      <w:tblPr>
        <w:tblStyle w:val="TableGrid"/>
        <w:tblW w:w="0" w:type="auto"/>
        <w:jc w:val="center"/>
        <w:tblLook w:val="04A0" w:firstRow="1" w:lastRow="0" w:firstColumn="1" w:lastColumn="0" w:noHBand="0" w:noVBand="1"/>
      </w:tblPr>
      <w:tblGrid>
        <w:gridCol w:w="9746"/>
      </w:tblGrid>
      <w:tr w:rsidR="00971884" w14:paraId="221C487E" w14:textId="77777777">
        <w:trPr>
          <w:jc w:val="center"/>
        </w:trPr>
        <w:tc>
          <w:tcPr>
            <w:tcW w:w="9746" w:type="dxa"/>
            <w:shd w:val="clear" w:color="auto" w:fill="F4ECF7"/>
          </w:tcPr>
          <w:p w14:paraId="195BC412" w14:textId="77777777" w:rsidR="00971884" w:rsidRDefault="00000000">
            <w:pPr>
              <w:spacing w:before="80" w:after="40"/>
            </w:pPr>
            <w:r>
              <w:rPr>
                <w:rFonts w:ascii="Calibri" w:hAnsi="Calibri"/>
                <w:b/>
                <w:color w:val="6C3483"/>
              </w:rPr>
              <w:t>🎓 AKT Focus Points</w:t>
            </w:r>
          </w:p>
          <w:p w14:paraId="707DB882" w14:textId="77777777" w:rsidR="00971884" w:rsidRDefault="00000000">
            <w:pPr>
              <w:spacing w:before="40" w:after="80"/>
            </w:pPr>
            <w:r>
              <w:rPr>
                <w:rFonts w:ascii="Calibri" w:hAnsi="Calibri"/>
                <w:sz w:val="21"/>
              </w:rPr>
              <w:t>• 10 categories of abuse under Care Act 2014 (include modern slavery and self-neglect)</w:t>
            </w:r>
            <w:r>
              <w:rPr>
                <w:rFonts w:ascii="Calibri" w:hAnsi="Calibri"/>
                <w:sz w:val="21"/>
              </w:rPr>
              <w:br/>
              <w:t>• Six safeguarding principles: EP4 (Empowerment, Prevention, Proportionality, Protection, Partnership, Accountability)</w:t>
            </w:r>
            <w:r>
              <w:rPr>
                <w:rFonts w:ascii="Calibri" w:hAnsi="Calibri"/>
                <w:sz w:val="21"/>
              </w:rPr>
              <w:br/>
              <w:t>• Section 42 Care Act 2014: duty for LOCAL AUTHORITY (not GP) to conduct enquiries; GPs must cooperate</w:t>
            </w:r>
            <w:r>
              <w:rPr>
                <w:rFonts w:ascii="Calibri" w:hAnsi="Calibri"/>
                <w:sz w:val="21"/>
              </w:rPr>
              <w:br/>
              <w:t>• You do NOT need proof to raise a safeguarding concern — only reasonable suspicion</w:t>
            </w:r>
            <w:r>
              <w:rPr>
                <w:rFonts w:ascii="Calibri" w:hAnsi="Calibri"/>
                <w:sz w:val="21"/>
              </w:rPr>
              <w:br/>
              <w:t>• DoLS under MCA 2005: not MHA; applies to hospital and care home patients aged 18+ (LPS not yet in force)</w:t>
            </w:r>
            <w:r>
              <w:rPr>
                <w:rFonts w:ascii="Calibri" w:hAnsi="Calibri"/>
                <w:sz w:val="21"/>
              </w:rPr>
              <w:br/>
              <w:t>• PREVENT: statutory duty under Counter Terrorism and Security Act 2015</w:t>
            </w:r>
            <w:r>
              <w:rPr>
                <w:rFonts w:ascii="Calibri" w:hAnsi="Calibri"/>
                <w:sz w:val="21"/>
              </w:rPr>
              <w:br/>
              <w:t>• Making Safeguarding Personal: person-led, outcomes-focused; patient's wishes central</w:t>
            </w:r>
            <w:r>
              <w:rPr>
                <w:rFonts w:ascii="Calibri" w:hAnsi="Calibri"/>
                <w:sz w:val="21"/>
              </w:rPr>
              <w:br/>
              <w:t>• MARAC: duty to refer WITHOUT consent justified under Crime and Disorder Act 1998</w:t>
            </w:r>
          </w:p>
        </w:tc>
      </w:tr>
    </w:tbl>
    <w:p w14:paraId="3215C797" w14:textId="77777777" w:rsidR="00971884" w:rsidRDefault="00971884"/>
    <w:tbl>
      <w:tblPr>
        <w:tblStyle w:val="TableGrid"/>
        <w:tblW w:w="0" w:type="auto"/>
        <w:jc w:val="center"/>
        <w:tblLook w:val="04A0" w:firstRow="1" w:lastRow="0" w:firstColumn="1" w:lastColumn="0" w:noHBand="0" w:noVBand="1"/>
      </w:tblPr>
      <w:tblGrid>
        <w:gridCol w:w="9746"/>
      </w:tblGrid>
      <w:tr w:rsidR="00971884" w14:paraId="0F5729D6" w14:textId="77777777">
        <w:trPr>
          <w:jc w:val="center"/>
        </w:trPr>
        <w:tc>
          <w:tcPr>
            <w:tcW w:w="9746" w:type="dxa"/>
            <w:shd w:val="clear" w:color="auto" w:fill="E8F8F5"/>
          </w:tcPr>
          <w:p w14:paraId="0896C014" w14:textId="77777777" w:rsidR="00971884" w:rsidRDefault="00000000">
            <w:pPr>
              <w:spacing w:before="80" w:after="40"/>
            </w:pPr>
            <w:r>
              <w:rPr>
                <w:rFonts w:ascii="Calibri" w:hAnsi="Calibri"/>
                <w:b/>
                <w:color w:val="1E8449"/>
              </w:rPr>
              <w:t>🩺 SCA Communication Pearls</w:t>
            </w:r>
          </w:p>
          <w:p w14:paraId="1A53790A" w14:textId="77777777" w:rsidR="00971884" w:rsidRDefault="00000000">
            <w:pPr>
              <w:spacing w:before="40" w:after="80"/>
            </w:pPr>
            <w:r>
              <w:rPr>
                <w:rFonts w:ascii="Calibri" w:hAnsi="Calibri"/>
                <w:sz w:val="21"/>
              </w:rPr>
              <w:t>• Explore the patient's desired outcomes first: 'What would you like to happen as a result of today's conversation?'</w:t>
            </w:r>
            <w:r>
              <w:rPr>
                <w:rFonts w:ascii="Calibri" w:hAnsi="Calibri"/>
                <w:sz w:val="21"/>
              </w:rPr>
              <w:br/>
              <w:t>• Explain MARAC clearly and empathetically: 'There's a multi-agency safety meeting I can refer you to — they bring together lots of different services to help keep you safer.'</w:t>
            </w:r>
            <w:r>
              <w:rPr>
                <w:rFonts w:ascii="Calibri" w:hAnsi="Calibri"/>
                <w:sz w:val="21"/>
              </w:rPr>
              <w:br/>
              <w:t>• When overriding consent: 'I know this is difficult to hear, but I'm concerned enough about your safety that I need to involve other services — I want to explain exactly what will happen.'</w:t>
            </w:r>
            <w:r>
              <w:rPr>
                <w:rFonts w:ascii="Calibri" w:hAnsi="Calibri"/>
                <w:sz w:val="21"/>
              </w:rPr>
              <w:br/>
              <w:t>• Professional curiosity in SCA: ask about home situation, who else lives there, how they are managing day-to-day</w:t>
            </w:r>
            <w:r>
              <w:rPr>
                <w:rFonts w:ascii="Calibri" w:hAnsi="Calibri"/>
                <w:sz w:val="21"/>
              </w:rPr>
              <w:br/>
              <w:t>• Always offer follow-up and document your clinical reasoning clearly</w:t>
            </w:r>
          </w:p>
        </w:tc>
      </w:tr>
    </w:tbl>
    <w:p w14:paraId="1DECA8DF" w14:textId="77777777" w:rsidR="00971884" w:rsidRDefault="00971884"/>
    <w:p w14:paraId="1B173A59" w14:textId="77777777" w:rsidR="00971884" w:rsidRDefault="00971884"/>
    <w:tbl>
      <w:tblPr>
        <w:tblW w:w="0" w:type="auto"/>
        <w:jc w:val="center"/>
        <w:tblLook w:val="04A0" w:firstRow="1" w:lastRow="0" w:firstColumn="1" w:lastColumn="0" w:noHBand="0" w:noVBand="1"/>
      </w:tblPr>
      <w:tblGrid>
        <w:gridCol w:w="9746"/>
      </w:tblGrid>
      <w:tr w:rsidR="00971884" w14:paraId="0192AB0C" w14:textId="77777777">
        <w:trPr>
          <w:jc w:val="center"/>
        </w:trPr>
        <w:tc>
          <w:tcPr>
            <w:tcW w:w="9746" w:type="dxa"/>
            <w:shd w:val="clear" w:color="auto" w:fill="FDEBD0"/>
          </w:tcPr>
          <w:p w14:paraId="652618CF" w14:textId="77777777" w:rsidR="00971884" w:rsidRDefault="00000000">
            <w:pPr>
              <w:spacing w:before="120" w:after="120"/>
              <w:jc w:val="center"/>
            </w:pPr>
            <w:r>
              <w:rPr>
                <w:rFonts w:ascii="Calibri" w:hAnsi="Calibri"/>
                <w:b/>
                <w:color w:val="7D6008"/>
                <w:sz w:val="20"/>
              </w:rPr>
              <w:t>⚠ Always double check this advice and drug doses with the latest NICE/BNF guidance. This document is for educational purposes only.</w:t>
            </w:r>
          </w:p>
        </w:tc>
      </w:tr>
    </w:tbl>
    <w:p w14:paraId="72B8A9C6" w14:textId="77777777" w:rsidR="00F0231A" w:rsidRDefault="00F0231A"/>
    <w:sectPr w:rsidR="00F0231A" w:rsidSect="00034616">
      <w:footerReference w:type="default" r:id="rId9"/>
      <w:pgSz w:w="12240" w:h="15840"/>
      <w:pgMar w:top="1020" w:right="1247" w:bottom="1020"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F1D97" w14:textId="77777777" w:rsidR="00225D5F" w:rsidRDefault="00225D5F">
      <w:pPr>
        <w:spacing w:after="0" w:line="240" w:lineRule="auto"/>
      </w:pPr>
      <w:r>
        <w:separator/>
      </w:r>
    </w:p>
  </w:endnote>
  <w:endnote w:type="continuationSeparator" w:id="0">
    <w:p w14:paraId="5631FAE5" w14:textId="77777777" w:rsidR="00225D5F" w:rsidRDefault="00225D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28E83" w14:textId="77777777" w:rsidR="00971884" w:rsidRDefault="00000000">
    <w:pPr>
      <w:pStyle w:val="Footer"/>
      <w:jc w:val="center"/>
    </w:pPr>
    <w:r>
      <w:rPr>
        <w:rFonts w:ascii="Calibri" w:hAnsi="Calibri"/>
        <w:i/>
        <w:color w:val="7F8C8D"/>
        <w:sz w:val="16"/>
      </w:rPr>
      <w:t>A free resource provided by www.bradfordvts.co.uk, Dr Ramesh Mehay, revised 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BA928" w14:textId="77777777" w:rsidR="00225D5F" w:rsidRDefault="00225D5F">
      <w:pPr>
        <w:spacing w:after="0" w:line="240" w:lineRule="auto"/>
      </w:pPr>
      <w:r>
        <w:separator/>
      </w:r>
    </w:p>
  </w:footnote>
  <w:footnote w:type="continuationSeparator" w:id="0">
    <w:p w14:paraId="627AFE39" w14:textId="77777777" w:rsidR="00225D5F" w:rsidRDefault="00225D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43376686">
    <w:abstractNumId w:val="8"/>
  </w:num>
  <w:num w:numId="2" w16cid:durableId="1169830249">
    <w:abstractNumId w:val="6"/>
  </w:num>
  <w:num w:numId="3" w16cid:durableId="1835753482">
    <w:abstractNumId w:val="5"/>
  </w:num>
  <w:num w:numId="4" w16cid:durableId="632714583">
    <w:abstractNumId w:val="4"/>
  </w:num>
  <w:num w:numId="5" w16cid:durableId="1958370517">
    <w:abstractNumId w:val="7"/>
  </w:num>
  <w:num w:numId="6" w16cid:durableId="495535582">
    <w:abstractNumId w:val="3"/>
  </w:num>
  <w:num w:numId="7" w16cid:durableId="1955624780">
    <w:abstractNumId w:val="2"/>
  </w:num>
  <w:num w:numId="8" w16cid:durableId="1944262949">
    <w:abstractNumId w:val="1"/>
  </w:num>
  <w:num w:numId="9" w16cid:durableId="28772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C4CCD"/>
    <w:rsid w:val="00225D5F"/>
    <w:rsid w:val="0029639D"/>
    <w:rsid w:val="00326F90"/>
    <w:rsid w:val="00630034"/>
    <w:rsid w:val="00971884"/>
    <w:rsid w:val="00AA1D8D"/>
    <w:rsid w:val="00B47730"/>
    <w:rsid w:val="00CB0664"/>
    <w:rsid w:val="00DE2575"/>
    <w:rsid w:val="00F0231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8B3C01"/>
  <w14:defaultImageDpi w14:val="300"/>
  <w15:docId w15:val="{90BC99BE-7CCC-40DD-B065-48E911A77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2230</Words>
  <Characters>12715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14916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Ramesh Mehay</cp:lastModifiedBy>
  <cp:revision>3</cp:revision>
  <dcterms:created xsi:type="dcterms:W3CDTF">2013-12-23T23:15:00Z</dcterms:created>
  <dcterms:modified xsi:type="dcterms:W3CDTF">2026-05-26T11:59:00Z</dcterms:modified>
  <cp:category/>
</cp:coreProperties>
</file>