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746"/>
      </w:tblGrid>
      <w:tr w:rsidR="009D0BDA" w14:paraId="57F205B8" w14:textId="77777777">
        <w:trPr>
          <w:jc w:val="center"/>
        </w:trPr>
        <w:tc>
          <w:tcPr>
            <w:tcW w:w="9746" w:type="dxa"/>
            <w:shd w:val="clear" w:color="auto" w:fill="E0651F"/>
          </w:tcPr>
          <w:p w14:paraId="14782ECB" w14:textId="77777777" w:rsidR="009D0BDA" w:rsidRDefault="00000000">
            <w:pPr>
              <w:spacing w:before="200" w:after="40"/>
              <w:jc w:val="center"/>
            </w:pPr>
            <w:r>
              <w:rPr>
                <w:rFonts w:ascii="Calibri" w:hAnsi="Calibri"/>
                <w:b/>
                <w:caps/>
                <w:color w:val="FFFFFF"/>
              </w:rPr>
              <w:t>BRADFORD VTS TEACHING AIDS</w:t>
            </w:r>
          </w:p>
          <w:p w14:paraId="61A7F092" w14:textId="77777777" w:rsidR="009D0BDA" w:rsidRDefault="00000000">
            <w:pPr>
              <w:spacing w:before="80" w:after="80"/>
              <w:jc w:val="center"/>
            </w:pPr>
            <w:r>
              <w:rPr>
                <w:rFonts w:ascii="Calibri" w:hAnsi="Calibri"/>
                <w:b/>
                <w:color w:val="FFFFFF"/>
                <w:sz w:val="52"/>
              </w:rPr>
              <w:t>Safeguarding Framework for GP Practices</w:t>
            </w:r>
          </w:p>
          <w:p w14:paraId="02C4EE2E" w14:textId="77777777" w:rsidR="009D0BDA" w:rsidRDefault="00000000">
            <w:pPr>
              <w:spacing w:before="40"/>
              <w:jc w:val="center"/>
            </w:pPr>
            <w:r>
              <w:rPr>
                <w:rFonts w:ascii="Calibri" w:hAnsi="Calibri"/>
                <w:i/>
                <w:color w:val="FFE5CC"/>
                <w:sz w:val="24"/>
              </w:rPr>
              <w:t>What All GP Practices Should Provide  ·  Bradford VTS  ·  May 2026</w:t>
            </w:r>
          </w:p>
        </w:tc>
      </w:tr>
    </w:tbl>
    <w:p w14:paraId="7AD247B9" w14:textId="77777777" w:rsidR="009D0BDA" w:rsidRDefault="00000000">
      <w:pPr>
        <w:jc w:val="center"/>
      </w:pPr>
      <w:r>
        <w:rPr>
          <w:noProof/>
        </w:rPr>
        <w:drawing>
          <wp:inline distT="0" distB="0" distL="0" distR="0" wp14:anchorId="12F2566D" wp14:editId="2D46ADFD">
            <wp:extent cx="6162675" cy="37795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6170125" cy="3784089"/>
                    </a:xfrm>
                    <a:prstGeom prst="rect">
                      <a:avLst/>
                    </a:prstGeom>
                  </pic:spPr>
                </pic:pic>
              </a:graphicData>
            </a:graphic>
          </wp:inline>
        </w:drawing>
      </w:r>
    </w:p>
    <w:p w14:paraId="701679EB" w14:textId="77777777" w:rsidR="009D0BDA" w:rsidRDefault="00000000">
      <w:pPr>
        <w:jc w:val="center"/>
      </w:pPr>
      <w:r>
        <w:rPr>
          <w:i/>
          <w:color w:val="7F8C8D"/>
          <w:sz w:val="18"/>
        </w:rPr>
        <w:t>Safeguarding is embedded at every level — from leadership and training to daily consultation practice.</w:t>
      </w:r>
    </w:p>
    <w:p w14:paraId="29501400" w14:textId="77777777" w:rsidR="009D0BDA" w:rsidRDefault="009D0BDA"/>
    <w:p w14:paraId="001BFF92" w14:textId="77777777" w:rsidR="009D0BDA" w:rsidRDefault="00000000">
      <w:pPr>
        <w:spacing w:before="240" w:after="120"/>
      </w:pPr>
      <w:r>
        <w:rPr>
          <w:rFonts w:ascii="Calibri" w:hAnsi="Calibri"/>
          <w:b/>
          <w:color w:val="1A3A5C"/>
          <w:sz w:val="32"/>
        </w:rPr>
        <w:t>Introduction</w:t>
      </w:r>
    </w:p>
    <w:p w14:paraId="4D284706" w14:textId="77777777" w:rsidR="009D0BDA" w:rsidRDefault="00000000">
      <w:pPr>
        <w:spacing w:before="40" w:after="80"/>
      </w:pPr>
      <w:r>
        <w:rPr>
          <w:rFonts w:ascii="Calibri" w:hAnsi="Calibri"/>
          <w:color w:val="2C3E50"/>
        </w:rPr>
        <w:t>Health providers are required under statute and regulation to have effective arrangements in place to safeguard and promote the welfare of children and adults at risk of harm and abuse in every service they deliver. Providers must demonstrate safeguarding is embedded at every level in their organisation. (NHSE Safeguarding Children, Young People and Adults at Risk in the NHS, 2019)</w:t>
      </w:r>
    </w:p>
    <w:p w14:paraId="1D3999DC" w14:textId="77777777" w:rsidR="009D0BDA" w:rsidRDefault="00000000">
      <w:pPr>
        <w:spacing w:before="40" w:after="80"/>
      </w:pPr>
      <w:r>
        <w:rPr>
          <w:rFonts w:ascii="Calibri" w:hAnsi="Calibri"/>
          <w:i/>
          <w:color w:val="5D6D7E"/>
        </w:rPr>
        <w:t>This document summarises the 6 key safeguarding domains for GP practices. It is designed as an educational guide for GP trainees and practice staff, aligned with the West Yorkshire and Harrogate Partnership GP Safeguarding Standards and current legislation (Care Act 2014, Children Act 2004, MCA 2005).</w:t>
      </w:r>
    </w:p>
    <w:p w14:paraId="52DA4263" w14:textId="77777777" w:rsidR="00831D18" w:rsidRDefault="00831D18">
      <w:pPr>
        <w:rPr>
          <w:rFonts w:ascii="Calibri" w:hAnsi="Calibri"/>
          <w:b/>
          <w:color w:val="1A3A5C"/>
          <w:sz w:val="32"/>
        </w:rPr>
      </w:pPr>
      <w:r>
        <w:rPr>
          <w:rFonts w:ascii="Calibri" w:hAnsi="Calibri"/>
          <w:b/>
          <w:color w:val="1A3A5C"/>
          <w:sz w:val="32"/>
        </w:rPr>
        <w:br w:type="page"/>
      </w:r>
    </w:p>
    <w:p w14:paraId="45D04545" w14:textId="0B8D9D5A" w:rsidR="009D0BDA" w:rsidRDefault="00000000">
      <w:pPr>
        <w:spacing w:before="240" w:after="120"/>
      </w:pPr>
      <w:r>
        <w:rPr>
          <w:rFonts w:ascii="Calibri" w:hAnsi="Calibri"/>
          <w:b/>
          <w:color w:val="1A3A5C"/>
          <w:sz w:val="32"/>
        </w:rPr>
        <w:lastRenderedPageBreak/>
        <w:t>Legislative and Regulatory Framework</w:t>
      </w:r>
    </w:p>
    <w:tbl>
      <w:tblPr>
        <w:tblStyle w:val="TableGrid"/>
        <w:tblW w:w="0" w:type="auto"/>
        <w:jc w:val="center"/>
        <w:tblLook w:val="04A0" w:firstRow="1" w:lastRow="0" w:firstColumn="1" w:lastColumn="0" w:noHBand="0" w:noVBand="1"/>
      </w:tblPr>
      <w:tblGrid>
        <w:gridCol w:w="4873"/>
        <w:gridCol w:w="4873"/>
      </w:tblGrid>
      <w:tr w:rsidR="009D0BDA" w14:paraId="18008AC6" w14:textId="77777777">
        <w:trPr>
          <w:jc w:val="center"/>
        </w:trPr>
        <w:tc>
          <w:tcPr>
            <w:tcW w:w="4873" w:type="dxa"/>
            <w:shd w:val="clear" w:color="auto" w:fill="1A3A5C"/>
          </w:tcPr>
          <w:p w14:paraId="61FE3252" w14:textId="77777777" w:rsidR="009D0BDA" w:rsidRDefault="00000000">
            <w:r>
              <w:rPr>
                <w:rFonts w:ascii="Calibri" w:hAnsi="Calibri"/>
                <w:b/>
                <w:color w:val="FFFFFF"/>
                <w:sz w:val="21"/>
              </w:rPr>
              <w:t>Legislation / Guidance</w:t>
            </w:r>
          </w:p>
        </w:tc>
        <w:tc>
          <w:tcPr>
            <w:tcW w:w="4873" w:type="dxa"/>
            <w:shd w:val="clear" w:color="auto" w:fill="1A3A5C"/>
          </w:tcPr>
          <w:p w14:paraId="6FDD4DDA" w14:textId="77777777" w:rsidR="009D0BDA" w:rsidRDefault="00000000">
            <w:r>
              <w:rPr>
                <w:rFonts w:ascii="Calibri" w:hAnsi="Calibri"/>
                <w:b/>
                <w:color w:val="FFFFFF"/>
                <w:sz w:val="21"/>
              </w:rPr>
              <w:t>Relevance to General Practice</w:t>
            </w:r>
          </w:p>
        </w:tc>
      </w:tr>
      <w:tr w:rsidR="009D0BDA" w14:paraId="1D056624" w14:textId="77777777">
        <w:trPr>
          <w:jc w:val="center"/>
        </w:trPr>
        <w:tc>
          <w:tcPr>
            <w:tcW w:w="4873" w:type="dxa"/>
            <w:shd w:val="clear" w:color="auto" w:fill="EBF5FB"/>
          </w:tcPr>
          <w:p w14:paraId="67D89B07" w14:textId="77777777" w:rsidR="009D0BDA" w:rsidRDefault="00000000">
            <w:r>
              <w:rPr>
                <w:rFonts w:ascii="Calibri" w:hAnsi="Calibri"/>
                <w:sz w:val="20"/>
              </w:rPr>
              <w:t>Children Act 2004 (s.11)</w:t>
            </w:r>
          </w:p>
        </w:tc>
        <w:tc>
          <w:tcPr>
            <w:tcW w:w="4873" w:type="dxa"/>
            <w:shd w:val="clear" w:color="auto" w:fill="EBF5FB"/>
          </w:tcPr>
          <w:p w14:paraId="7BC05838" w14:textId="77777777" w:rsidR="009D0BDA" w:rsidRDefault="00000000">
            <w:r>
              <w:rPr>
                <w:rFonts w:ascii="Calibri" w:hAnsi="Calibri"/>
                <w:sz w:val="20"/>
              </w:rPr>
              <w:t>Places a duty on all organisations to safeguard and promote the welfare of children — applies to General Practice</w:t>
            </w:r>
          </w:p>
        </w:tc>
      </w:tr>
      <w:tr w:rsidR="009D0BDA" w14:paraId="0367EE55" w14:textId="77777777">
        <w:trPr>
          <w:jc w:val="center"/>
        </w:trPr>
        <w:tc>
          <w:tcPr>
            <w:tcW w:w="4873" w:type="dxa"/>
            <w:shd w:val="clear" w:color="auto" w:fill="FFFFFF"/>
          </w:tcPr>
          <w:p w14:paraId="732C280D" w14:textId="77777777" w:rsidR="009D0BDA" w:rsidRDefault="00000000">
            <w:r>
              <w:rPr>
                <w:rFonts w:ascii="Calibri" w:hAnsi="Calibri"/>
                <w:sz w:val="20"/>
              </w:rPr>
              <w:t>Working Together to Safeguard Children 2023</w:t>
            </w:r>
          </w:p>
        </w:tc>
        <w:tc>
          <w:tcPr>
            <w:tcW w:w="4873" w:type="dxa"/>
            <w:shd w:val="clear" w:color="auto" w:fill="FFFFFF"/>
          </w:tcPr>
          <w:p w14:paraId="000964AD" w14:textId="77777777" w:rsidR="009D0BDA" w:rsidRDefault="00000000">
            <w:r>
              <w:rPr>
                <w:rFonts w:ascii="Calibri" w:hAnsi="Calibri"/>
                <w:sz w:val="20"/>
              </w:rPr>
              <w:t>Statutory guidance on multi-agency working to safeguard children; updated 2023</w:t>
            </w:r>
          </w:p>
        </w:tc>
      </w:tr>
      <w:tr w:rsidR="009D0BDA" w14:paraId="5CB1A969" w14:textId="77777777">
        <w:trPr>
          <w:jc w:val="center"/>
        </w:trPr>
        <w:tc>
          <w:tcPr>
            <w:tcW w:w="4873" w:type="dxa"/>
            <w:shd w:val="clear" w:color="auto" w:fill="EBF5FB"/>
          </w:tcPr>
          <w:p w14:paraId="452EF02C" w14:textId="77777777" w:rsidR="009D0BDA" w:rsidRDefault="00000000">
            <w:r>
              <w:rPr>
                <w:rFonts w:ascii="Calibri" w:hAnsi="Calibri"/>
                <w:sz w:val="20"/>
              </w:rPr>
              <w:t>Care Act 2014</w:t>
            </w:r>
          </w:p>
        </w:tc>
        <w:tc>
          <w:tcPr>
            <w:tcW w:w="4873" w:type="dxa"/>
            <w:shd w:val="clear" w:color="auto" w:fill="EBF5FB"/>
          </w:tcPr>
          <w:p w14:paraId="34C09F72" w14:textId="77777777" w:rsidR="009D0BDA" w:rsidRDefault="00000000">
            <w:r>
              <w:rPr>
                <w:rFonts w:ascii="Calibri" w:hAnsi="Calibri"/>
                <w:sz w:val="20"/>
              </w:rPr>
              <w:t>Defines 'adult at risk'; places statutory duty on Local Authorities for Section 42 enquiries; requires partner agencies (incl. NHS) to cooperate</w:t>
            </w:r>
          </w:p>
        </w:tc>
      </w:tr>
      <w:tr w:rsidR="009D0BDA" w14:paraId="6B4E86F1" w14:textId="77777777">
        <w:trPr>
          <w:jc w:val="center"/>
        </w:trPr>
        <w:tc>
          <w:tcPr>
            <w:tcW w:w="4873" w:type="dxa"/>
            <w:shd w:val="clear" w:color="auto" w:fill="FFFFFF"/>
          </w:tcPr>
          <w:p w14:paraId="26BD088C" w14:textId="77777777" w:rsidR="009D0BDA" w:rsidRDefault="00000000">
            <w:r>
              <w:rPr>
                <w:rFonts w:ascii="Calibri" w:hAnsi="Calibri"/>
                <w:sz w:val="20"/>
              </w:rPr>
              <w:t>Mental Capacity Act 2005</w:t>
            </w:r>
          </w:p>
        </w:tc>
        <w:tc>
          <w:tcPr>
            <w:tcW w:w="4873" w:type="dxa"/>
            <w:shd w:val="clear" w:color="auto" w:fill="FFFFFF"/>
          </w:tcPr>
          <w:p w14:paraId="3CFDAFD0" w14:textId="77777777" w:rsidR="009D0BDA" w:rsidRDefault="00000000">
            <w:r>
              <w:rPr>
                <w:rFonts w:ascii="Calibri" w:hAnsi="Calibri"/>
                <w:sz w:val="20"/>
              </w:rPr>
              <w:t>Framework for supporting people who lack capacity; governs best interests decisions; DoLS authorisation</w:t>
            </w:r>
          </w:p>
        </w:tc>
      </w:tr>
      <w:tr w:rsidR="009D0BDA" w14:paraId="46398E3D" w14:textId="77777777">
        <w:trPr>
          <w:jc w:val="center"/>
        </w:trPr>
        <w:tc>
          <w:tcPr>
            <w:tcW w:w="4873" w:type="dxa"/>
            <w:shd w:val="clear" w:color="auto" w:fill="EBF5FB"/>
          </w:tcPr>
          <w:p w14:paraId="3E9BB739" w14:textId="77777777" w:rsidR="009D0BDA" w:rsidRDefault="00000000">
            <w:r>
              <w:rPr>
                <w:rFonts w:ascii="Calibri" w:hAnsi="Calibri"/>
                <w:sz w:val="20"/>
              </w:rPr>
              <w:t>Domestic Abuse Act 2021</w:t>
            </w:r>
          </w:p>
        </w:tc>
        <w:tc>
          <w:tcPr>
            <w:tcW w:w="4873" w:type="dxa"/>
            <w:shd w:val="clear" w:color="auto" w:fill="EBF5FB"/>
          </w:tcPr>
          <w:p w14:paraId="76D0E04B" w14:textId="77777777" w:rsidR="009D0BDA" w:rsidRDefault="00000000">
            <w:r>
              <w:rPr>
                <w:rFonts w:ascii="Calibri" w:hAnsi="Calibri"/>
                <w:sz w:val="20"/>
              </w:rPr>
              <w:t>Statutory definition of DA; criminal offence of NFS; children as victims; no charge for legal aid letters</w:t>
            </w:r>
          </w:p>
        </w:tc>
      </w:tr>
      <w:tr w:rsidR="009D0BDA" w14:paraId="44948DAF" w14:textId="77777777">
        <w:trPr>
          <w:jc w:val="center"/>
        </w:trPr>
        <w:tc>
          <w:tcPr>
            <w:tcW w:w="4873" w:type="dxa"/>
            <w:shd w:val="clear" w:color="auto" w:fill="FFFFFF"/>
          </w:tcPr>
          <w:p w14:paraId="291290B4" w14:textId="77777777" w:rsidR="009D0BDA" w:rsidRDefault="00000000">
            <w:r>
              <w:rPr>
                <w:rFonts w:ascii="Calibri" w:hAnsi="Calibri"/>
                <w:sz w:val="20"/>
              </w:rPr>
              <w:t>NHSE Safeguarding in the NHS 2019</w:t>
            </w:r>
          </w:p>
        </w:tc>
        <w:tc>
          <w:tcPr>
            <w:tcW w:w="4873" w:type="dxa"/>
            <w:shd w:val="clear" w:color="auto" w:fill="FFFFFF"/>
          </w:tcPr>
          <w:p w14:paraId="48461B5D" w14:textId="77777777" w:rsidR="009D0BDA" w:rsidRDefault="00000000">
            <w:r>
              <w:rPr>
                <w:rFonts w:ascii="Calibri" w:hAnsi="Calibri"/>
                <w:sz w:val="20"/>
              </w:rPr>
              <w:t>NHS safeguarding standards for providers; requires evidence of safeguarding at every organisational level</w:t>
            </w:r>
          </w:p>
        </w:tc>
      </w:tr>
      <w:tr w:rsidR="009D0BDA" w14:paraId="2EAB791F" w14:textId="77777777">
        <w:trPr>
          <w:jc w:val="center"/>
        </w:trPr>
        <w:tc>
          <w:tcPr>
            <w:tcW w:w="4873" w:type="dxa"/>
            <w:shd w:val="clear" w:color="auto" w:fill="EBF5FB"/>
          </w:tcPr>
          <w:p w14:paraId="120C56AE" w14:textId="77777777" w:rsidR="009D0BDA" w:rsidRDefault="00000000">
            <w:r>
              <w:rPr>
                <w:rFonts w:ascii="Calibri" w:hAnsi="Calibri"/>
                <w:sz w:val="20"/>
              </w:rPr>
              <w:t>NHS Standard Contract</w:t>
            </w:r>
          </w:p>
        </w:tc>
        <w:tc>
          <w:tcPr>
            <w:tcW w:w="4873" w:type="dxa"/>
            <w:shd w:val="clear" w:color="auto" w:fill="EBF5FB"/>
          </w:tcPr>
          <w:p w14:paraId="7E661E75" w14:textId="77777777" w:rsidR="009D0BDA" w:rsidRDefault="00000000">
            <w:r>
              <w:rPr>
                <w:rFonts w:ascii="Calibri" w:hAnsi="Calibri"/>
                <w:sz w:val="20"/>
              </w:rPr>
              <w:t>All NHS providers must comply with national safeguarding legislation as a contract requirement</w:t>
            </w:r>
          </w:p>
        </w:tc>
      </w:tr>
      <w:tr w:rsidR="009D0BDA" w14:paraId="102F2D1B" w14:textId="77777777">
        <w:trPr>
          <w:jc w:val="center"/>
        </w:trPr>
        <w:tc>
          <w:tcPr>
            <w:tcW w:w="4873" w:type="dxa"/>
            <w:shd w:val="clear" w:color="auto" w:fill="FFFFFF"/>
          </w:tcPr>
          <w:p w14:paraId="0352759A" w14:textId="77777777" w:rsidR="009D0BDA" w:rsidRDefault="00000000">
            <w:r>
              <w:rPr>
                <w:rFonts w:ascii="Calibri" w:hAnsi="Calibri"/>
                <w:sz w:val="20"/>
              </w:rPr>
              <w:t>Counter Terrorism &amp; Security Act 2015</w:t>
            </w:r>
          </w:p>
        </w:tc>
        <w:tc>
          <w:tcPr>
            <w:tcW w:w="4873" w:type="dxa"/>
            <w:shd w:val="clear" w:color="auto" w:fill="FFFFFF"/>
          </w:tcPr>
          <w:p w14:paraId="0D765889" w14:textId="77777777" w:rsidR="009D0BDA" w:rsidRDefault="00000000">
            <w:r>
              <w:rPr>
                <w:rFonts w:ascii="Calibri" w:hAnsi="Calibri"/>
                <w:sz w:val="20"/>
              </w:rPr>
              <w:t>Places a statutory Prevent duty on all NHS organisations</w:t>
            </w:r>
          </w:p>
        </w:tc>
      </w:tr>
    </w:tbl>
    <w:p w14:paraId="7CE22B2A" w14:textId="77777777" w:rsidR="009D0BDA" w:rsidRDefault="009D0BDA"/>
    <w:p w14:paraId="0B9ED99B" w14:textId="77777777" w:rsidR="009D0BDA" w:rsidRDefault="00000000">
      <w:pPr>
        <w:spacing w:before="240" w:after="120"/>
      </w:pPr>
      <w:r>
        <w:rPr>
          <w:rFonts w:ascii="Calibri" w:hAnsi="Calibri"/>
          <w:b/>
          <w:color w:val="1A3A5C"/>
          <w:sz w:val="30"/>
        </w:rPr>
        <w:t>Domain 1: Safeguarding Leadership within the Practice</w:t>
      </w:r>
    </w:p>
    <w:p w14:paraId="680EBFC9" w14:textId="77777777" w:rsidR="009D0BDA" w:rsidRDefault="00000000">
      <w:pPr>
        <w:spacing w:before="40" w:after="80"/>
      </w:pPr>
      <w:r>
        <w:rPr>
          <w:rFonts w:ascii="Calibri" w:hAnsi="Calibri"/>
          <w:b/>
          <w:color w:val="2E86AB"/>
        </w:rPr>
        <w:t>Overarching Standard 1.0: The Practice has clear and robust leadership, accountability and assurance arrangements for safeguarding at all levels.</w:t>
      </w:r>
    </w:p>
    <w:p w14:paraId="18E06FDE" w14:textId="77777777" w:rsidR="009D0BDA" w:rsidRDefault="00000000">
      <w:pPr>
        <w:pStyle w:val="ListBullet"/>
        <w:spacing w:before="20" w:after="40"/>
        <w:ind w:left="432"/>
      </w:pPr>
      <w:r>
        <w:rPr>
          <w:rFonts w:ascii="Calibri" w:hAnsi="Calibri"/>
          <w:color w:val="2C3E50"/>
        </w:rPr>
        <w:t>1.1  The Practice has a named Lead (and Deputy) for: Safeguarding Children; Safeguarding Adults at Risk; Mental Capacity &amp; DoLS; Prevent. These roles may be held by more than one person.</w:t>
      </w:r>
    </w:p>
    <w:p w14:paraId="75305610" w14:textId="77777777" w:rsidR="009D0BDA" w:rsidRDefault="00000000">
      <w:pPr>
        <w:pStyle w:val="ListBullet"/>
        <w:spacing w:before="20" w:after="40"/>
        <w:ind w:left="432"/>
      </w:pPr>
      <w:r>
        <w:rPr>
          <w:rFonts w:ascii="Calibri" w:hAnsi="Calibri"/>
          <w:color w:val="2C3E50"/>
        </w:rPr>
        <w:t>1.2  All staff know who the GP Safeguarding Lead and Deputy are and how to access their advice and support.</w:t>
      </w:r>
    </w:p>
    <w:p w14:paraId="5A62896A" w14:textId="77777777" w:rsidR="009D0BDA" w:rsidRDefault="00000000">
      <w:pPr>
        <w:pStyle w:val="ListBullet"/>
        <w:spacing w:before="20" w:after="40"/>
        <w:ind w:left="432"/>
      </w:pPr>
      <w:r>
        <w:rPr>
          <w:rFonts w:ascii="Calibri" w:hAnsi="Calibri"/>
          <w:color w:val="2C3E50"/>
        </w:rPr>
        <w:t>1.3  The Practice Lead is supported to attend GP Safeguarding Leads Meetings — minimum 50% attendance required.</w:t>
      </w:r>
    </w:p>
    <w:p w14:paraId="113E8D0A" w14:textId="77777777" w:rsidR="009D0BDA" w:rsidRDefault="00000000">
      <w:pPr>
        <w:pStyle w:val="ListBullet"/>
        <w:spacing w:before="20" w:after="40"/>
        <w:ind w:left="432"/>
      </w:pPr>
      <w:r>
        <w:rPr>
          <w:rFonts w:ascii="Calibri" w:hAnsi="Calibri"/>
          <w:color w:val="2C3E50"/>
        </w:rPr>
        <w:t>1.4  The Practice has structures in place for reporting, reflecting, and learning from significant safeguarding events (including SARs and CDRs).</w:t>
      </w:r>
    </w:p>
    <w:tbl>
      <w:tblPr>
        <w:tblStyle w:val="TableGrid"/>
        <w:tblW w:w="0" w:type="auto"/>
        <w:jc w:val="center"/>
        <w:tblLook w:val="04A0" w:firstRow="1" w:lastRow="0" w:firstColumn="1" w:lastColumn="0" w:noHBand="0" w:noVBand="1"/>
      </w:tblPr>
      <w:tblGrid>
        <w:gridCol w:w="9746"/>
      </w:tblGrid>
      <w:tr w:rsidR="009D0BDA" w14:paraId="4C4F29F8" w14:textId="77777777">
        <w:trPr>
          <w:jc w:val="center"/>
        </w:trPr>
        <w:tc>
          <w:tcPr>
            <w:tcW w:w="9746" w:type="dxa"/>
            <w:shd w:val="clear" w:color="auto" w:fill="E8F8F5"/>
          </w:tcPr>
          <w:p w14:paraId="27B570D5" w14:textId="77777777" w:rsidR="009D0BDA" w:rsidRDefault="00000000">
            <w:pPr>
              <w:spacing w:before="80" w:after="40"/>
            </w:pPr>
            <w:r>
              <w:rPr>
                <w:rFonts w:ascii="Calibri" w:hAnsi="Calibri"/>
                <w:b/>
                <w:color w:val="1E8449"/>
              </w:rPr>
              <w:t>✅ In practice this means:</w:t>
            </w:r>
          </w:p>
          <w:p w14:paraId="76B657B1" w14:textId="77777777" w:rsidR="009D0BDA" w:rsidRDefault="00000000">
            <w:pPr>
              <w:spacing w:before="40" w:after="80"/>
            </w:pPr>
            <w:r>
              <w:rPr>
                <w:rFonts w:ascii="Calibri" w:hAnsi="Calibri"/>
                <w:sz w:val="21"/>
              </w:rPr>
              <w:t>• Named GP Lead and Deputy Lead for safeguarding are clearly identified in practice documentation</w:t>
            </w:r>
            <w:r>
              <w:rPr>
                <w:rFonts w:ascii="Calibri" w:hAnsi="Calibri"/>
                <w:sz w:val="21"/>
              </w:rPr>
              <w:br/>
              <w:t>• Contact details of safeguarding leads are visible and accessible to all staff</w:t>
            </w:r>
            <w:r>
              <w:rPr>
                <w:rFonts w:ascii="Calibri" w:hAnsi="Calibri"/>
                <w:sz w:val="21"/>
              </w:rPr>
              <w:br/>
              <w:t>• Safeguarding is a standing agenda item at clinical/practice meetings</w:t>
            </w:r>
            <w:r>
              <w:rPr>
                <w:rFonts w:ascii="Calibri" w:hAnsi="Calibri"/>
                <w:sz w:val="21"/>
              </w:rPr>
              <w:br/>
              <w:t>• Learning from local and national Safeguarding Adult Reviews (SARs) and Domestic Homicide Reviews (DHRs) is shared</w:t>
            </w:r>
          </w:p>
        </w:tc>
      </w:tr>
    </w:tbl>
    <w:p w14:paraId="1409F4ED" w14:textId="77777777" w:rsidR="009D0BDA" w:rsidRDefault="009D0BDA"/>
    <w:p w14:paraId="7F09CCF8" w14:textId="77777777" w:rsidR="00831D18" w:rsidRDefault="00831D18">
      <w:pPr>
        <w:rPr>
          <w:rFonts w:ascii="Calibri" w:hAnsi="Calibri"/>
          <w:b/>
          <w:color w:val="1A3A5C"/>
          <w:sz w:val="30"/>
        </w:rPr>
      </w:pPr>
      <w:r>
        <w:rPr>
          <w:rFonts w:ascii="Calibri" w:hAnsi="Calibri"/>
          <w:b/>
          <w:color w:val="1A3A5C"/>
          <w:sz w:val="30"/>
        </w:rPr>
        <w:br w:type="page"/>
      </w:r>
    </w:p>
    <w:p w14:paraId="5D05D5CD" w14:textId="1A31AEC0" w:rsidR="009D0BDA" w:rsidRDefault="00000000">
      <w:pPr>
        <w:spacing w:before="240" w:after="120"/>
      </w:pPr>
      <w:r>
        <w:rPr>
          <w:rFonts w:ascii="Calibri" w:hAnsi="Calibri"/>
          <w:b/>
          <w:color w:val="1A3A5C"/>
          <w:sz w:val="30"/>
        </w:rPr>
        <w:lastRenderedPageBreak/>
        <w:t>Domain 2: Learning and Training</w:t>
      </w:r>
    </w:p>
    <w:p w14:paraId="43E81208" w14:textId="77777777" w:rsidR="009D0BDA" w:rsidRDefault="00000000">
      <w:pPr>
        <w:spacing w:before="40" w:after="80"/>
      </w:pPr>
      <w:r>
        <w:rPr>
          <w:rFonts w:ascii="Calibri" w:hAnsi="Calibri"/>
          <w:b/>
          <w:color w:val="2E86AB"/>
        </w:rPr>
        <w:t>Overarching Standard 2.0: The Practice embeds a culture of sharing safeguarding learning and continuous improvement.</w:t>
      </w:r>
    </w:p>
    <w:p w14:paraId="3908A0B6" w14:textId="77777777" w:rsidR="009D0BDA" w:rsidRDefault="00000000">
      <w:pPr>
        <w:pStyle w:val="ListBullet"/>
        <w:spacing w:before="20" w:after="40"/>
        <w:ind w:left="432"/>
      </w:pPr>
      <w:r>
        <w:rPr>
          <w:rFonts w:ascii="Calibri" w:hAnsi="Calibri"/>
          <w:color w:val="2C3E50"/>
        </w:rPr>
        <w:t>2.1  All practice employees (permanent and temporary) have completed safeguarding training appropriate to their role, as per:</w:t>
      </w:r>
      <w:r>
        <w:rPr>
          <w:rFonts w:ascii="Calibri" w:hAnsi="Calibri"/>
          <w:color w:val="2C3E50"/>
        </w:rPr>
        <w:br/>
        <w:t xml:space="preserve">        — 'Safeguarding Children and Young People: Roles and Competencies for Healthcare Staff' (2019)</w:t>
      </w:r>
      <w:r>
        <w:rPr>
          <w:rFonts w:ascii="Calibri" w:hAnsi="Calibri"/>
          <w:color w:val="2C3E50"/>
        </w:rPr>
        <w:br/>
        <w:t xml:space="preserve">        — 'Adult Safeguarding: Roles and Competencies for Healthcare Staff' (2018)</w:t>
      </w:r>
    </w:p>
    <w:p w14:paraId="1B0A3DDC" w14:textId="77777777" w:rsidR="009D0BDA" w:rsidRDefault="00000000">
      <w:pPr>
        <w:pStyle w:val="ListBullet"/>
        <w:spacing w:before="20" w:after="40"/>
        <w:ind w:left="432"/>
      </w:pPr>
      <w:r>
        <w:rPr>
          <w:rFonts w:ascii="Calibri" w:hAnsi="Calibri"/>
          <w:color w:val="2C3E50"/>
        </w:rPr>
        <w:t>2.2  The induction programme for new staff (including locums and temporary staff) includes: reading safeguarding policies; training on key local safeguarding procedures.</w:t>
      </w:r>
    </w:p>
    <w:p w14:paraId="72F3EF4B" w14:textId="77777777" w:rsidR="009D0BDA" w:rsidRDefault="00000000">
      <w:pPr>
        <w:pStyle w:val="ListBullet"/>
        <w:spacing w:before="20" w:after="40"/>
        <w:ind w:left="432"/>
      </w:pPr>
      <w:r>
        <w:rPr>
          <w:rFonts w:ascii="Calibri" w:hAnsi="Calibri"/>
          <w:color w:val="2C3E50"/>
        </w:rPr>
        <w:t>2.3  The Practice disseminates changes in safeguarding practice and learning from local Safeguarding Case Reviews and audits, and embeds these in Practice processes.</w:t>
      </w:r>
    </w:p>
    <w:tbl>
      <w:tblPr>
        <w:tblStyle w:val="TableGrid"/>
        <w:tblW w:w="0" w:type="auto"/>
        <w:jc w:val="center"/>
        <w:tblLook w:val="04A0" w:firstRow="1" w:lastRow="0" w:firstColumn="1" w:lastColumn="0" w:noHBand="0" w:noVBand="1"/>
      </w:tblPr>
      <w:tblGrid>
        <w:gridCol w:w="9746"/>
      </w:tblGrid>
      <w:tr w:rsidR="009D0BDA" w14:paraId="0AF96A42" w14:textId="77777777">
        <w:trPr>
          <w:jc w:val="center"/>
        </w:trPr>
        <w:tc>
          <w:tcPr>
            <w:tcW w:w="9746" w:type="dxa"/>
            <w:shd w:val="clear" w:color="auto" w:fill="E8F4FD"/>
          </w:tcPr>
          <w:p w14:paraId="1330104D" w14:textId="77777777" w:rsidR="009D0BDA" w:rsidRDefault="00000000">
            <w:pPr>
              <w:spacing w:before="80" w:after="40"/>
            </w:pPr>
            <w:r>
              <w:rPr>
                <w:rFonts w:ascii="Calibri" w:hAnsi="Calibri"/>
                <w:b/>
                <w:color w:val="1A3A5C"/>
              </w:rPr>
              <w:t>📚 Training levels for GPs (RCGP/Intercollegiate Guidance):</w:t>
            </w:r>
          </w:p>
          <w:p w14:paraId="35EE1DC9" w14:textId="77777777" w:rsidR="009D0BDA" w:rsidRDefault="00000000">
            <w:pPr>
              <w:spacing w:before="40" w:after="80"/>
            </w:pPr>
            <w:r>
              <w:rPr>
                <w:rFonts w:ascii="Calibri" w:hAnsi="Calibri"/>
                <w:sz w:val="21"/>
              </w:rPr>
              <w:t>• Level 1: All staff — awareness of safeguarding, how to raise a concern</w:t>
            </w:r>
            <w:r>
              <w:rPr>
                <w:rFonts w:ascii="Calibri" w:hAnsi="Calibri"/>
                <w:sz w:val="21"/>
              </w:rPr>
              <w:br/>
              <w:t>• Level 2: Reception and administrative staff — identify and respond; know the referral pathway</w:t>
            </w:r>
            <w:r>
              <w:rPr>
                <w:rFonts w:ascii="Calibri" w:hAnsi="Calibri"/>
                <w:sz w:val="21"/>
              </w:rPr>
              <w:br/>
              <w:t>• Level 3: Clinicians (GPs, nurses) — identify, assess, and refer; understand risk factors; contribute to multi-agency processes</w:t>
            </w:r>
            <w:r>
              <w:rPr>
                <w:rFonts w:ascii="Calibri" w:hAnsi="Calibri"/>
                <w:sz w:val="21"/>
              </w:rPr>
              <w:br/>
              <w:t>• Level 4: Named/Designated GPs — expert safeguarding knowledge; lead and supervise practice response</w:t>
            </w:r>
            <w:r>
              <w:rPr>
                <w:rFonts w:ascii="Calibri" w:hAnsi="Calibri"/>
                <w:sz w:val="21"/>
              </w:rPr>
              <w:br/>
            </w:r>
            <w:r>
              <w:rPr>
                <w:rFonts w:ascii="Calibri" w:hAnsi="Calibri"/>
                <w:sz w:val="21"/>
              </w:rPr>
              <w:br/>
              <w:t>e-LfH and RCGP e-learning modules are available for all levels. Training must be refreshed at appropriate intervals (at least every 3 years for clinical staff — Level 3).</w:t>
            </w:r>
          </w:p>
        </w:tc>
      </w:tr>
    </w:tbl>
    <w:p w14:paraId="1D6E2F55" w14:textId="77777777" w:rsidR="009D0BDA" w:rsidRDefault="009D0BDA"/>
    <w:p w14:paraId="271AA30D" w14:textId="77777777" w:rsidR="009D0BDA" w:rsidRDefault="00000000">
      <w:pPr>
        <w:spacing w:before="240" w:after="120"/>
      </w:pPr>
      <w:r>
        <w:rPr>
          <w:rFonts w:ascii="Calibri" w:hAnsi="Calibri"/>
          <w:b/>
          <w:color w:val="1A3A5C"/>
          <w:sz w:val="30"/>
        </w:rPr>
        <w:t>Domain 3: Policies, Procedures, Systems and Governance</w:t>
      </w:r>
    </w:p>
    <w:p w14:paraId="43EDF507" w14:textId="77777777" w:rsidR="009D0BDA" w:rsidRDefault="00000000">
      <w:pPr>
        <w:spacing w:before="40" w:after="80"/>
      </w:pPr>
      <w:r>
        <w:rPr>
          <w:rFonts w:ascii="Calibri" w:hAnsi="Calibri"/>
          <w:b/>
          <w:color w:val="2E86AB"/>
        </w:rPr>
        <w:t>Overarching Standard 3.0: The Practice has accessible, up-to-date safeguarding policies and procedures consistent with statutory and multi-agency guidance.</w:t>
      </w:r>
    </w:p>
    <w:p w14:paraId="1ADDD613" w14:textId="77777777" w:rsidR="009D0BDA" w:rsidRDefault="00000000">
      <w:pPr>
        <w:pStyle w:val="ListBullet"/>
        <w:spacing w:before="20" w:after="40"/>
        <w:ind w:left="432"/>
      </w:pPr>
      <w:r>
        <w:rPr>
          <w:rFonts w:ascii="Calibri" w:hAnsi="Calibri"/>
          <w:color w:val="2C3E50"/>
        </w:rPr>
        <w:t>3.1  All staff (permanent and temporary) have access to comprehensive safeguarding policies for children and adults. Policies link to local Safeguarding Children Partnerships (SCPs) and Safeguarding Adults Boards (SABs) procedures.</w:t>
      </w:r>
    </w:p>
    <w:p w14:paraId="4B6A6A26" w14:textId="77777777" w:rsidR="009D0BDA" w:rsidRDefault="00000000">
      <w:pPr>
        <w:pStyle w:val="ListBullet"/>
        <w:spacing w:before="20" w:after="40"/>
        <w:ind w:left="432"/>
      </w:pPr>
      <w:r>
        <w:rPr>
          <w:rFonts w:ascii="Calibri" w:hAnsi="Calibri"/>
          <w:color w:val="2C3E50"/>
        </w:rPr>
        <w:t>3.2  Policies clearly state how staff should manage and escalate concerns and how to access support and advice.</w:t>
      </w:r>
    </w:p>
    <w:p w14:paraId="4C770613" w14:textId="77777777" w:rsidR="009D0BDA" w:rsidRDefault="00000000">
      <w:pPr>
        <w:pStyle w:val="ListBullet"/>
        <w:spacing w:before="20" w:after="40"/>
        <w:ind w:left="432"/>
      </w:pPr>
      <w:r>
        <w:rPr>
          <w:rFonts w:ascii="Calibri" w:hAnsi="Calibri"/>
          <w:color w:val="2C3E50"/>
        </w:rPr>
        <w:t>3.3  Policies include referral pathways to: Early Help; Children's Social Care; Adult Social Care; MARAC; IMCA services.</w:t>
      </w:r>
    </w:p>
    <w:p w14:paraId="0D30F1AE" w14:textId="77777777" w:rsidR="009D0BDA" w:rsidRDefault="00000000">
      <w:pPr>
        <w:pStyle w:val="ListBullet"/>
        <w:spacing w:before="20" w:after="40"/>
        <w:ind w:left="432"/>
      </w:pPr>
      <w:r>
        <w:rPr>
          <w:rFonts w:ascii="Calibri" w:hAnsi="Calibri"/>
          <w:color w:val="2C3E50"/>
        </w:rPr>
        <w:t>3.4  The Practice demonstrates a 'Think Family' ethos — safeguarding concerns about an adult should prompt consideration of children in the household, and vice versa.</w:t>
      </w:r>
    </w:p>
    <w:p w14:paraId="29B44D78" w14:textId="77777777" w:rsidR="009D0BDA" w:rsidRDefault="00000000">
      <w:pPr>
        <w:pStyle w:val="ListBullet"/>
        <w:spacing w:before="20" w:after="40"/>
        <w:ind w:left="432"/>
      </w:pPr>
      <w:r>
        <w:rPr>
          <w:rFonts w:ascii="Calibri" w:hAnsi="Calibri"/>
          <w:color w:val="2C3E50"/>
        </w:rPr>
        <w:t>3.5  Staff know how and when to contact the Looked After Children (LAC) health team.</w:t>
      </w:r>
    </w:p>
    <w:p w14:paraId="050CC359" w14:textId="77777777" w:rsidR="009D0BDA" w:rsidRDefault="00000000">
      <w:pPr>
        <w:pStyle w:val="ListBullet"/>
        <w:spacing w:before="20" w:after="40"/>
        <w:ind w:left="432"/>
      </w:pPr>
      <w:r>
        <w:rPr>
          <w:rFonts w:ascii="Calibri" w:hAnsi="Calibri"/>
          <w:color w:val="2C3E50"/>
        </w:rPr>
        <w:t>3.6  There is a clear procedure for mental capacity and best interest assessments. Staff understand their MCA responsibilities.</w:t>
      </w:r>
    </w:p>
    <w:p w14:paraId="55AEDD23" w14:textId="77777777" w:rsidR="009D0BDA" w:rsidRDefault="00000000">
      <w:pPr>
        <w:pStyle w:val="ListBullet"/>
        <w:spacing w:before="20" w:after="40"/>
        <w:ind w:left="432"/>
      </w:pPr>
      <w:r>
        <w:rPr>
          <w:rFonts w:ascii="Calibri" w:hAnsi="Calibri"/>
          <w:color w:val="2C3E50"/>
        </w:rPr>
        <w:t>3.7  Systems capture and record advance decisions: Advance Statement of Wishes; Advance Decision to Refuse Treatment (ADRT); Lasting Power of Attorney (LPA — Property &amp; Financial; Health &amp; Welfare); Court Appointed Deputy.</w:t>
      </w:r>
    </w:p>
    <w:p w14:paraId="30665D36" w14:textId="77777777" w:rsidR="009D0BDA" w:rsidRDefault="00000000">
      <w:pPr>
        <w:pStyle w:val="ListBullet"/>
        <w:spacing w:before="20" w:after="40"/>
        <w:ind w:left="432"/>
      </w:pPr>
      <w:r>
        <w:rPr>
          <w:rFonts w:ascii="Calibri" w:hAnsi="Calibri"/>
          <w:color w:val="2C3E50"/>
        </w:rPr>
        <w:t>3.8  All staff are aware of domestic abuse; clinical staff understand the indicators and know how to create opportunities for disclosure and where to signpost patients.</w:t>
      </w:r>
    </w:p>
    <w:p w14:paraId="62129DC2" w14:textId="77777777" w:rsidR="009D0BDA" w:rsidRDefault="00000000">
      <w:pPr>
        <w:pStyle w:val="ListBullet"/>
        <w:spacing w:before="20" w:after="40"/>
        <w:ind w:left="432"/>
      </w:pPr>
      <w:r>
        <w:rPr>
          <w:rFonts w:ascii="Calibri" w:hAnsi="Calibri"/>
          <w:color w:val="2C3E50"/>
        </w:rPr>
        <w:lastRenderedPageBreak/>
        <w:t>3.9  All staff are familiar with the Government's Prevent Strategy, including how to make a Prevent referral and have completed the appropriate level of training.</w:t>
      </w:r>
    </w:p>
    <w:p w14:paraId="7F3AFDB4" w14:textId="77777777" w:rsidR="009D0BDA" w:rsidRDefault="00000000">
      <w:pPr>
        <w:pStyle w:val="ListBullet"/>
        <w:spacing w:before="20" w:after="40"/>
        <w:ind w:left="432"/>
      </w:pPr>
      <w:r>
        <w:rPr>
          <w:rFonts w:ascii="Calibri" w:hAnsi="Calibri"/>
          <w:color w:val="2C3E50"/>
        </w:rPr>
        <w:t>3.10  The Practice is registered with NHS Digital to report cases of FGM (mandatory reporting; clinical staff know the process).</w:t>
      </w:r>
    </w:p>
    <w:p w14:paraId="1523E79E" w14:textId="77777777" w:rsidR="009D0BDA" w:rsidRDefault="00000000">
      <w:pPr>
        <w:pStyle w:val="ListBullet"/>
        <w:spacing w:before="20" w:after="40"/>
        <w:ind w:left="432"/>
      </w:pPr>
      <w:r>
        <w:rPr>
          <w:rFonts w:ascii="Calibri" w:hAnsi="Calibri"/>
          <w:color w:val="2C3E50"/>
        </w:rPr>
        <w:t>3.11  A process is in place for managing children or adults at risk who Were Not Brought (WNB) to appointments — including escalation procedures.</w:t>
      </w:r>
    </w:p>
    <w:p w14:paraId="1D794A61" w14:textId="77777777" w:rsidR="009D0BDA" w:rsidRDefault="00000000">
      <w:pPr>
        <w:pStyle w:val="ListBullet"/>
        <w:spacing w:before="20" w:after="40"/>
        <w:ind w:left="432"/>
      </w:pPr>
      <w:r>
        <w:rPr>
          <w:rFonts w:ascii="Calibri" w:hAnsi="Calibri"/>
          <w:color w:val="2C3E50"/>
        </w:rPr>
        <w:t>3.12  The Practice has a Chaperone Policy that includes safeguarding responsibilities.</w:t>
      </w:r>
    </w:p>
    <w:p w14:paraId="512724A2" w14:textId="77777777" w:rsidR="009D0BDA" w:rsidRDefault="00000000">
      <w:pPr>
        <w:pStyle w:val="ListBullet"/>
        <w:spacing w:before="20" w:after="40"/>
        <w:ind w:left="432"/>
      </w:pPr>
      <w:r>
        <w:rPr>
          <w:rFonts w:ascii="Calibri" w:hAnsi="Calibri"/>
          <w:color w:val="2C3E50"/>
        </w:rPr>
        <w:t>3.13  Policies exist for allegations against staff / persons in positions of trust (PiPoT), including a Freedom to Speak / Raising Concerns Policy.</w:t>
      </w:r>
    </w:p>
    <w:p w14:paraId="65B539EF" w14:textId="77777777" w:rsidR="009D0BDA" w:rsidRDefault="00000000">
      <w:pPr>
        <w:spacing w:before="240" w:after="120"/>
      </w:pPr>
      <w:r>
        <w:rPr>
          <w:rFonts w:ascii="Calibri" w:hAnsi="Calibri"/>
          <w:b/>
          <w:color w:val="1A3A5C"/>
          <w:sz w:val="30"/>
        </w:rPr>
        <w:t>Domain 4: Safe Record Keeping</w:t>
      </w:r>
    </w:p>
    <w:p w14:paraId="747C72EB" w14:textId="77777777" w:rsidR="009D0BDA" w:rsidRDefault="00000000">
      <w:pPr>
        <w:spacing w:before="40" w:after="80"/>
      </w:pPr>
      <w:r>
        <w:rPr>
          <w:rFonts w:ascii="Calibri" w:hAnsi="Calibri"/>
          <w:b/>
          <w:color w:val="2E86AB"/>
        </w:rPr>
        <w:t>Overarching Standard 4.0: Clinical records clearly identify patients with safeguarding concerns in a highly visible and accessible way for all relevant staff.</w:t>
      </w:r>
    </w:p>
    <w:p w14:paraId="65518D31" w14:textId="77777777" w:rsidR="009D0BDA" w:rsidRDefault="00000000">
      <w:pPr>
        <w:pStyle w:val="ListBullet"/>
        <w:spacing w:before="20" w:after="40"/>
        <w:ind w:left="432"/>
      </w:pPr>
      <w:r>
        <w:rPr>
          <w:rFonts w:ascii="Calibri" w:hAnsi="Calibri"/>
          <w:color w:val="2C3E50"/>
        </w:rPr>
        <w:t>4.1  Safeguarding information is recorded in a consistent and clearly visible location in the clinical record (e.g., safeguarding template in SystmOne).</w:t>
      </w:r>
    </w:p>
    <w:p w14:paraId="04A27954" w14:textId="77777777" w:rsidR="009D0BDA" w:rsidRDefault="00000000">
      <w:pPr>
        <w:pStyle w:val="ListBullet"/>
        <w:spacing w:before="20" w:after="40"/>
        <w:ind w:left="432"/>
      </w:pPr>
      <w:r>
        <w:rPr>
          <w:rFonts w:ascii="Calibri" w:hAnsi="Calibri"/>
          <w:color w:val="2C3E50"/>
        </w:rPr>
        <w:t>4.2  Children who are Looked After (LAC) or Care Leavers are clearly flagged in the clinical record.</w:t>
      </w:r>
    </w:p>
    <w:p w14:paraId="68154DE6" w14:textId="77777777" w:rsidR="009D0BDA" w:rsidRDefault="00000000">
      <w:pPr>
        <w:pStyle w:val="ListBullet"/>
        <w:spacing w:before="20" w:after="40"/>
        <w:ind w:left="432"/>
      </w:pPr>
      <w:r>
        <w:rPr>
          <w:rFonts w:ascii="Calibri" w:hAnsi="Calibri"/>
          <w:color w:val="2C3E50"/>
        </w:rPr>
        <w:t>4.3  Patients at risk of abuse or neglect are clearly flagged in the clinical record.</w:t>
      </w:r>
    </w:p>
    <w:p w14:paraId="145A6E36" w14:textId="77777777" w:rsidR="009D0BDA" w:rsidRDefault="00000000">
      <w:pPr>
        <w:pStyle w:val="ListBullet"/>
        <w:spacing w:before="20" w:after="40"/>
        <w:ind w:left="432"/>
      </w:pPr>
      <w:r>
        <w:rPr>
          <w:rFonts w:ascii="Calibri" w:hAnsi="Calibri"/>
          <w:color w:val="2C3E50"/>
        </w:rPr>
        <w:t>4.4  Safeguarding risks posed by others (carers, parents, family members) are considered and recorded — e.g., substance misuse or mental health issues in a carer.</w:t>
      </w:r>
    </w:p>
    <w:p w14:paraId="6C42D88B" w14:textId="77777777" w:rsidR="009D0BDA" w:rsidRDefault="00000000">
      <w:pPr>
        <w:pStyle w:val="ListBullet"/>
        <w:spacing w:before="20" w:after="40"/>
        <w:ind w:left="432"/>
      </w:pPr>
      <w:r>
        <w:rPr>
          <w:rFonts w:ascii="Calibri" w:hAnsi="Calibri"/>
          <w:color w:val="2C3E50"/>
        </w:rPr>
        <w:t>4.5  A child registered with the practice where neither parent/carer is registered is flagged as a potential red flag.</w:t>
      </w:r>
    </w:p>
    <w:p w14:paraId="5B7A3EE9" w14:textId="77777777" w:rsidR="009D0BDA" w:rsidRDefault="00000000">
      <w:pPr>
        <w:pStyle w:val="ListBullet"/>
        <w:spacing w:before="20" w:after="40"/>
        <w:ind w:left="432"/>
      </w:pPr>
      <w:r>
        <w:rPr>
          <w:rFonts w:ascii="Calibri" w:hAnsi="Calibri"/>
          <w:color w:val="2C3E50"/>
        </w:rPr>
        <w:t>4.6  For new patients under 18: registration procedure includes gathering details of siblings and all adults with a caring role in 'Groups and Relationships' in the record.</w:t>
      </w:r>
    </w:p>
    <w:p w14:paraId="7BCC5891" w14:textId="77777777" w:rsidR="009D0BDA" w:rsidRDefault="00000000">
      <w:pPr>
        <w:pStyle w:val="ListBullet"/>
        <w:spacing w:before="20" w:after="40"/>
        <w:ind w:left="432"/>
      </w:pPr>
      <w:r>
        <w:rPr>
          <w:rFonts w:ascii="Calibri" w:hAnsi="Calibri"/>
          <w:color w:val="2C3E50"/>
        </w:rPr>
        <w:t>4.7  When a new baby is registered: records of other family members registered at the practice are reviewed for safeguarding concerns; relevant concerns are transferred to the new baby's record.</w:t>
      </w:r>
    </w:p>
    <w:p w14:paraId="696EB067" w14:textId="77777777" w:rsidR="009D0BDA" w:rsidRDefault="00000000">
      <w:pPr>
        <w:pStyle w:val="ListBullet"/>
        <w:spacing w:before="20" w:after="40"/>
        <w:ind w:left="432"/>
      </w:pPr>
      <w:r>
        <w:rPr>
          <w:rFonts w:ascii="Calibri" w:hAnsi="Calibri"/>
          <w:color w:val="2C3E50"/>
        </w:rPr>
        <w:t>4.8  A process is in place to consider safeguarding risk factors when deduction requests are received for children or adults at risk.</w:t>
      </w:r>
    </w:p>
    <w:p w14:paraId="567257D4" w14:textId="77777777" w:rsidR="009D0BDA" w:rsidRDefault="00000000">
      <w:pPr>
        <w:pStyle w:val="ListBullet"/>
        <w:spacing w:before="20" w:after="40"/>
        <w:ind w:left="432"/>
      </w:pPr>
      <w:r>
        <w:rPr>
          <w:rFonts w:ascii="Calibri" w:hAnsi="Calibri"/>
          <w:color w:val="2C3E50"/>
        </w:rPr>
        <w:t>4.9  A process is in place for managing safeguarding information received from outside agencies (CPCs, LAC health assessments, MARAC, MACE, Strategy Meetings and Adult equivalents).</w:t>
      </w:r>
    </w:p>
    <w:tbl>
      <w:tblPr>
        <w:tblStyle w:val="TableGrid"/>
        <w:tblW w:w="0" w:type="auto"/>
        <w:jc w:val="center"/>
        <w:tblLook w:val="04A0" w:firstRow="1" w:lastRow="0" w:firstColumn="1" w:lastColumn="0" w:noHBand="0" w:noVBand="1"/>
      </w:tblPr>
      <w:tblGrid>
        <w:gridCol w:w="9746"/>
      </w:tblGrid>
      <w:tr w:rsidR="009D0BDA" w14:paraId="4E29BCB1" w14:textId="77777777">
        <w:trPr>
          <w:jc w:val="center"/>
        </w:trPr>
        <w:tc>
          <w:tcPr>
            <w:tcW w:w="9746" w:type="dxa"/>
            <w:shd w:val="clear" w:color="auto" w:fill="FDEDEC"/>
          </w:tcPr>
          <w:p w14:paraId="7BA035E1" w14:textId="77777777" w:rsidR="009D0BDA" w:rsidRDefault="00000000">
            <w:pPr>
              <w:spacing w:before="80" w:after="40"/>
            </w:pPr>
            <w:r>
              <w:rPr>
                <w:rFonts w:ascii="Calibri" w:hAnsi="Calibri"/>
                <w:b/>
                <w:color w:val="C0392B"/>
              </w:rPr>
              <w:t>🔒 Safe documentation rules (DA/safeguarding):</w:t>
            </w:r>
          </w:p>
          <w:p w14:paraId="4C3FFF16" w14:textId="77777777" w:rsidR="009D0BDA" w:rsidRDefault="00000000">
            <w:pPr>
              <w:spacing w:before="40" w:after="80"/>
            </w:pPr>
            <w:r>
              <w:rPr>
                <w:rFonts w:ascii="Calibri" w:hAnsi="Calibri"/>
                <w:sz w:val="21"/>
              </w:rPr>
              <w:t>• Mark ALL safeguarding entries: 'Not for online viewing' — perpetrators may have access to the patient's online record</w:t>
            </w:r>
            <w:r>
              <w:rPr>
                <w:rFonts w:ascii="Calibri" w:hAnsi="Calibri"/>
                <w:sz w:val="21"/>
              </w:rPr>
              <w:br/>
              <w:t>• Record disclosures in the patient's own words using quotation marks</w:t>
            </w:r>
            <w:r>
              <w:rPr>
                <w:rFonts w:ascii="Calibri" w:hAnsi="Calibri"/>
                <w:sz w:val="21"/>
              </w:rPr>
              <w:br/>
              <w:t>• Do NOT record DA/perpetrator information in the alleged perpetrator's clinical record</w:t>
            </w:r>
            <w:r>
              <w:rPr>
                <w:rFonts w:ascii="Calibri" w:hAnsi="Calibri"/>
                <w:sz w:val="21"/>
              </w:rPr>
              <w:br/>
              <w:t>• Use the appropriate coding and templates in SystmOne (GP Assist &gt; Safeguarding)</w:t>
            </w:r>
          </w:p>
        </w:tc>
      </w:tr>
    </w:tbl>
    <w:p w14:paraId="3238BA01" w14:textId="77777777" w:rsidR="009D0BDA" w:rsidRDefault="009D0BDA"/>
    <w:p w14:paraId="1C452A15" w14:textId="77777777" w:rsidR="00831D18" w:rsidRDefault="00831D18">
      <w:pPr>
        <w:rPr>
          <w:rFonts w:ascii="Calibri" w:hAnsi="Calibri"/>
          <w:b/>
          <w:color w:val="1A3A5C"/>
          <w:sz w:val="30"/>
        </w:rPr>
      </w:pPr>
      <w:r>
        <w:rPr>
          <w:rFonts w:ascii="Calibri" w:hAnsi="Calibri"/>
          <w:b/>
          <w:color w:val="1A3A5C"/>
          <w:sz w:val="30"/>
        </w:rPr>
        <w:br w:type="page"/>
      </w:r>
    </w:p>
    <w:p w14:paraId="45447AD3" w14:textId="36094267" w:rsidR="009D0BDA" w:rsidRDefault="00000000">
      <w:pPr>
        <w:spacing w:before="240" w:after="120"/>
      </w:pPr>
      <w:r>
        <w:rPr>
          <w:rFonts w:ascii="Calibri" w:hAnsi="Calibri"/>
          <w:b/>
          <w:color w:val="1A3A5C"/>
          <w:sz w:val="30"/>
        </w:rPr>
        <w:lastRenderedPageBreak/>
        <w:t>Domain 5: Information Sharing</w:t>
      </w:r>
    </w:p>
    <w:p w14:paraId="6F28CEE9" w14:textId="77777777" w:rsidR="009D0BDA" w:rsidRDefault="00000000">
      <w:pPr>
        <w:spacing w:before="40" w:after="80"/>
      </w:pPr>
      <w:r>
        <w:rPr>
          <w:rFonts w:ascii="Calibri" w:hAnsi="Calibri"/>
          <w:b/>
          <w:color w:val="2E86AB"/>
        </w:rPr>
        <w:t>Overarching Standard 5.0: The Practice is fully committed to partnership working in its statutory duties to safeguard children and adults at risk.</w:t>
      </w:r>
    </w:p>
    <w:p w14:paraId="0B96ADD2" w14:textId="77777777" w:rsidR="009D0BDA" w:rsidRDefault="00000000">
      <w:pPr>
        <w:pStyle w:val="ListBullet"/>
        <w:spacing w:before="20" w:after="40"/>
        <w:ind w:left="432"/>
      </w:pPr>
      <w:r>
        <w:rPr>
          <w:rFonts w:ascii="Calibri" w:hAnsi="Calibri"/>
          <w:color w:val="2C3E50"/>
        </w:rPr>
        <w:t>5.1  A process is in place to manage requests for safeguarding information in a timely and appropriate manner.</w:t>
      </w:r>
    </w:p>
    <w:p w14:paraId="2E96F76E" w14:textId="77777777" w:rsidR="009D0BDA" w:rsidRDefault="00000000">
      <w:pPr>
        <w:pStyle w:val="ListBullet"/>
        <w:spacing w:before="20" w:after="40"/>
        <w:ind w:left="432"/>
      </w:pPr>
      <w:r>
        <w:rPr>
          <w:rFonts w:ascii="Calibri" w:hAnsi="Calibri"/>
          <w:color w:val="2C3E50"/>
        </w:rPr>
        <w:t>5.2  A process is in place to respond to requests for Child Protection Conferences and Adult Safeguarding Conferences, including submission of a report for all cases.</w:t>
      </w:r>
    </w:p>
    <w:p w14:paraId="709EFBE4" w14:textId="77777777" w:rsidR="009D0BDA" w:rsidRDefault="00000000">
      <w:pPr>
        <w:pStyle w:val="ListBullet"/>
        <w:spacing w:before="20" w:after="40"/>
        <w:ind w:left="432"/>
      </w:pPr>
      <w:r>
        <w:rPr>
          <w:rFonts w:ascii="Calibri" w:hAnsi="Calibri"/>
          <w:color w:val="2C3E50"/>
        </w:rPr>
        <w:t>5.3  The Practice demonstrates how it communicates appropriate information with other professionals and records this accurately in patient records.</w:t>
      </w:r>
    </w:p>
    <w:p w14:paraId="1E325E3B" w14:textId="77777777" w:rsidR="009D0BDA" w:rsidRDefault="00000000">
      <w:pPr>
        <w:pStyle w:val="ListBullet"/>
        <w:spacing w:before="20" w:after="40"/>
        <w:ind w:left="432"/>
      </w:pPr>
      <w:r>
        <w:rPr>
          <w:rFonts w:ascii="Calibri" w:hAnsi="Calibri"/>
          <w:color w:val="2C3E50"/>
        </w:rPr>
        <w:t>5.4  The Practice is aware of and can demonstrate how it would comply with responsibilities to provide timely patient information to statutory processes such as: Domestic Homicide Reviews (DHRs); Child Death Reviews (CDRs); Safeguarding Adults Reviews (SARs).</w:t>
      </w:r>
    </w:p>
    <w:tbl>
      <w:tblPr>
        <w:tblStyle w:val="TableGrid"/>
        <w:tblW w:w="0" w:type="auto"/>
        <w:jc w:val="center"/>
        <w:tblLook w:val="04A0" w:firstRow="1" w:lastRow="0" w:firstColumn="1" w:lastColumn="0" w:noHBand="0" w:noVBand="1"/>
      </w:tblPr>
      <w:tblGrid>
        <w:gridCol w:w="9746"/>
      </w:tblGrid>
      <w:tr w:rsidR="009D0BDA" w14:paraId="7F0F3300" w14:textId="77777777">
        <w:trPr>
          <w:jc w:val="center"/>
        </w:trPr>
        <w:tc>
          <w:tcPr>
            <w:tcW w:w="9746" w:type="dxa"/>
            <w:shd w:val="clear" w:color="auto" w:fill="FEF9E7"/>
          </w:tcPr>
          <w:p w14:paraId="0D55AF6A" w14:textId="77777777" w:rsidR="009D0BDA" w:rsidRDefault="00000000">
            <w:pPr>
              <w:spacing w:before="80" w:after="40"/>
            </w:pPr>
            <w:r>
              <w:rPr>
                <w:rFonts w:ascii="Calibri" w:hAnsi="Calibri"/>
                <w:b/>
                <w:color w:val="7D6608"/>
              </w:rPr>
              <w:t>⚖ When can you share without consent? (Legal framework)</w:t>
            </w:r>
          </w:p>
          <w:p w14:paraId="2B372EE8" w14:textId="77777777" w:rsidR="009D0BDA" w:rsidRDefault="00000000">
            <w:pPr>
              <w:spacing w:before="40" w:after="80"/>
            </w:pPr>
            <w:r>
              <w:rPr>
                <w:rFonts w:ascii="Calibri" w:hAnsi="Calibri"/>
                <w:sz w:val="21"/>
              </w:rPr>
              <w:t>• Crime and Disorder Act 1998 — prevention/detection of crime (covers MARAC referral without consent)</w:t>
            </w:r>
            <w:r>
              <w:rPr>
                <w:rFonts w:ascii="Calibri" w:hAnsi="Calibri"/>
                <w:sz w:val="21"/>
              </w:rPr>
              <w:br/>
              <w:t>• Care Act 2014 — prevention of abuse and neglect</w:t>
            </w:r>
            <w:r>
              <w:rPr>
                <w:rFonts w:ascii="Calibri" w:hAnsi="Calibri"/>
                <w:sz w:val="21"/>
              </w:rPr>
              <w:br/>
              <w:t>• Human Rights Act, Articles 2 &amp; 3 — right to life; freedom from torture</w:t>
            </w:r>
            <w:r>
              <w:rPr>
                <w:rFonts w:ascii="Calibri" w:hAnsi="Calibri"/>
                <w:sz w:val="21"/>
              </w:rPr>
              <w:br/>
              <w:t>• Mental Capacity Act 2005 — person lacks capacity</w:t>
            </w:r>
            <w:r>
              <w:rPr>
                <w:rFonts w:ascii="Calibri" w:hAnsi="Calibri"/>
                <w:sz w:val="21"/>
              </w:rPr>
              <w:br/>
              <w:t>• Common law — overriding public interest</w:t>
            </w:r>
            <w:r>
              <w:rPr>
                <w:rFonts w:ascii="Calibri" w:hAnsi="Calibri"/>
                <w:sz w:val="21"/>
              </w:rPr>
              <w:br/>
              <w:t>• Children Act 1989 — child protection</w:t>
            </w:r>
            <w:r>
              <w:rPr>
                <w:rFonts w:ascii="Calibri" w:hAnsi="Calibri"/>
                <w:sz w:val="21"/>
              </w:rPr>
              <w:br/>
            </w:r>
            <w:r>
              <w:rPr>
                <w:rFonts w:ascii="Calibri" w:hAnsi="Calibri"/>
                <w:sz w:val="21"/>
              </w:rPr>
              <w:br/>
              <w:t>Caldicott Principle 7: The duty to SHARE can be as important as the duty to protect confidentiality.</w:t>
            </w:r>
          </w:p>
        </w:tc>
      </w:tr>
    </w:tbl>
    <w:p w14:paraId="05247419" w14:textId="77777777" w:rsidR="009D0BDA" w:rsidRDefault="009D0BDA"/>
    <w:p w14:paraId="6286A88A" w14:textId="77777777" w:rsidR="009D0BDA" w:rsidRDefault="00000000">
      <w:pPr>
        <w:spacing w:before="240" w:after="120"/>
      </w:pPr>
      <w:r>
        <w:rPr>
          <w:rFonts w:ascii="Calibri" w:hAnsi="Calibri"/>
          <w:b/>
          <w:color w:val="1A3A5C"/>
          <w:sz w:val="30"/>
        </w:rPr>
        <w:t>Domain 6: Staff Recruitment</w:t>
      </w:r>
    </w:p>
    <w:p w14:paraId="62FC9E95" w14:textId="77777777" w:rsidR="009D0BDA" w:rsidRDefault="00000000">
      <w:pPr>
        <w:spacing w:before="40" w:after="80"/>
      </w:pPr>
      <w:r>
        <w:rPr>
          <w:rFonts w:ascii="Calibri" w:hAnsi="Calibri"/>
          <w:b/>
          <w:color w:val="2E86AB"/>
        </w:rPr>
        <w:t>Overarching Standard 6.0: The Practice adheres to safer recruitment processes in line with contemporary national guidance and legislation.</w:t>
      </w:r>
    </w:p>
    <w:p w14:paraId="105C9BEA" w14:textId="77777777" w:rsidR="009D0BDA" w:rsidRDefault="00000000">
      <w:pPr>
        <w:pStyle w:val="ListBullet"/>
        <w:spacing w:before="20" w:after="40"/>
        <w:ind w:left="432"/>
      </w:pPr>
      <w:r>
        <w:rPr>
          <w:rFonts w:ascii="Calibri" w:hAnsi="Calibri"/>
          <w:color w:val="2C3E50"/>
        </w:rPr>
        <w:t>6.1  The Practice Recruitment Policy requires pre-employment checks for all staff (including locums): full employment history; explanation of any gaps; satisfactory references; professional registration checks (GMC, NMC, HCPC etc.); appropriate DBS (Disclosure and Barring Service) check — Enhanced DBS for all clinical and eligible staff.</w:t>
      </w:r>
    </w:p>
    <w:p w14:paraId="4BD6150F" w14:textId="77777777" w:rsidR="009D0BDA" w:rsidRDefault="00000000">
      <w:pPr>
        <w:pStyle w:val="ListBullet"/>
        <w:spacing w:before="20" w:after="40"/>
        <w:ind w:left="432"/>
      </w:pPr>
      <w:r>
        <w:rPr>
          <w:rFonts w:ascii="Calibri" w:hAnsi="Calibri"/>
          <w:color w:val="2C3E50"/>
        </w:rPr>
        <w:t>6.2  Job descriptions explicitly identify overarching safeguarding responsibilities.</w:t>
      </w:r>
    </w:p>
    <w:p w14:paraId="6EF2AB00" w14:textId="77777777" w:rsidR="009D0BDA" w:rsidRDefault="00000000">
      <w:pPr>
        <w:pStyle w:val="ListBullet"/>
        <w:spacing w:before="20" w:after="40"/>
        <w:ind w:left="432"/>
      </w:pPr>
      <w:r>
        <w:rPr>
          <w:rFonts w:ascii="Calibri" w:hAnsi="Calibri"/>
          <w:color w:val="2C3E50"/>
        </w:rPr>
        <w:t>6.3  DBS checks are renewed at appropriate intervals; a register of staff DBS status is maintained.</w:t>
      </w:r>
    </w:p>
    <w:p w14:paraId="6E9714EF" w14:textId="77777777" w:rsidR="009D0BDA" w:rsidRDefault="00000000">
      <w:pPr>
        <w:spacing w:before="240" w:after="120"/>
      </w:pPr>
      <w:r>
        <w:rPr>
          <w:rFonts w:ascii="Calibri" w:hAnsi="Calibri"/>
          <w:b/>
          <w:color w:val="1A3A5C"/>
          <w:sz w:val="32"/>
        </w:rPr>
        <w:t>RAG Rating Key for Self-Assessment</w:t>
      </w:r>
    </w:p>
    <w:tbl>
      <w:tblPr>
        <w:tblStyle w:val="TableGrid"/>
        <w:tblW w:w="0" w:type="auto"/>
        <w:jc w:val="center"/>
        <w:tblLook w:val="04A0" w:firstRow="1" w:lastRow="0" w:firstColumn="1" w:lastColumn="0" w:noHBand="0" w:noVBand="1"/>
      </w:tblPr>
      <w:tblGrid>
        <w:gridCol w:w="4873"/>
        <w:gridCol w:w="4873"/>
      </w:tblGrid>
      <w:tr w:rsidR="009D0BDA" w14:paraId="50163F7D" w14:textId="77777777">
        <w:trPr>
          <w:jc w:val="center"/>
        </w:trPr>
        <w:tc>
          <w:tcPr>
            <w:tcW w:w="4873" w:type="dxa"/>
            <w:shd w:val="clear" w:color="auto" w:fill="1A3A5C"/>
          </w:tcPr>
          <w:p w14:paraId="350B116E" w14:textId="77777777" w:rsidR="009D0BDA" w:rsidRDefault="00000000">
            <w:r>
              <w:rPr>
                <w:rFonts w:ascii="Calibri" w:hAnsi="Calibri"/>
                <w:b/>
                <w:color w:val="FFFFFF"/>
                <w:sz w:val="21"/>
              </w:rPr>
              <w:t>RAG Rating</w:t>
            </w:r>
          </w:p>
        </w:tc>
        <w:tc>
          <w:tcPr>
            <w:tcW w:w="4873" w:type="dxa"/>
            <w:shd w:val="clear" w:color="auto" w:fill="1A3A5C"/>
          </w:tcPr>
          <w:p w14:paraId="04A88580" w14:textId="77777777" w:rsidR="009D0BDA" w:rsidRDefault="00000000">
            <w:r>
              <w:rPr>
                <w:rFonts w:ascii="Calibri" w:hAnsi="Calibri"/>
                <w:b/>
                <w:color w:val="FFFFFF"/>
                <w:sz w:val="21"/>
              </w:rPr>
              <w:t>Description</w:t>
            </w:r>
          </w:p>
        </w:tc>
      </w:tr>
      <w:tr w:rsidR="009D0BDA" w14:paraId="2145DC59" w14:textId="77777777">
        <w:trPr>
          <w:jc w:val="center"/>
        </w:trPr>
        <w:tc>
          <w:tcPr>
            <w:tcW w:w="4873" w:type="dxa"/>
            <w:shd w:val="clear" w:color="auto" w:fill="228B22"/>
          </w:tcPr>
          <w:p w14:paraId="008E7CE6" w14:textId="77777777" w:rsidR="009D0BDA" w:rsidRDefault="00000000">
            <w:r>
              <w:rPr>
                <w:rFonts w:ascii="Calibri" w:hAnsi="Calibri"/>
                <w:b/>
                <w:color w:val="FFFFFF"/>
                <w:sz w:val="20"/>
              </w:rPr>
              <w:t>Green</w:t>
            </w:r>
          </w:p>
        </w:tc>
        <w:tc>
          <w:tcPr>
            <w:tcW w:w="4873" w:type="dxa"/>
            <w:shd w:val="clear" w:color="auto" w:fill="FFFFFF"/>
          </w:tcPr>
          <w:p w14:paraId="755A38E7" w14:textId="77777777" w:rsidR="009D0BDA" w:rsidRDefault="00000000">
            <w:r>
              <w:rPr>
                <w:rFonts w:ascii="Calibri" w:hAnsi="Calibri"/>
                <w:sz w:val="20"/>
              </w:rPr>
              <w:t>Provider is assured they are fully compliant (subject to continuous quality improvement)</w:t>
            </w:r>
          </w:p>
        </w:tc>
      </w:tr>
      <w:tr w:rsidR="009D0BDA" w14:paraId="4A769982" w14:textId="77777777">
        <w:trPr>
          <w:jc w:val="center"/>
        </w:trPr>
        <w:tc>
          <w:tcPr>
            <w:tcW w:w="4873" w:type="dxa"/>
            <w:shd w:val="clear" w:color="auto" w:fill="D4A017"/>
          </w:tcPr>
          <w:p w14:paraId="10230D0A" w14:textId="77777777" w:rsidR="009D0BDA" w:rsidRDefault="00000000">
            <w:r>
              <w:rPr>
                <w:rFonts w:ascii="Calibri" w:hAnsi="Calibri"/>
                <w:b/>
                <w:color w:val="FFFFFF"/>
                <w:sz w:val="20"/>
              </w:rPr>
              <w:t>Amber</w:t>
            </w:r>
          </w:p>
        </w:tc>
        <w:tc>
          <w:tcPr>
            <w:tcW w:w="4873" w:type="dxa"/>
            <w:shd w:val="clear" w:color="auto" w:fill="FFFFFF"/>
          </w:tcPr>
          <w:p w14:paraId="2BB7EFC8" w14:textId="77777777" w:rsidR="009D0BDA" w:rsidRDefault="00000000">
            <w:r>
              <w:rPr>
                <w:rFonts w:ascii="Calibri" w:hAnsi="Calibri"/>
                <w:sz w:val="20"/>
              </w:rPr>
              <w:t>Provider has identified some gaps in compliance and has an improvement plan in place</w:t>
            </w:r>
          </w:p>
        </w:tc>
      </w:tr>
      <w:tr w:rsidR="009D0BDA" w14:paraId="47C48EA3" w14:textId="77777777">
        <w:trPr>
          <w:jc w:val="center"/>
        </w:trPr>
        <w:tc>
          <w:tcPr>
            <w:tcW w:w="4873" w:type="dxa"/>
            <w:shd w:val="clear" w:color="auto" w:fill="CC0000"/>
          </w:tcPr>
          <w:p w14:paraId="42EBDF80" w14:textId="77777777" w:rsidR="009D0BDA" w:rsidRDefault="00000000">
            <w:r>
              <w:rPr>
                <w:rFonts w:ascii="Calibri" w:hAnsi="Calibri"/>
                <w:b/>
                <w:color w:val="FFFFFF"/>
                <w:sz w:val="20"/>
              </w:rPr>
              <w:t>Red</w:t>
            </w:r>
          </w:p>
        </w:tc>
        <w:tc>
          <w:tcPr>
            <w:tcW w:w="4873" w:type="dxa"/>
            <w:shd w:val="clear" w:color="auto" w:fill="FFFFFF"/>
          </w:tcPr>
          <w:p w14:paraId="6DEA1215" w14:textId="77777777" w:rsidR="009D0BDA" w:rsidRDefault="00000000">
            <w:r>
              <w:rPr>
                <w:rFonts w:ascii="Calibri" w:hAnsi="Calibri"/>
                <w:sz w:val="20"/>
              </w:rPr>
              <w:t>Provider has identified limited compliance against standards and has a detailed action plan with identified timeframe</w:t>
            </w:r>
          </w:p>
        </w:tc>
      </w:tr>
    </w:tbl>
    <w:p w14:paraId="4F1AD113" w14:textId="77777777" w:rsidR="009D0BDA" w:rsidRDefault="009D0BDA"/>
    <w:tbl>
      <w:tblPr>
        <w:tblW w:w="0" w:type="auto"/>
        <w:jc w:val="center"/>
        <w:tblLook w:val="04A0" w:firstRow="1" w:lastRow="0" w:firstColumn="1" w:lastColumn="0" w:noHBand="0" w:noVBand="1"/>
      </w:tblPr>
      <w:tblGrid>
        <w:gridCol w:w="9746"/>
      </w:tblGrid>
      <w:tr w:rsidR="009D0BDA" w14:paraId="19A74497" w14:textId="77777777">
        <w:trPr>
          <w:jc w:val="center"/>
        </w:trPr>
        <w:tc>
          <w:tcPr>
            <w:tcW w:w="9746" w:type="dxa"/>
            <w:shd w:val="clear" w:color="auto" w:fill="FDEBD0"/>
          </w:tcPr>
          <w:p w14:paraId="52D3927A" w14:textId="77777777" w:rsidR="009D0BDA" w:rsidRDefault="00000000">
            <w:pPr>
              <w:spacing w:before="120" w:after="120"/>
              <w:jc w:val="center"/>
            </w:pPr>
            <w:r>
              <w:rPr>
                <w:rFonts w:ascii="Calibri" w:hAnsi="Calibri"/>
                <w:b/>
                <w:color w:val="7D6008"/>
                <w:sz w:val="20"/>
              </w:rPr>
              <w:lastRenderedPageBreak/>
              <w:t>⚠ Always double check this advice and drug doses with the latest NICE/BNF guidance. This document is for educational purposes only.</w:t>
            </w:r>
          </w:p>
        </w:tc>
      </w:tr>
    </w:tbl>
    <w:p w14:paraId="40FF0868" w14:textId="77777777" w:rsidR="00B648CA" w:rsidRDefault="00B648CA"/>
    <w:sectPr w:rsidR="00B648CA" w:rsidSect="00034616">
      <w:footerReference w:type="default" r:id="rId9"/>
      <w:pgSz w:w="12240" w:h="15840"/>
      <w:pgMar w:top="1020"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D69C" w14:textId="77777777" w:rsidR="00B648CA" w:rsidRDefault="00B648CA">
      <w:pPr>
        <w:spacing w:after="0" w:line="240" w:lineRule="auto"/>
      </w:pPr>
      <w:r>
        <w:separator/>
      </w:r>
    </w:p>
  </w:endnote>
  <w:endnote w:type="continuationSeparator" w:id="0">
    <w:p w14:paraId="2C4CB9EF" w14:textId="77777777" w:rsidR="00B648CA" w:rsidRDefault="00B64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C824" w14:textId="77777777" w:rsidR="009D0BDA" w:rsidRDefault="00000000">
    <w:pPr>
      <w:pStyle w:val="Footer"/>
      <w:jc w:val="center"/>
    </w:pPr>
    <w:r>
      <w:rPr>
        <w:rFonts w:ascii="Calibri" w:hAnsi="Calibri"/>
        <w:i/>
        <w:color w:val="7F8C8D"/>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4DAF" w14:textId="77777777" w:rsidR="00B648CA" w:rsidRDefault="00B648CA">
      <w:pPr>
        <w:spacing w:after="0" w:line="240" w:lineRule="auto"/>
      </w:pPr>
      <w:r>
        <w:separator/>
      </w:r>
    </w:p>
  </w:footnote>
  <w:footnote w:type="continuationSeparator" w:id="0">
    <w:p w14:paraId="22A2DC57" w14:textId="77777777" w:rsidR="00B648CA" w:rsidRDefault="00B64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586585">
    <w:abstractNumId w:val="8"/>
  </w:num>
  <w:num w:numId="2" w16cid:durableId="2009552848">
    <w:abstractNumId w:val="6"/>
  </w:num>
  <w:num w:numId="3" w16cid:durableId="321323803">
    <w:abstractNumId w:val="5"/>
  </w:num>
  <w:num w:numId="4" w16cid:durableId="1113016798">
    <w:abstractNumId w:val="4"/>
  </w:num>
  <w:num w:numId="5" w16cid:durableId="1268150757">
    <w:abstractNumId w:val="7"/>
  </w:num>
  <w:num w:numId="6" w16cid:durableId="1040401621">
    <w:abstractNumId w:val="3"/>
  </w:num>
  <w:num w:numId="7" w16cid:durableId="1002389108">
    <w:abstractNumId w:val="2"/>
  </w:num>
  <w:num w:numId="8" w16cid:durableId="1255435152">
    <w:abstractNumId w:val="1"/>
  </w:num>
  <w:num w:numId="9" w16cid:durableId="520750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30034"/>
    <w:rsid w:val="00831D18"/>
    <w:rsid w:val="009D0BDA"/>
    <w:rsid w:val="00AA1D8D"/>
    <w:rsid w:val="00B47730"/>
    <w:rsid w:val="00B648C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1ED060"/>
  <w14:defaultImageDpi w14:val="300"/>
  <w15:docId w15:val="{90BC99BE-7CCC-40DD-B065-48E911A7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2026-05-26T12:02:00Z</dcterms:modified>
  <cp:category/>
</cp:coreProperties>
</file>