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8453"/>
      </w:tblGrid>
      <w:tr>
        <w:tc>
          <w:tcPr>
            <w:tcW w:type="dxa" w:w="8453"/>
            <w:shd w:val="clear" w:color="auto" w:fill="E0651F"/>
          </w:tcPr>
          <w:p>
            <w:pPr>
              <w:jc w:val="center"/>
            </w:pPr>
            <w:r>
              <w:rPr>
                <w:b/>
                <w:color w:val="FFFFFF"/>
                <w:sz w:val="22"/>
              </w:rPr>
              <w:t>BRADFORD VTS TEACHING AIDS</w:t>
            </w:r>
          </w:p>
          <w:p>
            <w:pPr>
              <w:jc w:val="center"/>
            </w:pPr>
            <w:r>
              <w:rPr>
                <w:b/>
                <w:color w:val="FFFFFF"/>
                <w:sz w:val="56"/>
              </w:rPr>
              <w:t>Safeguarding Children Procedures in General Practice</w:t>
            </w:r>
          </w:p>
          <w:p>
            <w:pPr>
              <w:jc w:val="center"/>
            </w:pPr>
            <w:r>
              <w:rPr>
                <w:i/>
                <w:color w:val="FFFFFF"/>
                <w:sz w:val="24"/>
              </w:rPr>
              <w:t>Procedures Guide · Bradford VTS · May 2026</w:t>
            </w:r>
          </w:p>
        </w:tc>
      </w:tr>
    </w:tbl>
    <w:p/>
    <w:p/>
    <w:p>
      <w:r>
        <w:rPr>
          <w:sz w:val="22"/>
        </w:rPr>
        <w:t>This document provides a comprehensive template guide for GP practices on safeguarding children procedures. It has been updated in line with Working Together to Safeguard Children 2026, NICE CG89 (December 2025), and the Intercollegiate Document 5th edition (2025).</w:t>
      </w:r>
    </w:p>
    <w:tbl>
      <w:tblPr>
        <w:tblStyle w:val="TableGrid"/>
        <w:tblW w:type="auto" w:w="0"/>
        <w:tblLook w:firstColumn="1" w:firstRow="1" w:lastColumn="0" w:lastRow="0" w:noHBand="0" w:noVBand="1" w:val="04A0"/>
      </w:tblPr>
      <w:tblGrid>
        <w:gridCol w:w="8453"/>
      </w:tblGrid>
      <w:tr>
        <w:tc>
          <w:tcPr>
            <w:tcW w:type="dxa" w:w="8453"/>
            <w:shd w:val="clear" w:color="auto" w:fill="E8F4FD"/>
          </w:tcPr>
          <w:p>
            <w:r>
              <w:rPr>
                <w:sz w:val="22"/>
              </w:rPr>
              <w:t>📋 How to use this guide: This is a template for your practice. Insert your practice name and review date in the spaces provided. Update local contact numbers via your ICB Safeguarding Team. Review annually or when national guidance changes.</w:t>
            </w:r>
          </w:p>
        </w:tc>
      </w:tr>
    </w:tbl>
    <w:p/>
    <w:p>
      <w:pPr>
        <w:pStyle w:val="Heading1"/>
      </w:pPr>
      <w:r>
        <w:rPr>
          <w:color w:val="1E3C78"/>
        </w:rPr>
        <w:t>Contents</w:t>
      </w:r>
    </w:p>
    <w:p>
      <w:r>
        <w:rPr>
          <w:sz w:val="22"/>
        </w:rPr>
        <w:t>1. Consultations with children</w:t>
      </w:r>
    </w:p>
    <w:p>
      <w:r>
        <w:rPr>
          <w:sz w:val="22"/>
        </w:rPr>
        <w:t>2. Safeguarding of children in specific situations</w:t>
      </w:r>
    </w:p>
    <w:p>
      <w:r>
        <w:rPr>
          <w:sz w:val="22"/>
        </w:rPr>
        <w:t>3. Registration of children</w:t>
      </w:r>
    </w:p>
    <w:p>
      <w:r>
        <w:rPr>
          <w:sz w:val="22"/>
        </w:rPr>
        <w:t>4. Summarising medical records</w:t>
      </w:r>
    </w:p>
    <w:p>
      <w:r>
        <w:rPr>
          <w:sz w:val="22"/>
        </w:rPr>
        <w:t>5. Deduction of children from the practice list</w:t>
      </w:r>
    </w:p>
    <w:p>
      <w:r>
        <w:rPr>
          <w:sz w:val="22"/>
        </w:rPr>
        <w:t>6. Remote consultations and intimate images</w:t>
      </w:r>
    </w:p>
    <w:p>
      <w:r>
        <w:rPr>
          <w:sz w:val="22"/>
        </w:rPr>
        <w:t>7. Children not brought to appointments (CNB)</w:t>
      </w:r>
    </w:p>
    <w:p>
      <w:r>
        <w:rPr>
          <w:sz w:val="22"/>
        </w:rPr>
        <w:t>8. Vaccination refusal/hesitancy</w:t>
      </w:r>
    </w:p>
    <w:p>
      <w:r>
        <w:rPr>
          <w:sz w:val="22"/>
        </w:rPr>
        <w:t>9. Managing requests for safeguarding information</w:t>
      </w:r>
    </w:p>
    <w:p>
      <w:r>
        <w:rPr>
          <w:sz w:val="22"/>
        </w:rPr>
        <w:t>10. Safeguarding documentation workflow</w:t>
      </w:r>
    </w:p>
    <w:p>
      <w:r>
        <w:rPr>
          <w:sz w:val="22"/>
        </w:rPr>
        <w:t>11. Dealing with a disclosure of abuse</w:t>
      </w:r>
    </w:p>
    <w:p>
      <w:r>
        <w:rPr>
          <w:sz w:val="22"/>
        </w:rPr>
        <w:t>12. Child death review processes</w:t>
      </w:r>
    </w:p>
    <w:p>
      <w:r>
        <w:rPr>
          <w:sz w:val="22"/>
        </w:rPr>
        <w:t>13. Allegations against staff and LADO</w:t>
      </w:r>
    </w:p>
    <w:p>
      <w:r>
        <w:rPr>
          <w:sz w:val="22"/>
        </w:rPr>
        <w:t>14. Notifying the CQC</w:t>
      </w:r>
    </w:p>
    <w:p>
      <w:r>
        <w:rPr>
          <w:sz w:val="22"/>
        </w:rPr>
        <w:t>15. Key contacts and resources</w:t>
      </w:r>
    </w:p>
    <w:p/>
    <w:tbl>
      <w:tblPr>
        <w:tblStyle w:val="TableGrid"/>
        <w:tblW w:type="auto" w:w="0"/>
        <w:tblLook w:firstColumn="1" w:firstRow="1" w:lastColumn="0" w:lastRow="0" w:noHBand="0" w:noVBand="1" w:val="04A0"/>
      </w:tblPr>
      <w:tblGrid>
        <w:gridCol w:w="4226"/>
        <w:gridCol w:w="4226"/>
      </w:tblGrid>
      <w:tr>
        <w:tc>
          <w:tcPr>
            <w:tcW w:type="dxa" w:w="4226"/>
          </w:tcPr>
          <w:p>
            <w:r>
              <w:rPr>
                <w:b/>
              </w:rPr>
              <w:t>Practice name:</w:t>
            </w:r>
          </w:p>
        </w:tc>
        <w:tc>
          <w:tcPr>
            <w:tcW w:type="dxa" w:w="4226"/>
          </w:tcPr>
          <w:p>
            <w:r/>
          </w:p>
        </w:tc>
      </w:tr>
      <w:tr>
        <w:tc>
          <w:tcPr>
            <w:tcW w:type="dxa" w:w="4226"/>
          </w:tcPr>
          <w:p>
            <w:r>
              <w:rPr>
                <w:b/>
              </w:rPr>
              <w:t>Safeguarding Lead:</w:t>
            </w:r>
          </w:p>
        </w:tc>
        <w:tc>
          <w:tcPr>
            <w:tcW w:type="dxa" w:w="4226"/>
          </w:tcPr>
          <w:p>
            <w:r/>
          </w:p>
        </w:tc>
      </w:tr>
      <w:tr>
        <w:tc>
          <w:tcPr>
            <w:tcW w:type="dxa" w:w="4226"/>
          </w:tcPr>
          <w:p>
            <w:r>
              <w:rPr>
                <w:b/>
              </w:rPr>
              <w:t>Date reviewed:</w:t>
            </w:r>
          </w:p>
        </w:tc>
        <w:tc>
          <w:tcPr>
            <w:tcW w:type="dxa" w:w="4226"/>
          </w:tcPr>
          <w:p>
            <w:r/>
          </w:p>
        </w:tc>
      </w:tr>
    </w:tbl>
    <w:p/>
    <w:p>
      <w:pPr>
        <w:pStyle w:val="Heading1"/>
      </w:pPr>
      <w:r>
        <w:rPr>
          <w:color w:val="1E3C78"/>
        </w:rPr>
        <w:t>1. Consultations with Children</w:t>
      </w:r>
    </w:p>
    <w:p>
      <w:pPr>
        <w:pStyle w:val="Heading2"/>
      </w:pPr>
      <w:r>
        <w:rPr>
          <w:color w:val="1E3C78"/>
        </w:rPr>
        <w:t>1.1 Capturing the Voice of the Child</w:t>
      </w:r>
    </w:p>
    <w:p>
      <w:r>
        <w:rPr>
          <w:sz w:val="22"/>
        </w:rPr>
        <w:t>Serious case reviews, CQC, and Ofsted inspections consistently highlight that professionals do not always capture the voice of the child. Under the Intercollegiate Document 2025 (5th edition), this is now an explicit Level 3 competency. The child's voice must be actively sought and documented at every contact.</w:t>
      </w:r>
    </w:p>
    <w:p>
      <w:pPr>
        <w:pStyle w:val="ListBullet"/>
      </w:pPr>
      <w:r>
        <w:rPr>
          <w:sz w:val="22"/>
        </w:rPr>
        <w:t>Voice may be captured non-verbally — observe interaction with carer, child's demeanour, behaviour in the consulting room, how they are presented.</w:t>
      </w:r>
    </w:p>
    <w:p>
      <w:pPr>
        <w:pStyle w:val="ListBullet"/>
      </w:pPr>
      <w:r>
        <w:rPr>
          <w:sz w:val="22"/>
        </w:rPr>
        <w:t>Where the child can speak, engage them directly, accounting for any communication barriers (language, learning difficulties).</w:t>
      </w:r>
    </w:p>
    <w:p>
      <w:pPr>
        <w:pStyle w:val="ListBullet"/>
      </w:pPr>
      <w:r>
        <w:rPr>
          <w:sz w:val="22"/>
        </w:rPr>
        <w:t>See the child alone where appropriate and clinically indicated.</w:t>
      </w:r>
    </w:p>
    <w:p>
      <w:pPr>
        <w:pStyle w:val="ListBullet"/>
      </w:pPr>
      <w:r>
        <w:rPr>
          <w:sz w:val="22"/>
        </w:rPr>
        <w:t>Use direct quotes in the clinical record wherever possible.</w:t>
      </w:r>
    </w:p>
    <w:p>
      <w:pPr>
        <w:pStyle w:val="ListBullet"/>
      </w:pPr>
      <w:r>
        <w:rPr>
          <w:sz w:val="22"/>
        </w:rPr>
        <w:t>Do NOT over-rely on the parent/carer to speak for the child.</w:t>
      </w:r>
    </w:p>
    <w:p/>
    <w:p>
      <w:pPr>
        <w:pStyle w:val="Heading2"/>
      </w:pPr>
      <w:r>
        <w:rPr>
          <w:color w:val="1E3C78"/>
        </w:rPr>
        <w:t>1.2 Documentation of Who Attends with a Child</w:t>
      </w:r>
    </w:p>
    <w:p>
      <w:r>
        <w:rPr>
          <w:sz w:val="22"/>
        </w:rPr>
        <w:t>Verify and record the relationship and parental responsibility of any adult attending with a child at each contact. If the adult's full name is in Groups and Relationships in the clinical system, record relationship only (e.g., "mum", "maternal grandmother") in the consultation entry.</w:t>
      </w:r>
    </w:p>
    <w:p/>
    <w:p>
      <w:pPr>
        <w:pStyle w:val="Heading2"/>
      </w:pPr>
      <w:r>
        <w:rPr>
          <w:color w:val="1E3C78"/>
        </w:rPr>
        <w:t>1.3 Physical Examination</w:t>
      </w:r>
    </w:p>
    <w:tbl>
      <w:tblPr>
        <w:tblStyle w:val="TableGrid"/>
        <w:tblW w:type="auto" w:w="0"/>
        <w:tblLook w:firstColumn="1" w:firstRow="1" w:lastColumn="0" w:lastRow="0" w:noHBand="0" w:noVBand="1" w:val="04A0"/>
      </w:tblPr>
      <w:tblGrid>
        <w:gridCol w:w="8453"/>
      </w:tblGrid>
      <w:tr>
        <w:tc>
          <w:tcPr>
            <w:tcW w:type="dxa" w:w="8453"/>
            <w:shd w:val="clear" w:color="auto" w:fill="FFE4E4"/>
          </w:tcPr>
          <w:p>
            <w:r>
              <w:rPr>
                <w:sz w:val="22"/>
              </w:rPr>
              <w:t>⚠ Important: It is NOT the GP's role to give an opinion on an injury or carry out a child protection medical. If a child protection examination is needed, this must be arranged by Children's Social Care and conducted by a consultant paediatrician.</w:t>
            </w:r>
          </w:p>
        </w:tc>
      </w:tr>
    </w:tbl>
    <w:p/>
    <w:p>
      <w:pPr>
        <w:pStyle w:val="Heading1"/>
      </w:pPr>
      <w:r>
        <w:rPr>
          <w:color w:val="1E3C78"/>
        </w:rPr>
        <w:t>2. Safeguarding in Specific Situations</w:t>
      </w:r>
    </w:p>
    <w:p>
      <w:r>
        <w:rPr>
          <w:sz w:val="22"/>
        </w:rPr>
        <w:t>The key principles of safeguarding always apply. For specific circumstances (e.g., looked after children, unaccompanied asylum-seeking children, children with disabilities, privately fostered children), refer to the West Yorkshire Consortium Inter Agency Safeguarding and Child Protection Procedures:</w:t>
      </w:r>
    </w:p>
    <w:p>
      <w:r>
        <w:rPr>
          <w:color w:val="0046B4"/>
          <w:sz w:val="22"/>
        </w:rPr>
        <w:t>https://westyorkscb.proceduresonline.com/contents.html</w:t>
      </w:r>
    </w:p>
    <w:p/>
    <w:p>
      <w:pPr>
        <w:pStyle w:val="Heading1"/>
      </w:pPr>
      <w:r>
        <w:rPr>
          <w:color w:val="1E3C78"/>
        </w:rPr>
        <w:t>3. Registration of Children</w:t>
      </w:r>
    </w:p>
    <w:p>
      <w:r>
        <w:rPr>
          <w:sz w:val="22"/>
        </w:rPr>
        <w:t>A child is any person under 18 years (Children Act 1989 and 2004). The Victoria Climbié Enquiry Report 2003 emphasises the importance of GP registration for every child, and knowing the identity of those registering. Practices must apply registration policies in a non-discriminatory manner.</w:t>
      </w:r>
    </w:p>
    <w:p/>
    <w:p>
      <w:pPr>
        <w:pStyle w:val="Heading2"/>
      </w:pPr>
      <w:r>
        <w:rPr>
          <w:color w:val="1E3C78"/>
        </w:rPr>
        <w:t>3.1 Standard registration requirements</w:t>
      </w:r>
    </w:p>
    <w:p>
      <w:pPr>
        <w:pStyle w:val="ListBullet"/>
      </w:pPr>
      <w:r>
        <w:rPr>
          <w:sz w:val="22"/>
        </w:rPr>
        <w:t>Seek proof of identity and address (e.g., birth certificate) — this helps identify trafficked or privately fostered children.</w:t>
      </w:r>
    </w:p>
    <w:p>
      <w:pPr>
        <w:pStyle w:val="ListBullet"/>
      </w:pPr>
      <w:r>
        <w:rPr>
          <w:sz w:val="22"/>
        </w:rPr>
        <w:t>An adult with parental responsibility should normally be registered at the same practice. However, do NOT refuse to register a child if no adult with parental responsibility is available — register first, then seek advice from the Safeguarding Lead.</w:t>
      </w:r>
    </w:p>
    <w:p>
      <w:pPr>
        <w:pStyle w:val="ListBullet"/>
      </w:pPr>
      <w:r>
        <w:rPr>
          <w:sz w:val="22"/>
        </w:rPr>
        <w:t>A new patient questionnaire (including safeguarding questions) is recommended for all newly registering children.</w:t>
      </w:r>
    </w:p>
    <w:p>
      <w:pPr>
        <w:pStyle w:val="ListBullet"/>
      </w:pPr>
      <w:r>
        <w:rPr>
          <w:sz w:val="22"/>
        </w:rPr>
        <w:t>The questionnaire should gather: current carers and relationship; previous GP registration; school registration; previous professional contacts (HV, SW).</w:t>
      </w:r>
    </w:p>
    <w:p>
      <w:pPr>
        <w:pStyle w:val="ListBullet"/>
      </w:pPr>
      <w:r>
        <w:rPr>
          <w:sz w:val="22"/>
        </w:rPr>
        <w:t>Reception staff must alert a GP via task if the questionnaire contains safeguarding information.</w:t>
      </w:r>
    </w:p>
    <w:p/>
    <w:p>
      <w:pPr>
        <w:pStyle w:val="Heading2"/>
      </w:pPr>
      <w:r>
        <w:rPr>
          <w:color w:val="1E3C78"/>
        </w:rPr>
        <w:t>3.2 Specific registration situations</w:t>
      </w:r>
    </w:p>
    <w:p>
      <w:pPr>
        <w:pStyle w:val="ListBullet"/>
      </w:pPr>
      <w:r>
        <w:rPr>
          <w:sz w:val="22"/>
        </w:rPr>
        <w:t>Child under 16 registering alone or with an adult lacking parental responsibility: alert Safeguarding Lead immediately.</w:t>
      </w:r>
    </w:p>
    <w:p>
      <w:pPr>
        <w:pStyle w:val="ListBullet"/>
      </w:pPr>
      <w:r>
        <w:rPr>
          <w:sz w:val="22"/>
        </w:rPr>
        <w:t>16–18 year olds: assume capacity under MCA 2005; if a parent/carer seeks to register, seek the young person's own consent.</w:t>
      </w:r>
    </w:p>
    <w:p>
      <w:pPr>
        <w:pStyle w:val="ListBullet"/>
      </w:pPr>
      <w:r>
        <w:rPr>
          <w:sz w:val="22"/>
        </w:rPr>
        <w:t>Looked after children: do NOT register temporarily even if placement duration is uncertain — permanent registration only.</w:t>
      </w:r>
    </w:p>
    <w:p>
      <w:pPr>
        <w:pStyle w:val="ListBullet"/>
      </w:pPr>
      <w:r>
        <w:rPr>
          <w:sz w:val="22"/>
        </w:rPr>
        <w:t>Families fleeing domestic abuse: do not delay registration due to lack of ID. Apply BMA guidance for refugees — no legal requirement to check ID prior to registration.</w:t>
      </w:r>
    </w:p>
    <w:p>
      <w:pPr>
        <w:pStyle w:val="ListBullet"/>
      </w:pPr>
      <w:r>
        <w:rPr>
          <w:sz w:val="22"/>
        </w:rPr>
        <w:t>Multiple short-term temporary registrations for the same child: escalate concern to permanent GP.</w:t>
      </w:r>
    </w:p>
    <w:p/>
    <w:p>
      <w:pPr>
        <w:pStyle w:val="Heading1"/>
      </w:pPr>
      <w:r>
        <w:rPr>
          <w:color w:val="1E3C78"/>
        </w:rPr>
        <w:t>4. Summarising Medical Records</w:t>
      </w:r>
    </w:p>
    <w:p>
      <w:r>
        <w:rPr>
          <w:sz w:val="22"/>
        </w:rPr>
        <w:t>When summarising records, always review the safeguarding node and new journal entries to identify past or current safeguarding concerns. If concerns are found and no GP was notified by task at registration, send a task to a GP promptly.</w:t>
      </w:r>
    </w:p>
    <w:p/>
    <w:p>
      <w:pPr>
        <w:pStyle w:val="Heading1"/>
      </w:pPr>
      <w:r>
        <w:rPr>
          <w:color w:val="1E3C78"/>
        </w:rPr>
        <w:t>5. Deduction of Children from the Practice List</w:t>
      </w:r>
    </w:p>
    <w:p>
      <w:r>
        <w:rPr>
          <w:sz w:val="22"/>
        </w:rPr>
        <w:t>Every time a practice processes a deduction request for a child, review the child's and siblings' records for active and historical safeguarding concerns. A clinician must review all records with safeguarding information.</w:t>
      </w:r>
    </w:p>
    <w:p>
      <w:pPr>
        <w:pStyle w:val="ListBullet"/>
      </w:pPr>
      <w:r>
        <w:rPr>
          <w:sz w:val="22"/>
        </w:rPr>
        <w:t>Where active safeguarding concerns exist, consider a verbal handover to the receiving GP if known.</w:t>
      </w:r>
    </w:p>
    <w:p>
      <w:pPr>
        <w:pStyle w:val="ListBullet"/>
      </w:pPr>
      <w:r>
        <w:rPr>
          <w:sz w:val="22"/>
        </w:rPr>
        <w:t>If a child appears to have moved but has not registered elsewhere: send a validation letter; liaise with HV/school nurse; check NHS Digital Spine; contact school; contact CME unit if needed.</w:t>
      </w:r>
    </w:p>
    <w:p>
      <w:pPr>
        <w:pStyle w:val="ListBullet"/>
      </w:pPr>
      <w:r>
        <w:rPr>
          <w:sz w:val="22"/>
        </w:rPr>
        <w:t>If no active concerns after review and no response to letter: submit a deduction request with reason "Other Reason / Left Area".</w:t>
      </w:r>
    </w:p>
    <w:p>
      <w:pPr>
        <w:pStyle w:val="ListBullet"/>
      </w:pPr>
      <w:r>
        <w:rPr>
          <w:sz w:val="22"/>
        </w:rPr>
        <w:t>For children on a Child Protection Plan: registering with a new GP close to current address can be a plan requirement.</w:t>
      </w:r>
    </w:p>
    <w:p/>
    <w:p>
      <w:pPr>
        <w:pStyle w:val="Heading1"/>
      </w:pPr>
      <w:r>
        <w:rPr>
          <w:color w:val="1E3C78"/>
        </w:rPr>
        <w:t>6. Remote Consultations and Intimate Images</w:t>
      </w:r>
    </w:p>
    <w:p>
      <w:pPr>
        <w:pStyle w:val="Heading2"/>
      </w:pPr>
      <w:r>
        <w:rPr>
          <w:color w:val="1E3C78"/>
        </w:rPr>
        <w:t>6.1 Remote consultations</w:t>
      </w:r>
    </w:p>
    <w:p>
      <w:pPr>
        <w:pStyle w:val="ListBullet"/>
      </w:pPr>
      <w:r>
        <w:rPr>
          <w:sz w:val="22"/>
        </w:rPr>
        <w:t>If safeguarding concerns arise at any point during a remote consultation, convert to face-to-face unless compelling reason not to.</w:t>
      </w:r>
    </w:p>
    <w:p>
      <w:pPr>
        <w:pStyle w:val="ListBullet"/>
      </w:pPr>
      <w:r>
        <w:rPr>
          <w:sz w:val="22"/>
        </w:rPr>
        <w:t>Be alert to coercion — consider who may be present off-camera.</w:t>
      </w:r>
    </w:p>
    <w:p>
      <w:pPr>
        <w:pStyle w:val="ListBullet"/>
      </w:pPr>
      <w:r>
        <w:rPr>
          <w:sz w:val="22"/>
        </w:rPr>
        <w:t>Use an official interpreter rather than a family member.</w:t>
      </w:r>
    </w:p>
    <w:p>
      <w:pPr>
        <w:pStyle w:val="ListBullet"/>
      </w:pPr>
      <w:r>
        <w:rPr>
          <w:sz w:val="22"/>
        </w:rPr>
        <w:t>For children under 16: apply Gillick competence principles as you would face-to-face.</w:t>
      </w:r>
    </w:p>
    <w:p>
      <w:pPr>
        <w:pStyle w:val="ListBullet"/>
      </w:pPr>
      <w:r>
        <w:rPr>
          <w:sz w:val="22"/>
        </w:rPr>
        <w:t>For young people aged 16+: apply MCA 2005 principles.</w:t>
      </w:r>
    </w:p>
    <w:p>
      <w:pPr>
        <w:pStyle w:val="ListBullet"/>
      </w:pPr>
      <w:r>
        <w:rPr>
          <w:sz w:val="22"/>
        </w:rPr>
        <w:t>Storage of any images must comply with Data Protection Act 2018 and GDPR.</w:t>
      </w:r>
    </w:p>
    <w:p/>
    <w:p>
      <w:pPr>
        <w:pStyle w:val="Heading2"/>
      </w:pPr>
      <w:r>
        <w:rPr>
          <w:color w:val="1E3C78"/>
        </w:rPr>
        <w:t>6.2 Intimate images of under-18 patients</w:t>
      </w:r>
    </w:p>
    <w:tbl>
      <w:tblPr>
        <w:tblStyle w:val="TableGrid"/>
        <w:tblW w:type="auto" w:w="0"/>
        <w:tblLook w:firstColumn="1" w:firstRow="1" w:lastColumn="0" w:lastRow="0" w:noHBand="0" w:noVBand="1" w:val="04A0"/>
      </w:tblPr>
      <w:tblGrid>
        <w:gridCol w:w="8453"/>
      </w:tblGrid>
      <w:tr>
        <w:tc>
          <w:tcPr>
            <w:tcW w:type="dxa" w:w="8453"/>
            <w:shd w:val="clear" w:color="auto" w:fill="FFE4E4"/>
          </w:tcPr>
          <w:p>
            <w:r>
              <w:rPr>
                <w:sz w:val="22"/>
              </w:rPr>
              <w:t>⚠ Legal risk: Taking, sending, or receiving intimate images of children under 18 may lead to a criminal investigation. The MDU advises AGAINST GPs requesting intimate images of under-18s. Where a remote intimate examination is needed, prefer face-to-face or specialist referral.</w:t>
            </w:r>
          </w:p>
        </w:tc>
      </w:tr>
    </w:tbl>
    <w:p/>
    <w:p>
      <w:r>
        <w:rPr>
          <w:sz w:val="22"/>
        </w:rPr>
        <w:t>If an unsolicited intimate image of an under-18 is received:</w:t>
      </w:r>
    </w:p>
    <w:p>
      <w:pPr>
        <w:pStyle w:val="ListBullet"/>
      </w:pPr>
      <w:r>
        <w:rPr>
          <w:sz w:val="22"/>
        </w:rPr>
        <w:t>Confirm who took the photo.</w:t>
      </w:r>
    </w:p>
    <w:p>
      <w:pPr>
        <w:pStyle w:val="ListBullet"/>
      </w:pPr>
      <w:r>
        <w:rPr>
          <w:sz w:val="22"/>
        </w:rPr>
        <w:t>Advise it is deleted from their device(s).</w:t>
      </w:r>
    </w:p>
    <w:p>
      <w:pPr>
        <w:pStyle w:val="ListBullet"/>
      </w:pPr>
      <w:r>
        <w:rPr>
          <w:sz w:val="22"/>
        </w:rPr>
        <w:t>Reiterate the code of conduct on sharing images of under-18s.</w:t>
      </w:r>
    </w:p>
    <w:p>
      <w:pPr>
        <w:pStyle w:val="ListBullet"/>
      </w:pPr>
      <w:r>
        <w:rPr>
          <w:sz w:val="22"/>
        </w:rPr>
        <w:t>Make a contemporaneous record in the notes.</w:t>
      </w:r>
    </w:p>
    <w:p>
      <w:pPr>
        <w:pStyle w:val="ListBullet"/>
      </w:pPr>
      <w:r>
        <w:rPr>
          <w:sz w:val="22"/>
        </w:rPr>
        <w:t>Delete the image from the clinical system.</w:t>
      </w:r>
    </w:p>
    <w:p>
      <w:pPr>
        <w:pStyle w:val="ListBullet"/>
      </w:pPr>
      <w:r>
        <w:rPr>
          <w:sz w:val="22"/>
        </w:rPr>
        <w:t>Consider face-to-face assessment.</w:t>
      </w:r>
    </w:p>
    <w:p>
      <w:pPr>
        <w:pStyle w:val="ListBullet"/>
      </w:pPr>
      <w:r>
        <w:rPr>
          <w:sz w:val="22"/>
        </w:rPr>
        <w:t>Consider whether there are child safeguarding concerns — if yes, enter in safeguarding node and consider referral.</w:t>
      </w:r>
    </w:p>
    <w:p/>
    <w:p>
      <w:pPr>
        <w:pStyle w:val="Heading1"/>
      </w:pPr>
      <w:r>
        <w:rPr>
          <w:color w:val="1E3C78"/>
        </w:rPr>
        <w:t>7. Children Not Brought to Appointments (CNB)</w:t>
      </w:r>
    </w:p>
    <w:p>
      <w:r>
        <w:rPr>
          <w:sz w:val="22"/>
        </w:rPr>
        <w:t>Failure to bring a child to an appointment may indicate unmet health needs, neglect, or that a family requires additional support. This policy covers all children under 18, including immunisations and the 8-week baby check.</w:t>
      </w:r>
    </w:p>
    <w:p/>
    <w:p>
      <w:pPr>
        <w:pStyle w:val="Heading2"/>
      </w:pPr>
      <w:r>
        <w:rPr>
          <w:color w:val="1E3C78"/>
        </w:rPr>
        <w:t>7.1 First and second missed appointment (within 12 months)</w:t>
      </w:r>
    </w:p>
    <w:p>
      <w:pPr>
        <w:pStyle w:val="ListBullet"/>
      </w:pPr>
      <w:r>
        <w:rPr>
          <w:sz w:val="22"/>
        </w:rPr>
        <w:t>Read code in New Journal as "Child not brought to appointment".</w:t>
      </w:r>
    </w:p>
    <w:p>
      <w:pPr>
        <w:pStyle w:val="ListBullet"/>
      </w:pPr>
      <w:r>
        <w:rPr>
          <w:sz w:val="22"/>
        </w:rPr>
        <w:t>Reviewing clinician to check: Has the clinical need been met elsewhere (e.g., A&amp;E)? Other missed appointments? Safeguarding information in records?</w:t>
      </w:r>
    </w:p>
    <w:p>
      <w:pPr>
        <w:pStyle w:val="ListBullet"/>
      </w:pPr>
      <w:r>
        <w:rPr>
          <w:sz w:val="22"/>
        </w:rPr>
        <w:t>Review parent/carer and sibling records for vulnerabilities (disability, language barrier, MH, DA, substance misuse, social care involvement).</w:t>
      </w:r>
    </w:p>
    <w:p>
      <w:pPr>
        <w:pStyle w:val="ListBullet"/>
      </w:pPr>
      <w:r>
        <w:rPr>
          <w:sz w:val="22"/>
        </w:rPr>
        <w:t>If pre-existing concerns: make entry in safeguarding node and consider informing HV/SN/Social Care.</w:t>
      </w:r>
    </w:p>
    <w:p>
      <w:pPr>
        <w:pStyle w:val="ListBullet"/>
      </w:pPr>
      <w:r>
        <w:rPr>
          <w:sz w:val="22"/>
        </w:rPr>
        <w:t>Consider telephone call or missed appointment letter to parent/carer (or young person if over 12 and Gillick competent).</w:t>
      </w:r>
    </w:p>
    <w:p/>
    <w:p>
      <w:pPr>
        <w:pStyle w:val="Heading2"/>
      </w:pPr>
      <w:r>
        <w:rPr>
          <w:color w:val="1E3C78"/>
        </w:rPr>
        <w:t>7.2 Third missed appointment (within 12-month period)</w:t>
      </w:r>
    </w:p>
    <w:p>
      <w:pPr>
        <w:pStyle w:val="ListBullet"/>
      </w:pPr>
      <w:r>
        <w:rPr>
          <w:sz w:val="22"/>
        </w:rPr>
        <w:t>Read code in New Journal and make corresponding entry in child safeguarding node.</w:t>
      </w:r>
    </w:p>
    <w:p>
      <w:pPr>
        <w:pStyle w:val="ListBullet"/>
      </w:pPr>
      <w:r>
        <w:rPr>
          <w:sz w:val="22"/>
        </w:rPr>
        <w:t>Review child and family records for new relevant information.</w:t>
      </w:r>
    </w:p>
    <w:p>
      <w:pPr>
        <w:pStyle w:val="ListBullet"/>
      </w:pPr>
      <w:r>
        <w:rPr>
          <w:sz w:val="22"/>
        </w:rPr>
        <w:t>Inform involved professionals (HV, SN, Social Care) and discuss with Practice Lead.</w:t>
      </w:r>
    </w:p>
    <w:p>
      <w:pPr>
        <w:pStyle w:val="ListBullet"/>
      </w:pPr>
      <w:r>
        <w:rPr>
          <w:sz w:val="22"/>
        </w:rPr>
        <w:t>Discuss at practice clinical meeting — safeguarding should be a standing agenda item.</w:t>
      </w:r>
    </w:p>
    <w:p>
      <w:pPr>
        <w:pStyle w:val="ListBullet"/>
      </w:pPr>
      <w:r>
        <w:rPr>
          <w:sz w:val="22"/>
        </w:rPr>
        <w:t>A primary care clinician should be named as lead professional for the family.</w:t>
      </w:r>
    </w:p>
    <w:p>
      <w:pPr>
        <w:pStyle w:val="ListBullet"/>
      </w:pPr>
      <w:r>
        <w:rPr>
          <w:sz w:val="22"/>
        </w:rPr>
        <w:t>Consider a specific letter outlining health implications (e.g., "untreated squint could lead to blindness").</w:t>
      </w:r>
    </w:p>
    <w:p>
      <w:pPr>
        <w:pStyle w:val="ListBullet"/>
      </w:pPr>
      <w:r>
        <w:rPr>
          <w:sz w:val="22"/>
        </w:rPr>
        <w:t>Consider referral to Children's Social Care if significant harm is suspected.</w:t>
      </w:r>
    </w:p>
    <w:p>
      <w:pPr>
        <w:pStyle w:val="ListBullet"/>
      </w:pPr>
      <w:r>
        <w:rPr>
          <w:sz w:val="22"/>
        </w:rPr>
        <w:t>If family is non-engaging with all services, use the non-engaging pathway on Safer Bradford: saferbradford.co.uk</w:t>
      </w:r>
    </w:p>
    <w:p/>
    <w:p>
      <w:pPr>
        <w:pStyle w:val="Heading1"/>
      </w:pPr>
      <w:r>
        <w:rPr>
          <w:color w:val="1E3C78"/>
        </w:rPr>
        <w:t>8. Vaccination Refusal/Hesitancy</w:t>
      </w:r>
    </w:p>
    <w:p>
      <w:r>
        <w:rPr>
          <w:sz w:val="22"/>
        </w:rPr>
        <w:t>Vaccination refusal is not generally a marker of neglect, but must be carefully documented. Apply clinical judgment — for medically complex children (e.g., asplenia), further action may be required.</w:t>
      </w:r>
    </w:p>
    <w:p>
      <w:pPr>
        <w:pStyle w:val="ListBullet"/>
      </w:pPr>
      <w:r>
        <w:rPr>
          <w:sz w:val="22"/>
        </w:rPr>
        <w:t>Document: information provided; mental capacity of responsible adult/child; the decision made.</w:t>
      </w:r>
    </w:p>
    <w:p>
      <w:pPr>
        <w:pStyle w:val="ListBullet"/>
      </w:pPr>
      <w:r>
        <w:rPr>
          <w:sz w:val="22"/>
        </w:rPr>
        <w:t>Read code: "History obtained from person with parental responsibility" and "Immunisation refused".</w:t>
      </w:r>
    </w:p>
    <w:p>
      <w:pPr>
        <w:pStyle w:val="ListBullet"/>
      </w:pPr>
      <w:r>
        <w:rPr>
          <w:sz w:val="22"/>
        </w:rPr>
        <w:t>Promote "Immunisation refused" to Problem heading/Summary to alert future clinicians.</w:t>
      </w:r>
    </w:p>
    <w:p>
      <w:pPr>
        <w:pStyle w:val="ListBullet"/>
      </w:pPr>
      <w:r>
        <w:rPr>
          <w:sz w:val="22"/>
        </w:rPr>
        <w:t>If child is not immunised AND not being brought to appointments: follow CNB guidance in section 7 above and consider neglect.</w:t>
      </w:r>
    </w:p>
    <w:p/>
    <w:p>
      <w:pPr>
        <w:pStyle w:val="Heading1"/>
      </w:pPr>
      <w:r>
        <w:rPr>
          <w:color w:val="1E3C78"/>
        </w:rPr>
        <w:t>9. Managing Requests for Safeguarding Information</w:t>
      </w:r>
    </w:p>
    <w:p>
      <w:pPr>
        <w:pStyle w:val="ListBullet"/>
      </w:pPr>
      <w:r>
        <w:rPr>
          <w:sz w:val="22"/>
        </w:rPr>
        <w:t>Identity: verify the enquirer has a bona-fide reason (e.g., call back switchboard).</w:t>
      </w:r>
    </w:p>
    <w:p>
      <w:pPr>
        <w:pStyle w:val="ListBullet"/>
      </w:pPr>
      <w:r>
        <w:rPr>
          <w:sz w:val="22"/>
        </w:rPr>
        <w:t>Purpose: ask the exact purpose. What are the concerns?</w:t>
      </w:r>
    </w:p>
    <w:p>
      <w:pPr>
        <w:pStyle w:val="ListBullet"/>
      </w:pPr>
      <w:r>
        <w:rPr>
          <w:sz w:val="22"/>
        </w:rPr>
        <w:t>Consent: does the family know there are enquiries? If not, why not? Consent not required if seeking it would put child at risk.</w:t>
      </w:r>
    </w:p>
    <w:p>
      <w:pPr>
        <w:pStyle w:val="ListBullet"/>
      </w:pPr>
      <w:r>
        <w:rPr>
          <w:sz w:val="22"/>
        </w:rPr>
        <w:t>Seven golden rules of information sharing: necessary, proportionate, relevant, accurate, timely, secure.</w:t>
      </w:r>
    </w:p>
    <w:p>
      <w:pPr>
        <w:pStyle w:val="ListBullet"/>
      </w:pPr>
      <w:r>
        <w:rPr>
          <w:sz w:val="22"/>
        </w:rPr>
        <w:t>Record the details: who you shared with, the reason, whether consent was obtained.</w:t>
      </w:r>
    </w:p>
    <w:p/>
    <w:p>
      <w:pPr>
        <w:pStyle w:val="Heading1"/>
      </w:pPr>
      <w:r>
        <w:rPr>
          <w:color w:val="1E3C78"/>
        </w:rPr>
        <w:t>10. Safeguarding Documentation Workflow</w:t>
      </w:r>
    </w:p>
    <w:tbl>
      <w:tblPr>
        <w:tblStyle w:val="TableGrid"/>
        <w:tblW w:type="auto" w:w="0"/>
        <w:tblLook w:firstColumn="1" w:firstRow="1" w:lastColumn="0" w:lastRow="0" w:noHBand="0" w:noVBand="1" w:val="04A0"/>
      </w:tblPr>
      <w:tblGrid>
        <w:gridCol w:w="8453"/>
      </w:tblGrid>
      <w:tr>
        <w:tc>
          <w:tcPr>
            <w:tcW w:type="dxa" w:w="8453"/>
            <w:shd w:val="clear" w:color="auto" w:fill="E8F4FD"/>
          </w:tcPr>
          <w:p>
            <w:r>
              <w:rPr>
                <w:sz w:val="22"/>
              </w:rPr>
              <w:t>⚡ Priority documents (pass to clinician within 24 hours):</w:t>
              <w:br/>
              <w:t>• MARAC information requests</w:t>
              <w:br/>
              <w:t>• Invitation to initial Child Protection Case Conference</w:t>
              <w:br/>
              <w:t>• Request for agency report ahead of CP review meeting</w:t>
              <w:br/>
              <w:t>• Requests for information as part of a Section 47 enquiry</w:t>
              <w:br/>
              <w:br/>
              <w:t>All safeguarding scanning must be marked "not for online viewing".</w:t>
            </w:r>
          </w:p>
        </w:tc>
      </w:tr>
    </w:tbl>
    <w:p/>
    <w:p>
      <w:r>
        <w:rPr>
          <w:sz w:val="22"/>
        </w:rPr>
        <w:t>Case conference records:</w:t>
      </w:r>
    </w:p>
    <w:tbl>
      <w:tblPr>
        <w:tblStyle w:val="TableGrid"/>
        <w:tblW w:type="auto" w:w="0"/>
        <w:tblLook w:firstColumn="1" w:firstRow="1" w:lastColumn="0" w:lastRow="0" w:noHBand="0" w:noVBand="1" w:val="04A0"/>
      </w:tblPr>
      <w:tblGrid>
        <w:gridCol w:w="2113"/>
        <w:gridCol w:w="2113"/>
        <w:gridCol w:w="2113"/>
        <w:gridCol w:w="2113"/>
      </w:tblGrid>
      <w:tr>
        <w:tc>
          <w:tcPr>
            <w:tcW w:type="dxa" w:w="2113"/>
            <w:shd w:val="clear" w:color="auto" w:fill="E0651F"/>
          </w:tcPr>
          <w:p>
            <w:r>
              <w:rPr>
                <w:b/>
                <w:color w:val="FFFFFF"/>
              </w:rPr>
              <w:t>Record type</w:t>
            </w:r>
          </w:p>
        </w:tc>
        <w:tc>
          <w:tcPr>
            <w:tcW w:type="dxa" w:w="2113"/>
            <w:shd w:val="clear" w:color="auto" w:fill="E0651F"/>
          </w:tcPr>
          <w:p>
            <w:r>
              <w:rPr>
                <w:b/>
                <w:color w:val="FFFFFF"/>
              </w:rPr>
              <w:t>Safeguarding node (clinician)</w:t>
            </w:r>
          </w:p>
        </w:tc>
        <w:tc>
          <w:tcPr>
            <w:tcW w:type="dxa" w:w="2113"/>
            <w:shd w:val="clear" w:color="auto" w:fill="E0651F"/>
          </w:tcPr>
          <w:p>
            <w:r>
              <w:rPr>
                <w:b/>
                <w:color w:val="FFFFFF"/>
              </w:rPr>
              <w:t>Scan in summary (admin)</w:t>
            </w:r>
          </w:p>
        </w:tc>
        <w:tc>
          <w:tcPr>
            <w:tcW w:type="dxa" w:w="2113"/>
            <w:shd w:val="clear" w:color="auto" w:fill="E0651F"/>
          </w:tcPr>
          <w:p>
            <w:r>
              <w:rPr>
                <w:b/>
                <w:color w:val="FFFFFF"/>
              </w:rPr>
              <w:t>Scan in full minutes (admin)</w:t>
            </w:r>
          </w:p>
        </w:tc>
      </w:tr>
      <w:tr>
        <w:tc>
          <w:tcPr>
            <w:tcW w:type="dxa" w:w="2113"/>
          </w:tcPr>
          <w:p>
            <w:r>
              <w:t>Child (subject of conference)</w:t>
            </w:r>
          </w:p>
        </w:tc>
        <w:tc>
          <w:tcPr>
            <w:tcW w:type="dxa" w:w="2113"/>
          </w:tcPr>
          <w:p>
            <w:r>
              <w:t>Yes</w:t>
            </w:r>
          </w:p>
        </w:tc>
        <w:tc>
          <w:tcPr>
            <w:tcW w:type="dxa" w:w="2113"/>
          </w:tcPr>
          <w:p>
            <w:r>
              <w:t>Yes</w:t>
            </w:r>
          </w:p>
        </w:tc>
        <w:tc>
          <w:tcPr>
            <w:tcW w:type="dxa" w:w="2113"/>
          </w:tcPr>
          <w:p>
            <w:r>
              <w:t>Yes</w:t>
            </w:r>
          </w:p>
        </w:tc>
      </w:tr>
      <w:tr>
        <w:tc>
          <w:tcPr>
            <w:tcW w:type="dxa" w:w="2113"/>
          </w:tcPr>
          <w:p>
            <w:r>
              <w:t>Other children (same household)</w:t>
            </w:r>
          </w:p>
        </w:tc>
        <w:tc>
          <w:tcPr>
            <w:tcW w:type="dxa" w:w="2113"/>
          </w:tcPr>
          <w:p>
            <w:r>
              <w:t>Yes</w:t>
            </w:r>
          </w:p>
        </w:tc>
        <w:tc>
          <w:tcPr>
            <w:tcW w:type="dxa" w:w="2113"/>
          </w:tcPr>
          <w:p>
            <w:r>
              <w:t>Yes</w:t>
            </w:r>
          </w:p>
        </w:tc>
        <w:tc>
          <w:tcPr>
            <w:tcW w:type="dxa" w:w="2113"/>
          </w:tcPr>
          <w:p>
            <w:r>
              <w:t>No</w:t>
            </w:r>
          </w:p>
        </w:tc>
      </w:tr>
      <w:tr>
        <w:tc>
          <w:tcPr>
            <w:tcW w:type="dxa" w:w="2113"/>
          </w:tcPr>
          <w:p>
            <w:r>
              <w:t>Adults named in report</w:t>
            </w:r>
          </w:p>
        </w:tc>
        <w:tc>
          <w:tcPr>
            <w:tcW w:type="dxa" w:w="2113"/>
          </w:tcPr>
          <w:p>
            <w:r>
              <w:t>Yes</w:t>
            </w:r>
          </w:p>
        </w:tc>
        <w:tc>
          <w:tcPr>
            <w:tcW w:type="dxa" w:w="2113"/>
          </w:tcPr>
          <w:p>
            <w:r>
              <w:t>Yes</w:t>
            </w:r>
          </w:p>
        </w:tc>
        <w:tc>
          <w:tcPr>
            <w:tcW w:type="dxa" w:w="2113"/>
          </w:tcPr>
          <w:p>
            <w:r>
              <w:t>No</w:t>
            </w:r>
          </w:p>
        </w:tc>
      </w:tr>
    </w:tbl>
    <w:p/>
    <w:p>
      <w:pPr>
        <w:pStyle w:val="Heading1"/>
      </w:pPr>
      <w:r>
        <w:rPr>
          <w:color w:val="1E3C78"/>
        </w:rPr>
        <w:t>11. Dealing with a Disclosure of Abuse</w:t>
      </w:r>
    </w:p>
    <w:p>
      <w:pPr>
        <w:pStyle w:val="ListBullet"/>
      </w:pPr>
      <w:r>
        <w:rPr>
          <w:sz w:val="22"/>
        </w:rPr>
        <w:t>Explain early that information will likely need to be shared — do NOT promise to keep secrets.</w:t>
      </w:r>
    </w:p>
    <w:p>
      <w:pPr>
        <w:pStyle w:val="ListBullet"/>
      </w:pPr>
      <w:r>
        <w:rPr>
          <w:sz w:val="22"/>
        </w:rPr>
        <w:t>Allow the child to continue at their own pace.</w:t>
      </w:r>
    </w:p>
    <w:p>
      <w:pPr>
        <w:pStyle w:val="ListBullet"/>
      </w:pPr>
      <w:r>
        <w:rPr>
          <w:sz w:val="22"/>
        </w:rPr>
        <w:t>Ask questions for clarification only — avoid leading questions.</w:t>
      </w:r>
    </w:p>
    <w:p>
      <w:pPr>
        <w:pStyle w:val="ListBullet"/>
      </w:pPr>
      <w:r>
        <w:rPr>
          <w:sz w:val="22"/>
        </w:rPr>
        <w:t>Reassure the child they have done the right thing.</w:t>
      </w:r>
    </w:p>
    <w:p>
      <w:pPr>
        <w:pStyle w:val="ListBullet"/>
      </w:pPr>
      <w:r>
        <w:rPr>
          <w:sz w:val="22"/>
        </w:rPr>
        <w:t>Tell them what you will do next and with whom information will be shared.</w:t>
      </w:r>
    </w:p>
    <w:p>
      <w:pPr>
        <w:pStyle w:val="ListBullet"/>
      </w:pPr>
      <w:r>
        <w:rPr>
          <w:sz w:val="22"/>
        </w:rPr>
        <w:t>Record in writing using the child's own words — note date, time, names mentioned.</w:t>
      </w:r>
    </w:p>
    <w:p>
      <w:pPr>
        <w:pStyle w:val="ListBullet"/>
      </w:pPr>
      <w:r>
        <w:rPr>
          <w:sz w:val="22"/>
        </w:rPr>
        <w:t>Consider whether it is safe for the child to return home. Immediate referral to Social Care/Police may be needed.</w:t>
      </w:r>
    </w:p>
    <w:p>
      <w:pPr>
        <w:pStyle w:val="ListBullet"/>
      </w:pPr>
      <w:r>
        <w:rPr>
          <w:sz w:val="22"/>
        </w:rPr>
        <w:t>Seek advice from Practice Safeguarding Lead or Bradford Health and Care Partnership Safeguarding Team (non-urgent: 07432 719806, Mon-Fri 8.30–4.00pm). If urgent, ring Children's Social Care directly.</w:t>
      </w:r>
    </w:p>
    <w:p/>
    <w:p>
      <w:pPr>
        <w:pStyle w:val="Heading1"/>
      </w:pPr>
      <w:r>
        <w:rPr>
          <w:color w:val="1E3C78"/>
        </w:rPr>
        <w:t>12. Child Death Review Processes</w:t>
      </w:r>
    </w:p>
    <w:p>
      <w:pPr>
        <w:pStyle w:val="ListBullet"/>
      </w:pPr>
      <w:r>
        <w:rPr>
          <w:sz w:val="22"/>
        </w:rPr>
        <w:t>Sudden unexpected death in the community: immediately call an ambulance and the police. Child taken to hospital ED. Coroner informed. Rapid response process instigated.</w:t>
      </w:r>
    </w:p>
    <w:p>
      <w:pPr>
        <w:pStyle w:val="ListBullet"/>
      </w:pPr>
      <w:r>
        <w:rPr>
          <w:sz w:val="22"/>
        </w:rPr>
        <w:t>Rapid response meetings: within 3 days of unexpected death. GP contribution expected.</w:t>
      </w:r>
    </w:p>
    <w:p>
      <w:pPr>
        <w:pStyle w:val="ListBullet"/>
      </w:pPr>
      <w:r>
        <w:rPr>
          <w:sz w:val="22"/>
        </w:rPr>
        <w:t>Child death review meetings: within 3 months. GP attendance or written report required.</w:t>
      </w:r>
    </w:p>
    <w:p>
      <w:pPr>
        <w:pStyle w:val="ListBullet"/>
      </w:pPr>
      <w:r>
        <w:rPr>
          <w:sz w:val="22"/>
        </w:rPr>
        <w:t>Statutory notification to Child Death Overview Panel (CDOP) within 24 hours of all deaths from birth to 18th birthday: https://www.ecdop.co.uk/BradfordandAiredale/Live/Public</w:t>
      </w:r>
    </w:p>
    <w:p/>
    <w:p>
      <w:pPr>
        <w:pStyle w:val="Heading1"/>
      </w:pPr>
      <w:r>
        <w:rPr>
          <w:color w:val="1E3C78"/>
        </w:rPr>
        <w:t>13. Allegations Against Staff (LADO)</w:t>
      </w:r>
    </w:p>
    <w:p>
      <w:r>
        <w:rPr>
          <w:sz w:val="22"/>
        </w:rPr>
        <w:t>Where the alleged perpetrator is in a position of trust (e.g., GP practice staff member, teacher), the Safeguarding Practice Lead or Practice Manager must notify the Local Area Designated Officer (LADO) within 1 working day.</w:t>
      </w:r>
    </w:p>
    <w:tbl>
      <w:tblPr>
        <w:tblStyle w:val="TableGrid"/>
        <w:tblW w:type="auto" w:w="0"/>
        <w:tblLook w:firstColumn="1" w:firstRow="1" w:lastColumn="0" w:lastRow="0" w:noHBand="0" w:noVBand="1" w:val="04A0"/>
      </w:tblPr>
      <w:tblGrid>
        <w:gridCol w:w="4226"/>
        <w:gridCol w:w="4226"/>
      </w:tblGrid>
      <w:tr>
        <w:tc>
          <w:tcPr>
            <w:tcW w:type="dxa" w:w="4226"/>
          </w:tcPr>
          <w:p>
            <w:r>
              <w:rPr>
                <w:b/>
              </w:rPr>
              <w:t>Bradford LADO</w:t>
            </w:r>
          </w:p>
        </w:tc>
        <w:tc>
          <w:tcPr>
            <w:tcW w:type="dxa" w:w="4226"/>
          </w:tcPr>
          <w:p>
            <w:r>
              <w:t>LADO@bradford.gov.uk | 01274 435600</w:t>
            </w:r>
          </w:p>
        </w:tc>
      </w:tr>
      <w:tr>
        <w:tc>
          <w:tcPr>
            <w:tcW w:type="dxa" w:w="4226"/>
          </w:tcPr>
          <w:p>
            <w:r>
              <w:rPr>
                <w:b/>
              </w:rPr>
              <w:t>North Yorkshire LADO</w:t>
            </w:r>
          </w:p>
        </w:tc>
        <w:tc>
          <w:tcPr>
            <w:tcW w:type="dxa" w:w="4226"/>
          </w:tcPr>
          <w:p>
            <w:r>
              <w:t>lado@northyorks.gov.uk | 01609 533080</w:t>
            </w:r>
          </w:p>
        </w:tc>
      </w:tr>
      <w:tr>
        <w:tc>
          <w:tcPr>
            <w:tcW w:type="dxa" w:w="4226"/>
          </w:tcPr>
          <w:p>
            <w:r>
              <w:rPr>
                <w:b/>
              </w:rPr>
              <w:t>Bradford H&amp;C Partnership</w:t>
            </w:r>
          </w:p>
        </w:tc>
        <w:tc>
          <w:tcPr>
            <w:tcW w:type="dxa" w:w="4226"/>
          </w:tcPr>
          <w:p>
            <w:r>
              <w:t>seriousincidents.bradford@nhs.net</w:t>
            </w:r>
          </w:p>
        </w:tc>
      </w:tr>
    </w:tbl>
    <w:p/>
    <w:p>
      <w:pPr>
        <w:pStyle w:val="Heading1"/>
      </w:pPr>
      <w:r>
        <w:rPr>
          <w:color w:val="1E3C78"/>
        </w:rPr>
        <w:t>14. Notifying the CQC</w:t>
      </w:r>
    </w:p>
    <w:p>
      <w:r>
        <w:rPr>
          <w:sz w:val="22"/>
        </w:rPr>
        <w:t>Notify the CQC without delay when: (1) a patient alleges they were a victim of abuse on practice premises or by practice staff; (2) a patient is an alleged perpetrator of abuse toward a staff member during a consultation.</w:t>
      </w:r>
    </w:p>
    <w:p/>
    <w:p>
      <w:pPr>
        <w:pStyle w:val="Heading1"/>
      </w:pPr>
      <w:r>
        <w:rPr>
          <w:color w:val="1E3C78"/>
        </w:rPr>
        <w:t>15. Key Resources</w:t>
      </w:r>
    </w:p>
    <w:p>
      <w:pPr>
        <w:pStyle w:val="ListBullet"/>
      </w:pPr>
      <w:r>
        <w:rPr>
          <w:sz w:val="22"/>
        </w:rPr>
        <w:t>West Yorkshire Safeguarding Procedures: https://westyorkscb.proceduresonline.com/</w:t>
      </w:r>
    </w:p>
    <w:p>
      <w:pPr>
        <w:pStyle w:val="ListBullet"/>
      </w:pPr>
      <w:r>
        <w:rPr>
          <w:sz w:val="22"/>
        </w:rPr>
        <w:t>Safer Bradford (non-engaging pathway): https://saferbradford.co.uk/</w:t>
      </w:r>
    </w:p>
    <w:p>
      <w:pPr>
        <w:pStyle w:val="ListBullet"/>
      </w:pPr>
      <w:r>
        <w:rPr>
          <w:sz w:val="22"/>
        </w:rPr>
        <w:t>NICE CG89 (December 2025): https://www.nice.org.uk/guidance/cg89</w:t>
      </w:r>
    </w:p>
    <w:p>
      <w:pPr>
        <w:pStyle w:val="ListBullet"/>
      </w:pPr>
      <w:r>
        <w:rPr>
          <w:sz w:val="22"/>
        </w:rPr>
        <w:t>Working Together to Safeguard Children 2026: https://www.gov.uk/government/publications/working-together-to-safeguard-children--2</w:t>
      </w:r>
    </w:p>
    <w:p>
      <w:pPr>
        <w:pStyle w:val="ListBullet"/>
      </w:pPr>
      <w:r>
        <w:rPr>
          <w:sz w:val="22"/>
        </w:rPr>
        <w:t>Intercollegiate Document 2025: https://child-health-safeguarding.rcpch.ac.uk/</w:t>
      </w:r>
    </w:p>
    <w:p>
      <w:pPr>
        <w:pStyle w:val="ListBullet"/>
      </w:pPr>
      <w:r>
        <w:rPr>
          <w:sz w:val="22"/>
        </w:rPr>
        <w:t>RCGP Safeguarding Children Toolkit: https://www.rcgp.org.uk/clinical-and-research/resources/toolkits/child-safeguarding-toolkit.aspx</w:t>
      </w:r>
    </w:p>
    <w:p>
      <w:pPr>
        <w:pStyle w:val="ListBullet"/>
      </w:pPr>
      <w:r>
        <w:rPr>
          <w:sz w:val="22"/>
        </w:rPr>
        <w:t>Bradford CDOP: https://www.ecdop.co.uk/BradfordandAiredale/Live/Public</w:t>
      </w:r>
    </w:p>
    <w:p/>
    <w:p>
      <w:pPr>
        <w:jc w:val="center"/>
      </w:pPr>
    </w:p>
    <w:tbl>
      <w:tblPr>
        <w:tblStyle w:val="TableGrid"/>
        <w:tblW w:type="auto" w:w="0"/>
        <w:tblLook w:firstColumn="1" w:firstRow="1" w:lastColumn="0" w:lastRow="0" w:noHBand="0" w:noVBand="1" w:val="04A0"/>
      </w:tblPr>
      <w:tblGrid>
        <w:gridCol w:w="8453"/>
      </w:tblGrid>
      <w:tr>
        <w:tc>
          <w:tcPr>
            <w:tcW w:type="dxa" w:w="8453"/>
            <w:shd w:val="clear" w:color="auto" w:fill="FFF3CD"/>
          </w:tcPr>
          <w:p>
            <w:r>
              <w:rPr>
                <w:sz w:val="22"/>
              </w:rPr>
              <w:t>⚠ Disclaimer: Always double check this advice and drug doses with the latest NICE/BNF guidance. This document is for educational purposes only.</w:t>
            </w:r>
          </w:p>
        </w:tc>
      </w:tr>
    </w:tbl>
    <w:p/>
    <w:sectPr w:rsidR="00FC693F" w:rsidRPr="0006063C" w:rsidSect="00034616">
      <w:footerReference w:type="default" r:id="rId9"/>
      <w:pgSz w:w="11909" w:h="16834"/>
      <w:pgMar w:top="1440" w:right="1728" w:bottom="1440" w:left="172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8"/>
      </w:rPr>
      <w:t>A free resource provided by www.bradfordvts.co.uk, Dr Ramesh Mehay, original document: Dr Emma Savin &amp; Dr Kirsty King, revised May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Bradford VTS</dc:creator>
  <cp:keywords/>
  <dc:description>generated by python-docx</dc:description>
  <cp:lastModifiedBy/>
  <cp:revision>1</cp:revision>
  <dcterms:created xsi:type="dcterms:W3CDTF">2013-12-23T23:15:00Z</dcterms:created>
  <dcterms:modified xsi:type="dcterms:W3CDTF">2013-12-23T23:15:00Z</dcterms:modified>
  <cp:category/>
</cp:coreProperties>
</file>