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Borders>
              <w:top w:val="single" w:color="E8640A" w:sz="12"/>
              <w:left w:val="none"/>
              <w:bottom w:val="single" w:color="E8640A" w:sz="4"/>
              <w:right w:val="none"/>
            </w:tcBorders>
            <w:shd w:fill="2C3E5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HIV Testing &amp; Pre-Test Discussion in Primary Care</w:t>
            </w:r>
          </w:p>
          <w:p>
            <w:pPr>
              <w:spacing w:after="0" w:before="40"/>
              <w:jc w:val="center"/>
            </w:pPr>
            <w:r>
              <w:rPr>
                <w:rFonts w:ascii="Arial" w:cs="Arial" w:eastAsia="Arial" w:hAnsi="Arial"/>
                <w:color w:val="AAAAAA"/>
                <w:sz w:val="17"/>
                <w:szCs w:val="17"/>
              </w:rPr>
              <w:t xml:space="preserve">Based on NICE NG60 (updated Sept 2025)  |  BHIVA/BASHH/BIA HIV Testing Guidelines 2020</w:t>
            </w:r>
          </w:p>
        </w:tc>
      </w:tr>
    </w:tbl>
    <w:p>
      <w:pPr>
        <w:spacing w:after="120" w:before="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shd w:fill="006D77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1.  Who to Offer Testing To  (NICE NG60, updated 2025)</w:t>
            </w:r>
          </w:p>
        </w:tc>
      </w:tr>
    </w:tbl>
    <w:p>
      <w:pPr>
        <w:spacing w:after="60" w:before="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466"/>
      </w:tblGrid>
      <w:tr>
        <w:tc>
          <w:tcPr>
            <w:tcW w:type="dxa" w:w="5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6D7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Offer to ALL patients in your GP surgery who:</w:t>
            </w:r>
          </w:p>
        </w:tc>
        <w:tc>
          <w:tcPr>
            <w:tcW w:type="dxa" w:w="5466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640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In HIGH / VERY HIGH prevalence areas, also offer if:</w:t>
            </w:r>
          </w:p>
        </w:tc>
      </w:tr>
      <w:tr>
        <w:tc>
          <w:tcPr>
            <w:tcW w:type="dxa" w:w="5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0F2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Have symptoms suggesting HIV (see indicator conditions)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Are from a country / group with high HIV rates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Are an MSM not tested in the last 12 months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Are a trans woman who has sex with men, not tested in 12 months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Report sexual contact with someone from a high-prevalence country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Disclose high-risk practices (e.g. chemsex)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Have a new STI or are requesting STI screening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Have a history of injecting drug use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Are the sexual partner of someone HIV+ or at high risk</w:t>
            </w:r>
          </w:p>
        </w:tc>
        <w:tc>
          <w:tcPr>
            <w:tcW w:type="dxa" w:w="5466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EF9E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Newly registering with the practice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Having blood tests for any reason (if not tested in past year)</w:t>
            </w:r>
          </w:p>
          <w:p>
            <w:pPr>
              <w:spacing w:after="80" w:before="0"/>
            </w:pPr>
          </w:p>
          <w:p>
            <w:pPr>
              <w:spacing w:after="20" w:before="40"/>
            </w:pPr>
            <w:r>
              <w:rPr>
                <w:rFonts w:ascii="Arial" w:cs="Arial" w:eastAsia="Arial" w:hAnsi="Arial"/>
                <w:b/>
                <w:bCs/>
                <w:color w:val="E8640A"/>
                <w:sz w:val="18"/>
                <w:szCs w:val="18"/>
              </w:rPr>
              <w:t xml:space="preserve">In EXTREMELY HIGH prevalence: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Consider offering at every consultation (clinical judgement)</w:t>
            </w:r>
          </w:p>
          <w:p>
            <w:pPr>
              <w:spacing w:after="80" w:before="0"/>
            </w:pPr>
          </w:p>
          <w:p>
            <w:pPr>
              <w:spacing w:after="20" w:before="40"/>
            </w:pPr>
            <w:r>
              <w:rPr>
                <w:rFonts w:ascii="Arial" w:cs="Arial" w:eastAsia="Arial" w:hAnsi="Arial"/>
                <w:b/>
                <w:bCs/>
                <w:color w:val="006D77"/>
                <w:sz w:val="18"/>
                <w:szCs w:val="18"/>
              </w:rPr>
              <w:t xml:space="preserve">Opt-out approach is recommended: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i/>
                <w:iCs/>
                <w:color w:val="2C3E50"/>
                <w:sz w:val="17"/>
                <w:szCs w:val="17"/>
              </w:rPr>
              <w:t xml:space="preserve">"At this practice we routinely offer HIV tests to all patients — unless you would prefer not to."</w:t>
            </w:r>
          </w:p>
        </w:tc>
      </w:tr>
    </w:tbl>
    <w:p>
      <w:pPr>
        <w:spacing w:after="80" w:before="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shd w:fill="006D77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2.  Pre-Test Discussion  (keep it brief — this should take 2–3 minutes)</w:t>
            </w:r>
          </w:p>
        </w:tc>
      </w:tr>
    </w:tbl>
    <w:p>
      <w:pPr>
        <w:spacing w:after="60" w:before="0"/>
      </w:pP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color w:val="2C3E50"/>
          <w:sz w:val="18"/>
          <w:szCs w:val="18"/>
        </w:rPr>
        <w:t xml:space="preserve">Pre-test discussion is a non-judgmental conversation to obtain informed consent, assess risk, and prepare the patient for their result. It does not require lengthy formal counselling.</w:t>
      </w:r>
    </w:p>
    <w:p>
      <w:pPr>
        <w:spacing w:after="60" w:before="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500"/>
        <w:gridCol w:w="3566"/>
      </w:tblGrid>
      <w:tr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6D7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Obtain Informed Consent</w:t>
            </w:r>
          </w:p>
        </w:tc>
        <w:tc>
          <w:tcPr>
            <w:tcW w:type="dxa" w:w="3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640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Explain the Test</w:t>
            </w:r>
          </w:p>
        </w:tc>
        <w:tc>
          <w:tcPr>
            <w:tcW w:type="dxa" w:w="3566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A7A4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Discuss Benefits</w:t>
            </w:r>
          </w:p>
        </w:tc>
      </w:tr>
      <w:tr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0F2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Explain what the test is and why you are offering 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Confirm it is voluntary — the patient may decline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Briefly explore any concerns about testing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Note in the records that consent was given</w:t>
            </w:r>
          </w:p>
        </w:tc>
        <w:tc>
          <w:tcPr>
            <w:tcW w:type="dxa" w:w="3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DE8D8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A 4th-generation blood test is standard — detects both antibody and p24 antigen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Window period: 45 days (BHIVA/BASHH). A negative result at 45 days is conclusive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If tested earlier, a repeat at 45 days is needed to exclude infection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Point-of-care (finger-prick) tests are 3rd-gen — window period is longer; confirm any reactive result with lab serology</w:t>
            </w:r>
          </w:p>
        </w:tc>
        <w:tc>
          <w:tcPr>
            <w:tcW w:type="dxa" w:w="3566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Early diagnosis = access to antiretroviral therapy (ART)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ART normalises life expectancy for most people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People on ART with an undetectable viral load cannot transmit HIV sexually (U=U)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Reduces risk of late-stage AIDS-defining illness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Opportunity to discuss PrEP and safer sex</w:t>
            </w:r>
          </w:p>
        </w:tc>
      </w:tr>
    </w:tbl>
    <w:p>
      <w:pPr>
        <w:spacing w:after="80" w:before="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shd w:fill="006D77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3.  Giving the Result</w:t>
            </w:r>
          </w:p>
        </w:tc>
      </w:tr>
    </w:tbl>
    <w:p>
      <w:pPr>
        <w:spacing w:after="60" w:before="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0"/>
        <w:gridCol w:w="5366"/>
      </w:tblGrid>
      <w:tr>
        <w:tc>
          <w:tcPr>
            <w:tcW w:type="dxa" w:w="51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A7A4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NEGATIVE RESULT</w:t>
            </w:r>
          </w:p>
        </w:tc>
        <w:tc>
          <w:tcPr>
            <w:tcW w:type="dxa" w:w="5366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C0392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POSITIVE RESULT</w:t>
            </w:r>
          </w:p>
        </w:tc>
      </w:tr>
      <w:tr>
        <w:tc>
          <w:tcPr>
            <w:tcW w:type="dxa" w:w="51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color w:val="2C3E50"/>
                <w:sz w:val="18"/>
                <w:szCs w:val="18"/>
              </w:rPr>
              <w:t xml:space="preserve">Confirm the test is negative. Then consider: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Is the patient still within the 45-day window period? If so, arrange a repeat test at 45 days post-exposure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Offer STI screen if at risk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Discuss safer sex practices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Offer hepatitis B vaccination if not immune and at risk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Discuss PrEP if patient is at ongoing high risk (refer to sexual health / GUM)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Arrange annual re-testing for high-risk groups; every 3 months for MSM with multiple partners</w:t>
            </w:r>
          </w:p>
        </w:tc>
        <w:tc>
          <w:tcPr>
            <w:tcW w:type="dxa" w:w="5366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D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color w:val="C0392B"/>
                <w:sz w:val="18"/>
                <w:szCs w:val="18"/>
              </w:rPr>
              <w:t xml:space="preserve">You must act promptly and compassionately: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Give the result clearly and with empathy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Keep information minimal at this first appointment — the patient will be in shock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You must refer urgently to the local GUM / HIV / Infectious Disease service — do not delay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Outcomes are significantly better when care is led by an HIV specialist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Arrange a follow-up appointment to cover: confirmatory testing, ART, partner notification, disclosure, and support services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8"/>
                <w:szCs w:val="18"/>
              </w:rPr>
              <w:t xml:space="preserve">Signpost to support: Terrence Higgins Trust (THT), National AIDS Trust (NAT), local HIV peer support</w:t>
            </w:r>
          </w:p>
        </w:tc>
      </w:tr>
    </w:tbl>
    <w:p>
      <w:pPr>
        <w:spacing w:after="80" w:before="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0"/>
        <w:gridCol w:w="5366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80"/>
            </w:tcMar>
          </w:tcPr>
          <w:tbl>
            <w:tblPr>
              <w:tblW w:type="dxa" w:w="5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100"/>
            </w:tblGrid>
            <w:tr>
              <w:tc>
                <w:tcPr>
                  <w:tcW w:type="dxa" w:w="5100"/>
                  <w:tcBorders>
                    <w:top w:val="single" w:color="DDDDDD" w:sz="1"/>
                    <w:left w:val="single" w:color="DDDDDD" w:sz="1"/>
                    <w:bottom w:val="single" w:color="DDDDDD" w:sz="1"/>
                    <w:right w:val="single" w:color="DDDDDD" w:sz="1"/>
                  </w:tcBorders>
                  <w:shd w:fill="2C3E50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  <w:vAlign w:val="top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18"/>
                      <w:szCs w:val="18"/>
                    </w:rPr>
                    <w:t xml:space="preserve">4.  Partner Notification</w:t>
                  </w:r>
                </w:p>
              </w:tc>
            </w:tr>
            <w:tr>
              <w:tc>
                <w:tcPr>
                  <w:tcW w:type="dxa" w:w="5100"/>
                  <w:tcBorders>
                    <w:top w:val="single" w:color="DDDDDD" w:sz="1"/>
                    <w:left w:val="single" w:color="DDDDDD" w:sz="1"/>
                    <w:bottom w:val="single" w:color="DDDDDD" w:sz="1"/>
                    <w:right w:val="single" w:color="DDDDDD" w:sz="1"/>
                  </w:tcBorders>
                  <w:shd w:fill="F5F5F5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  <w:vAlign w:val="top"/>
                </w:tcPr>
                <w:p>
                  <w:pPr>
                    <w:spacing w:after="40" w:before="2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This is managed by the GUM/HIV service, not in primary care. At the post-result consultation, you should introduce the concept: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Partner notification is voluntary — never coercive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Patient may self-notify or request provider-assisted notification (GUM team contacts on their behalf, anonymously)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GMC guidance permits disclosure without consent only in exceptional circumstances where there is a serious and identifiable risk to a third party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Do NOT share HIV status with the patient's GP without explicit patient consent</w:t>
                  </w:r>
                </w:p>
              </w:tc>
            </w:tr>
          </w:tbl>
          <w:p/>
        </w:tc>
        <w:tc>
          <w:tcPr>
            <w:tcBorders>
              <w:top w:val="none"/>
              <w:left w:val="none"/>
              <w:bottom w:val="none"/>
              <w:right w:val="none"/>
            </w:tcBorders>
            <w:shd w:fill="FFFFFF" w:val="clear"/>
            <w:tcMar>
              <w:top w:type="dxa" w:w="0"/>
              <w:left w:type="dxa" w:w="80"/>
              <w:bottom w:type="dxa" w:w="0"/>
              <w:right w:type="dxa" w:w="0"/>
            </w:tcMar>
          </w:tcPr>
          <w:tbl>
            <w:tblPr>
              <w:tblW w:type="dxa" w:w="5366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366"/>
            </w:tblGrid>
            <w:tr>
              <w:tc>
                <w:tcPr>
                  <w:tcW w:type="dxa" w:w="5366"/>
                  <w:tcBorders>
                    <w:top w:val="single" w:color="DDDDDD" w:sz="1"/>
                    <w:left w:val="single" w:color="DDDDDD" w:sz="1"/>
                    <w:bottom w:val="single" w:color="DDDDDD" w:sz="1"/>
                    <w:right w:val="single" w:color="DDDDDD" w:sz="1"/>
                  </w:tcBorders>
                  <w:shd w:fill="D68910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  <w:vAlign w:val="top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18"/>
                      <w:szCs w:val="18"/>
                    </w:rPr>
                    <w:t xml:space="preserve">5.  High-Risk Groups — Know Who to Test</w:t>
                  </w:r>
                </w:p>
              </w:tc>
            </w:tr>
            <w:tr>
              <w:tc>
                <w:tcPr>
                  <w:tcW w:type="dxa" w:w="5366"/>
                  <w:tcBorders>
                    <w:top w:val="single" w:color="DDDDDD" w:sz="1"/>
                    <w:left w:val="single" w:color="DDDDDD" w:sz="1"/>
                    <w:bottom w:val="single" w:color="DDDDDD" w:sz="1"/>
                    <w:right w:val="single" w:color="DDDDDD" w:sz="1"/>
                  </w:tcBorders>
                  <w:shd w:fill="FEF9E7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  <w:vAlign w:val="top"/>
                </w:tcPr>
                <w:p>
                  <w:pPr>
                    <w:spacing w:after="40" w:before="2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2C3E50"/>
                      <w:sz w:val="18"/>
                      <w:szCs w:val="18"/>
                    </w:rPr>
                    <w:t xml:space="preserve">Factors that increase risk of HIV: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Men who have sex with men (MSM)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Black African or Black Caribbean ethnicity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People from countries with high HIV prevalence (sub-Saharan Africa, parts of SE Asia, Caribbean)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Trans women who have sex with men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People who inject drugs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Sex workers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Chemsex participants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Partners of anyone in a high-risk group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Blood/blood product recipients before 1985 (UK)</w:t>
                  </w:r>
                </w:p>
              </w:tc>
            </w:tr>
          </w:tbl>
          <w:p/>
        </w:tc>
      </w:tr>
    </w:tbl>
    <w:p>
      <w:pPr>
        <w:spacing w:after="80" w:before="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shd w:fill="2C3E50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6.  HIV Indicator Conditions — Test if Any of These Are Present</w:t>
            </w:r>
          </w:p>
        </w:tc>
      </w:tr>
    </w:tbl>
    <w:p>
      <w:pPr>
        <w:spacing w:after="60" w:before="0"/>
      </w:pP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color w:val="2C3E50"/>
          <w:sz w:val="17"/>
          <w:szCs w:val="17"/>
        </w:rPr>
        <w:t xml:space="preserve">Any patient presenting with an indicator condition should be offered an HIV test, regardless of perceived risk. Late diagnosis is common and leads to avoidable harm.</w:t>
      </w:r>
    </w:p>
    <w:p>
      <w:pPr>
        <w:spacing w:after="60" w:before="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5"/>
        <w:gridCol w:w="3155"/>
        <w:gridCol w:w="4156"/>
      </w:tblGrid>
      <w:tr>
        <w:tc>
          <w:tcPr>
            <w:tcW w:type="dxa" w:w="3155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0F2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color w:val="006D77"/>
                <w:sz w:val="18"/>
                <w:szCs w:val="18"/>
              </w:rPr>
              <w:t xml:space="preserve">Respiratory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TB (pulmonary or extra-pulmonary)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Unexplained pneumonia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Pneumocystis jirovecii pneumonia</w:t>
            </w:r>
          </w:p>
          <w:p>
            <w:pPr>
              <w:spacing w:after="60" w:before="0"/>
            </w:pPr>
          </w:p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color w:val="006D77"/>
                <w:sz w:val="18"/>
                <w:szCs w:val="18"/>
              </w:rPr>
              <w:t xml:space="preserve">Neurological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Cryptococcal meningitis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CNS toxoplasmosis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Progressive multifocal leucoencephalopathy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Unexplained dementia or encephalopathy</w:t>
            </w:r>
          </w:p>
        </w:tc>
        <w:tc>
          <w:tcPr>
            <w:tcW w:type="dxa" w:w="3155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DE8D8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color w:val="E8640A"/>
                <w:sz w:val="18"/>
                <w:szCs w:val="18"/>
              </w:rPr>
              <w:t xml:space="preserve">Haematological / Oncological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Non-Hodgkin's lymphoma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Cervical cancer (invasive)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Unexplained lymphadenopathy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Unexplained anaemia, neutropenia, or thrombocytopenia</w:t>
            </w:r>
          </w:p>
          <w:p>
            <w:pPr>
              <w:spacing w:after="60" w:before="0"/>
            </w:pPr>
          </w:p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color w:val="E8640A"/>
                <w:sz w:val="18"/>
                <w:szCs w:val="18"/>
              </w:rPr>
              <w:t xml:space="preserve">Skin / Mucosal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Kaposi's sarcoma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Oral hairy leucoplakia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Severe or recurrent seborrhoeic dermatitis</w:t>
            </w:r>
          </w:p>
        </w:tc>
        <w:tc>
          <w:tcPr>
            <w:tcW w:type="dxa" w:w="4156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color w:val="2C3E50"/>
                <w:sz w:val="18"/>
                <w:szCs w:val="18"/>
              </w:rPr>
              <w:t xml:space="preserve">Infections / Other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Hepatitis B or C (new diagnosis)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Any sexually transmitted infection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Recurrent Salmonella septicaemia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Unexplained severe or recurrent oral/oesophageal candidiasis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Herpes zoster (especially multidermatomal or recurrent)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Mononucleosis-like syndrome (consider acute seroconversion)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CMV retinitis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17"/>
                <w:szCs w:val="17"/>
              </w:rPr>
              <w:t xml:space="preserve">Unexplained weight loss, fever, or diarrhoea persisting &gt; 1 month</w:t>
            </w:r>
          </w:p>
        </w:tc>
      </w:tr>
    </w:tbl>
    <w:p>
      <w:pPr>
        <w:spacing w:after="80" w:before="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0"/>
        <w:gridCol w:w="5366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80"/>
            </w:tcMar>
          </w:tcPr>
          <w:tbl>
            <w:tblPr>
              <w:tblW w:type="dxa" w:w="5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100"/>
            </w:tblGrid>
            <w:tr>
              <w:tc>
                <w:tcPr>
                  <w:tcW w:type="dxa" w:w="5100"/>
                  <w:tcBorders>
                    <w:top w:val="single" w:color="DDDDDD" w:sz="1"/>
                    <w:left w:val="single" w:color="DDDDDD" w:sz="1"/>
                    <w:bottom w:val="single" w:color="DDDDDD" w:sz="1"/>
                    <w:right w:val="single" w:color="DDDDDD" w:sz="1"/>
                  </w:tcBorders>
                  <w:shd w:fill="006D77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  <w:vAlign w:val="top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18"/>
                      <w:szCs w:val="18"/>
                    </w:rPr>
                    <w:t xml:space="preserve">Key Messages for Your Patients</w:t>
                  </w:r>
                </w:p>
              </w:tc>
            </w:tr>
            <w:tr>
              <w:tc>
                <w:tcPr>
                  <w:tcW w:type="dxa" w:w="5100"/>
                  <w:tcBorders>
                    <w:top w:val="single" w:color="DDDDDD" w:sz="1"/>
                    <w:left w:val="single" w:color="DDDDDD" w:sz="1"/>
                    <w:bottom w:val="single" w:color="DDDDDD" w:sz="1"/>
                    <w:right w:val="single" w:color="DDDDDD" w:sz="1"/>
                  </w:tcBorders>
                  <w:shd w:fill="E0F2F1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  <w:vAlign w:val="top"/>
                </w:tcPr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HIV is a manageable long-term condition — not a death sentence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With ART, most people live a normal life expectancy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Undetectable = Untransmittable (U=U): people on ART with an undetectable viral load cannot pass HIV to sexual partners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PrEP is highly effective (&gt;99%) at preventing HIV in HIV-negative individuals at ongoing risk — refer to GUM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Testing is confidential — results are not automatically shared with your GP without consent</w:t>
                  </w:r>
                </w:p>
              </w:tc>
            </w:tr>
          </w:tbl>
          <w:p/>
        </w:tc>
        <w:tc>
          <w:tcPr>
            <w:tcBorders>
              <w:top w:val="none"/>
              <w:left w:val="none"/>
              <w:bottom w:val="none"/>
              <w:right w:val="none"/>
            </w:tcBorders>
            <w:shd w:fill="FFFFFF" w:val="clear"/>
            <w:tcMar>
              <w:top w:type="dxa" w:w="0"/>
              <w:left w:type="dxa" w:w="80"/>
              <w:bottom w:type="dxa" w:w="0"/>
              <w:right w:type="dxa" w:w="0"/>
            </w:tcMar>
          </w:tcPr>
          <w:tbl>
            <w:tblPr>
              <w:tblW w:type="dxa" w:w="5366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366"/>
            </w:tblGrid>
            <w:tr>
              <w:tc>
                <w:tcPr>
                  <w:tcW w:type="dxa" w:w="5366"/>
                  <w:tcBorders>
                    <w:top w:val="single" w:color="DDDDDD" w:sz="1"/>
                    <w:left w:val="single" w:color="DDDDDD" w:sz="1"/>
                    <w:bottom w:val="single" w:color="DDDDDD" w:sz="1"/>
                    <w:right w:val="single" w:color="DDDDDD" w:sz="1"/>
                  </w:tcBorders>
                  <w:shd w:fill="E8640A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  <w:vAlign w:val="top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18"/>
                      <w:szCs w:val="18"/>
                    </w:rPr>
                    <w:t xml:space="preserve">Useful Resources &amp; Referral Pathways</w:t>
                  </w:r>
                </w:p>
              </w:tc>
            </w:tr>
            <w:tr>
              <w:tc>
                <w:tcPr>
                  <w:tcW w:type="dxa" w:w="5366"/>
                  <w:tcBorders>
                    <w:top w:val="single" w:color="DDDDDD" w:sz="1"/>
                    <w:left w:val="single" w:color="DDDDDD" w:sz="1"/>
                    <w:bottom w:val="single" w:color="DDDDDD" w:sz="1"/>
                    <w:right w:val="single" w:color="DDDDDD" w:sz="1"/>
                  </w:tcBorders>
                  <w:shd w:fill="FDE8D8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  <w:vAlign w:val="top"/>
                </w:tcPr>
                <w:p>
                  <w:pPr>
                    <w:spacing w:after="40" w:before="2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E8640A"/>
                      <w:sz w:val="18"/>
                      <w:szCs w:val="18"/>
                    </w:rPr>
                    <w:t xml:space="preserve">Refer to: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Local GUM / Sexual Health Service — for confirmatory testing, partner notification, PrEP, ART initiation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Local HIV / Infectious Disease specialist — for newly diagnosed patients</w:t>
                  </w:r>
                </w:p>
                <w:p>
                  <w:pPr>
                    <w:spacing w:after="20" w:before="4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06D77"/>
                      <w:sz w:val="18"/>
                      <w:szCs w:val="18"/>
                    </w:rPr>
                    <w:t xml:space="preserve">Patient support: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Terrence Higgins Trust (THT): www.tht.org.uk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National AIDS Trust (NAT): www.nat.org.uk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HIV i-Base: i-base.info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after="30" w:before="3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2C3E50"/>
                      <w:sz w:val="18"/>
                      <w:szCs w:val="18"/>
                    </w:rPr>
                    <w:t xml:space="preserve">NHS HIV pages: www.nhs.uk/conditions/hiv-and-aids</w:t>
                  </w:r>
                </w:p>
              </w:tc>
            </w:tr>
          </w:tbl>
          <w:p/>
        </w:tc>
      </w:tr>
    </w:tbl>
    <w:p>
      <w:pPr>
        <w:spacing w:after="120" w:before="0"/>
      </w:pPr>
    </w:p>
    <w:p>
      <w:pPr>
        <w:pBdr>
          <w:top w:val="single" w:color="DDDDDD" w:sz="4" w:space="4"/>
        </w:pBdr>
        <w:spacing w:after="40" w:before="80"/>
        <w:jc w:val="center"/>
      </w:pPr>
      <w:r>
        <w:rPr>
          <w:rFonts w:ascii="Arial" w:cs="Arial" w:eastAsia="Arial" w:hAnsi="Arial"/>
          <w:color w:val="888888"/>
          <w:sz w:val="15"/>
          <w:szCs w:val="15"/>
        </w:rPr>
        <w:t xml:space="preserve">Sources: NICE NG60 (updated September 2025)  |  BHIVA/BASHH/BIA HIV Testing Guidelines 2020  |  HIV Action Plan for England 2025–2030  |  GMC Confidentiality Guidance</w:t>
      </w:r>
    </w:p>
    <w:sectPr>
      <w:headerReference w:type="default" r:id="rId7"/>
      <w:footerReference w:type="default" r:id="rId8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640A" w:sz="4" w:space="4"/>
      </w:pBdr>
      <w:spacing w:before="80"/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DISCLAIMER: This document is provided exclusively for educational and training purposes as a teaching aid. It does not constitute formal clinical guidance. Clinicians must independently verify all medical information, prescribing guidance, and protocols against current national guidance (NICE NG60, BHIVA/BASHH 2020), local policies, and relevant regulatory bodies before applying in practice.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466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7200"/>
      <w:gridCol w:w="3266"/>
    </w:tblGrid>
    <w:tr>
      <w:tc>
        <w:tcPr>
          <w:tcBorders>
            <w:top w:val="none"/>
            <w:left w:val="none"/>
            <w:bottom w:val="none"/>
            <w:right w:val="none"/>
          </w:tcBorders>
          <w:shd w:fill="E8640A" w:val="clear"/>
          <w:tcMar>
            <w:top w:type="dxa" w:w="100"/>
            <w:left w:type="dxa" w:w="200"/>
            <w:bottom w:type="dxa" w:w="100"/>
            <w:right w:type="dxa" w:w="20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8"/>
              <w:szCs w:val="28"/>
            </w:rPr>
            <w:t xml:space="preserve">BRADFORD VTS TEACHING AIDS</w:t>
          </w:r>
        </w:p>
        <w:p>
          <w:pPr>
            <w:spacing w:after="0" w:before="20"/>
          </w:pPr>
          <w:r>
            <w:rPr>
              <w:rFonts w:ascii="Arial" w:cs="Arial" w:eastAsia="Arial" w:hAnsi="Arial"/>
              <w:color w:val="FFFFFF"/>
              <w:sz w:val="18"/>
              <w:szCs w:val="18"/>
            </w:rPr>
            <w:t xml:space="preserve">Date: May 2026</w:t>
          </w:r>
        </w:p>
      </w:tc>
      <w:tc>
        <w:tcPr>
          <w:tcBorders>
            <w:top w:val="none"/>
            <w:left w:val="none"/>
            <w:bottom w:val="none"/>
            <w:right w:val="none"/>
          </w:tcBorders>
          <w:shd w:fill="2C3E50" w:val="clear"/>
          <w:tcMar>
            <w:top w:type="dxa" w:w="80"/>
            <w:left w:type="dxa" w:w="160"/>
            <w:bottom w:type="dxa" w:w="80"/>
            <w:right w:type="dxa" w:w="160"/>
          </w:tcMar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FFFFFF"/>
              <w:sz w:val="18"/>
              <w:szCs w:val="18"/>
            </w:rPr>
            <w:t xml:space="preserve">HIV TESTING &amp; PRE-TEST DISCUSSION</w:t>
          </w:r>
        </w:p>
        <w:p>
          <w:pPr>
            <w:spacing w:after="0" w:before="20"/>
            <w:jc w:val="right"/>
          </w:pPr>
          <w:r>
            <w:rPr>
              <w:rFonts w:ascii="Arial" w:cs="Arial" w:eastAsia="Arial" w:hAnsi="Arial"/>
              <w:color w:val="BBBBBB"/>
              <w:sz w:val="16"/>
              <w:szCs w:val="16"/>
            </w:rPr>
            <w:t xml:space="preserve">A GP's Concise Guide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◦"/>
      <w:lvlJc w:val="left"/>
      <w:pPr>
        <w:ind w:left="720" w:hanging="24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C3E5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2026-05-25T16:17:26.444Z</dcterms:created>
  <dcterms:modified xsi:type="dcterms:W3CDTF">2026-05-25T16:17:26.444Z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