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0"/>
      </w:tblGrid>
      <w:tr w:rsidR="00A703AE" w14:paraId="3ECF2EF6" w14:textId="77777777">
        <w:trPr>
          <w:jc w:val="center"/>
        </w:trPr>
        <w:tc>
          <w:tcPr>
            <w:tcW w:w="9360" w:type="dxa"/>
            <w:shd w:val="clear" w:color="auto" w:fill="E0651F"/>
          </w:tcPr>
          <w:p w14:paraId="53A56196" w14:textId="77777777" w:rsidR="00A703AE" w:rsidRDefault="00A703AE"/>
          <w:p w14:paraId="0A9D9EE6" w14:textId="77777777" w:rsidR="00A703AE" w:rsidRDefault="00000000">
            <w:pPr>
              <w:jc w:val="center"/>
            </w:pPr>
            <w:r>
              <w:rPr>
                <w:rFonts w:ascii="Calibri" w:hAnsi="Calibri"/>
                <w:b/>
                <w:color w:val="FFFFFF"/>
              </w:rPr>
              <w:t>BRADFORD VTS TEACHING AIDS</w:t>
            </w:r>
          </w:p>
          <w:p w14:paraId="5BE58424" w14:textId="77777777" w:rsidR="00A703AE" w:rsidRDefault="00000000">
            <w:pPr>
              <w:jc w:val="center"/>
            </w:pPr>
            <w:r>
              <w:rPr>
                <w:rFonts w:ascii="Calibri" w:hAnsi="Calibri"/>
                <w:b/>
                <w:color w:val="FFFFFF"/>
                <w:sz w:val="52"/>
              </w:rPr>
              <w:t>OSCE Station: Chlamydia</w:t>
            </w:r>
          </w:p>
          <w:p w14:paraId="0F0B47D3" w14:textId="77777777" w:rsidR="00A703AE" w:rsidRDefault="00000000">
            <w:pPr>
              <w:jc w:val="center"/>
            </w:pPr>
            <w:r>
              <w:rPr>
                <w:rFonts w:ascii="Calibri" w:hAnsi="Calibri"/>
                <w:i/>
                <w:color w:val="FFFFFF"/>
              </w:rPr>
              <w:t>Clinical Teaching Resource · Bradford VTS · May 2026</w:t>
            </w:r>
          </w:p>
        </w:tc>
      </w:tr>
    </w:tbl>
    <w:p w14:paraId="2D496DE2" w14:textId="77777777" w:rsidR="00A703AE" w:rsidRDefault="00A703AE"/>
    <w:p w14:paraId="75093AC2" w14:textId="77777777" w:rsidR="00A703AE" w:rsidRDefault="00000000">
      <w:r>
        <w:rPr>
          <w:rFonts w:ascii="Calibri" w:hAnsi="Calibri"/>
          <w:b/>
          <w:color w:val="1B3C8A"/>
          <w:sz w:val="32"/>
        </w:rPr>
        <w:t>Clinical Scenario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A703AE" w14:paraId="19041C1B" w14:textId="77777777">
        <w:tc>
          <w:tcPr>
            <w:tcW w:w="9972" w:type="dxa"/>
            <w:shd w:val="clear" w:color="auto" w:fill="E8F4FD"/>
          </w:tcPr>
          <w:p w14:paraId="7E202580" w14:textId="77777777" w:rsidR="00A703AE" w:rsidRDefault="00A703AE"/>
          <w:p w14:paraId="324B979C" w14:textId="77777777" w:rsidR="00A703AE" w:rsidRDefault="00000000">
            <w:r>
              <w:rPr>
                <w:rFonts w:ascii="Calibri" w:hAnsi="Calibri"/>
                <w:sz w:val="21"/>
              </w:rPr>
              <w:t>You are covering for Dr Flowers who is on holiday. A pathology result arrives for:</w:t>
            </w:r>
            <w:r>
              <w:rPr>
                <w:rFonts w:ascii="Calibri" w:hAnsi="Calibri"/>
                <w:sz w:val="21"/>
              </w:rPr>
              <w:br/>
            </w:r>
            <w:r>
              <w:rPr>
                <w:rFonts w:ascii="Calibri" w:hAnsi="Calibri"/>
                <w:sz w:val="21"/>
              </w:rPr>
              <w:br/>
              <w:t>Chloe Brown, DOB 25/01/1983</w:t>
            </w:r>
            <w:r>
              <w:rPr>
                <w:rFonts w:ascii="Calibri" w:hAnsi="Calibri"/>
                <w:sz w:val="21"/>
              </w:rPr>
              <w:br/>
              <w:t>HVS: Negative for Candida, Gonorrhoea, Trichomonas, BV</w:t>
            </w:r>
            <w:r>
              <w:rPr>
                <w:rFonts w:ascii="Calibri" w:hAnsi="Calibri"/>
                <w:sz w:val="21"/>
              </w:rPr>
              <w:br/>
              <w:t>Cervical swab for Chlamydia: POSITIVE</w:t>
            </w:r>
            <w:r>
              <w:rPr>
                <w:rFonts w:ascii="Calibri" w:hAnsi="Calibri"/>
                <w:sz w:val="21"/>
              </w:rPr>
              <w:br/>
            </w:r>
            <w:r>
              <w:rPr>
                <w:rFonts w:ascii="Calibri" w:hAnsi="Calibri"/>
                <w:sz w:val="21"/>
              </w:rPr>
              <w:br/>
              <w:t>The consultation note reads: "Pill check and routine smear (1st ever). Slight breakthrough bleeding recently. Cervix looks a bit inflamed. Swabs sent as well as smear."</w:t>
            </w:r>
            <w:r>
              <w:rPr>
                <w:rFonts w:ascii="Calibri" w:hAnsi="Calibri"/>
                <w:sz w:val="21"/>
              </w:rPr>
              <w:br/>
            </w:r>
            <w:r>
              <w:rPr>
                <w:rFonts w:ascii="Calibri" w:hAnsi="Calibri"/>
                <w:sz w:val="21"/>
              </w:rPr>
              <w:br/>
              <w:t>What do you do next?</w:t>
            </w:r>
          </w:p>
        </w:tc>
      </w:tr>
    </w:tbl>
    <w:p w14:paraId="4DB708E1" w14:textId="77777777" w:rsidR="00A703AE" w:rsidRDefault="00A703AE"/>
    <w:p w14:paraId="2F3DA649" w14:textId="77777777" w:rsidR="000D102E" w:rsidRDefault="000D102E">
      <w:pPr>
        <w:rPr>
          <w:rFonts w:ascii="Calibri" w:hAnsi="Calibri"/>
          <w:b/>
          <w:color w:val="1B3C8A"/>
          <w:sz w:val="32"/>
        </w:rPr>
      </w:pPr>
      <w:r>
        <w:rPr>
          <w:rFonts w:ascii="Calibri" w:hAnsi="Calibri"/>
          <w:b/>
          <w:color w:val="1B3C8A"/>
          <w:sz w:val="32"/>
        </w:rPr>
        <w:br w:type="page"/>
      </w:r>
    </w:p>
    <w:p w14:paraId="01DC8E1D" w14:textId="123FA8DB" w:rsidR="00A703AE" w:rsidRDefault="00000000">
      <w:r>
        <w:rPr>
          <w:rFonts w:ascii="Calibri" w:hAnsi="Calibri"/>
          <w:b/>
          <w:color w:val="1B3C8A"/>
          <w:sz w:val="32"/>
        </w:rPr>
        <w:lastRenderedPageBreak/>
        <w:t>Key Discussion Points</w:t>
      </w:r>
    </w:p>
    <w:p w14:paraId="05449102" w14:textId="77777777" w:rsidR="00A703AE" w:rsidRDefault="00000000">
      <w:r>
        <w:rPr>
          <w:rFonts w:ascii="Calibri" w:hAnsi="Calibri"/>
          <w:b/>
          <w:sz w:val="26"/>
        </w:rPr>
        <w:t>1. Contacting the patient — confidentiality first</w:t>
      </w:r>
    </w:p>
    <w:p w14:paraId="327B9C1F" w14:textId="77777777" w:rsidR="00A703AE" w:rsidRDefault="00000000">
      <w:pPr>
        <w:pStyle w:val="ListBullet"/>
      </w:pPr>
      <w:r>
        <w:rPr>
          <w:rFonts w:ascii="Calibri" w:hAnsi="Calibri"/>
          <w:sz w:val="21"/>
        </w:rPr>
        <w:t>Do not leave a message with specific clinical details — say only "please ring the surgery about a routine result"</w:t>
      </w:r>
    </w:p>
    <w:p w14:paraId="4B212A0B" w14:textId="77777777" w:rsidR="00A703AE" w:rsidRDefault="00000000">
      <w:pPr>
        <w:pStyle w:val="ListBullet"/>
      </w:pPr>
      <w:r>
        <w:rPr>
          <w:rFonts w:ascii="Calibri" w:hAnsi="Calibri"/>
          <w:sz w:val="21"/>
        </w:rPr>
        <w:t>If another person answers the phone: do NOT disclose diagnosis — ask for patient to ring back</w:t>
      </w:r>
    </w:p>
    <w:p w14:paraId="5256BBF4" w14:textId="77777777" w:rsidR="00A703AE" w:rsidRDefault="00000000">
      <w:pPr>
        <w:pStyle w:val="ListBullet"/>
      </w:pPr>
      <w:r>
        <w:rPr>
          <w:rFonts w:ascii="Calibri" w:hAnsi="Calibri"/>
          <w:sz w:val="21"/>
        </w:rPr>
        <w:t>Consider: does patient have a partner who also needs notifying?</w:t>
      </w:r>
    </w:p>
    <w:p w14:paraId="64755A9A" w14:textId="77777777" w:rsidR="00A703AE" w:rsidRDefault="00000000">
      <w:pPr>
        <w:pStyle w:val="ListBullet"/>
      </w:pPr>
      <w:r>
        <w:rPr>
          <w:rFonts w:ascii="Calibri" w:hAnsi="Calibri"/>
          <w:sz w:val="21"/>
        </w:rPr>
        <w:t>Confirm what she was told when swabs were taken — did she give informed consent for results to be shared?</w:t>
      </w:r>
    </w:p>
    <w:p w14:paraId="0521B36B" w14:textId="77777777" w:rsidR="00A703AE" w:rsidRDefault="00000000">
      <w:pPr>
        <w:pStyle w:val="ListBullet"/>
      </w:pPr>
      <w:r>
        <w:rPr>
          <w:rFonts w:ascii="Calibri" w:hAnsi="Calibri"/>
          <w:sz w:val="21"/>
        </w:rPr>
        <w:t>Check and respect her communication preferences on the records</w:t>
      </w:r>
    </w:p>
    <w:p w14:paraId="78ECD1CE" w14:textId="77777777" w:rsidR="00A703AE" w:rsidRDefault="00000000">
      <w:r>
        <w:rPr>
          <w:rFonts w:ascii="Calibri" w:hAnsi="Calibri"/>
          <w:b/>
          <w:sz w:val="26"/>
        </w:rPr>
        <w:t>2. Epidemiology of Chlamydia (updated BASHH 2024)</w:t>
      </w:r>
    </w:p>
    <w:p w14:paraId="3039C60C" w14:textId="77777777" w:rsidR="00A703AE" w:rsidRDefault="00000000">
      <w:pPr>
        <w:pStyle w:val="ListBullet"/>
      </w:pPr>
      <w:r>
        <w:rPr>
          <w:rFonts w:ascii="Calibri" w:hAnsi="Calibri"/>
          <w:sz w:val="21"/>
        </w:rPr>
        <w:t>Most common bacterial STI in the UK — &gt;170,000 diagnoses per year</w:t>
      </w:r>
    </w:p>
    <w:p w14:paraId="336F77BA" w14:textId="77777777" w:rsidR="00A703AE" w:rsidRDefault="00000000">
      <w:pPr>
        <w:pStyle w:val="ListBullet"/>
      </w:pPr>
      <w:r>
        <w:rPr>
          <w:rFonts w:ascii="Calibri" w:hAnsi="Calibri"/>
          <w:sz w:val="21"/>
        </w:rPr>
        <w:t>Highest rates in sexually active 15–24 year olds</w:t>
      </w:r>
    </w:p>
    <w:p w14:paraId="5650EB58" w14:textId="77777777" w:rsidR="00A703AE" w:rsidRDefault="00000000">
      <w:pPr>
        <w:pStyle w:val="ListBullet"/>
      </w:pPr>
      <w:r>
        <w:rPr>
          <w:rFonts w:ascii="Calibri" w:hAnsi="Calibri"/>
          <w:sz w:val="21"/>
        </w:rPr>
        <w:t>Asymptomatic in 70–80% of women; 50% of men</w:t>
      </w:r>
    </w:p>
    <w:p w14:paraId="79616176" w14:textId="77777777" w:rsidR="00A703AE" w:rsidRDefault="00000000">
      <w:pPr>
        <w:pStyle w:val="ListBullet"/>
      </w:pPr>
      <w:r>
        <w:rPr>
          <w:rFonts w:ascii="Calibri" w:hAnsi="Calibri"/>
          <w:sz w:val="21"/>
        </w:rPr>
        <w:t>National Chlamydia Screening Programme (NCSP): offer to all &lt;25 year olds</w:t>
      </w:r>
    </w:p>
    <w:p w14:paraId="27E4EB8C" w14:textId="77777777" w:rsidR="00A703AE" w:rsidRDefault="00000000">
      <w:pPr>
        <w:pStyle w:val="ListBullet"/>
      </w:pPr>
      <w:r>
        <w:rPr>
          <w:rFonts w:ascii="Calibri" w:hAnsi="Calibri"/>
          <w:sz w:val="21"/>
        </w:rPr>
        <w:t>Prevalence estimated at 2–4% in sexually active young adults</w:t>
      </w:r>
    </w:p>
    <w:p w14:paraId="142D211F" w14:textId="77777777" w:rsidR="00A703AE" w:rsidRDefault="00000000">
      <w:r>
        <w:rPr>
          <w:rFonts w:ascii="Calibri" w:hAnsi="Calibri"/>
          <w:b/>
          <w:sz w:val="26"/>
        </w:rPr>
        <w:t>3. Clinical Features and Complications</w:t>
      </w:r>
    </w:p>
    <w:p w14:paraId="225C4BC6" w14:textId="77777777" w:rsidR="00A703AE" w:rsidRDefault="00000000">
      <w:pPr>
        <w:pStyle w:val="ListBullet"/>
      </w:pPr>
      <w:r>
        <w:rPr>
          <w:rFonts w:ascii="Calibri" w:hAnsi="Calibri"/>
          <w:sz w:val="21"/>
        </w:rPr>
        <w:t>Women: usually asymptomatic; post-coital/intermenstrual bleeding; purulent vaginal discharge; dysuria; lower abdominal pain</w:t>
      </w:r>
    </w:p>
    <w:p w14:paraId="49D3B688" w14:textId="77777777" w:rsidR="00A703AE" w:rsidRDefault="00000000">
      <w:pPr>
        <w:pStyle w:val="ListBullet"/>
      </w:pPr>
      <w:r>
        <w:rPr>
          <w:rFonts w:ascii="Calibri" w:hAnsi="Calibri"/>
          <w:sz w:val="21"/>
        </w:rPr>
        <w:t>Cervicitis; cervical contact bleeding — as seen in Chloe's case</w:t>
      </w:r>
    </w:p>
    <w:p w14:paraId="5A0E63CF" w14:textId="77777777" w:rsidR="00A703AE" w:rsidRDefault="00000000">
      <w:pPr>
        <w:pStyle w:val="ListBullet"/>
      </w:pPr>
      <w:r>
        <w:rPr>
          <w:rFonts w:ascii="Calibri" w:hAnsi="Calibri"/>
          <w:sz w:val="21"/>
        </w:rPr>
        <w:t>Complications: PID, ectopic pregnancy, tubal infertility, epididymo-orchitis (men), neonatal conjunctivitis/pneumonitis</w:t>
      </w:r>
    </w:p>
    <w:p w14:paraId="7517E552" w14:textId="77777777" w:rsidR="00A703AE" w:rsidRDefault="00000000">
      <w:pPr>
        <w:pStyle w:val="ListBullet"/>
      </w:pPr>
      <w:r>
        <w:rPr>
          <w:rFonts w:ascii="Calibri" w:hAnsi="Calibri"/>
          <w:sz w:val="21"/>
        </w:rPr>
        <w:t>Fitz-Hugh-Curtis syndrome (perihepatitis) — right upper quadrant pain mimicking hepatitis</w:t>
      </w:r>
    </w:p>
    <w:p w14:paraId="30C574EC" w14:textId="77777777" w:rsidR="00A703AE" w:rsidRDefault="00000000">
      <w:pPr>
        <w:pStyle w:val="ListBullet"/>
      </w:pPr>
      <w:r>
        <w:rPr>
          <w:rFonts w:ascii="Calibri" w:hAnsi="Calibri"/>
          <w:sz w:val="21"/>
        </w:rPr>
        <w:t>Reiter's syndrome (reactive arthritis): urethritis + arthritis + conjunctivitis/uveitis + skin changes</w:t>
      </w:r>
    </w:p>
    <w:p w14:paraId="22235E93" w14:textId="77777777" w:rsidR="00A703AE" w:rsidRDefault="00000000">
      <w:r>
        <w:rPr>
          <w:rFonts w:ascii="Calibri" w:hAnsi="Calibri"/>
          <w:b/>
          <w:sz w:val="26"/>
        </w:rPr>
        <w:t>4. Diagnosis</w:t>
      </w:r>
    </w:p>
    <w:p w14:paraId="41EFE2E7" w14:textId="77777777" w:rsidR="00A703AE" w:rsidRDefault="00000000">
      <w:pPr>
        <w:pStyle w:val="ListBullet"/>
      </w:pPr>
      <w:r>
        <w:rPr>
          <w:rFonts w:ascii="Calibri" w:hAnsi="Calibri"/>
          <w:sz w:val="21"/>
        </w:rPr>
        <w:t>NAAT (nucleic acid amplification test) — gold standard; high sensitivity and specificity</w:t>
      </w:r>
    </w:p>
    <w:p w14:paraId="2AE085EC" w14:textId="77777777" w:rsidR="00A703AE" w:rsidRDefault="00000000">
      <w:pPr>
        <w:pStyle w:val="ListBullet"/>
      </w:pPr>
      <w:r>
        <w:rPr>
          <w:rFonts w:ascii="Calibri" w:hAnsi="Calibri"/>
          <w:sz w:val="21"/>
        </w:rPr>
        <w:t>Vulvo-vaginal swab (VVS) preferred for self-taken samples; endocervical swab acceptable</w:t>
      </w:r>
    </w:p>
    <w:p w14:paraId="027E6596" w14:textId="77777777" w:rsidR="00A703AE" w:rsidRDefault="00000000">
      <w:pPr>
        <w:pStyle w:val="ListBullet"/>
      </w:pPr>
      <w:r>
        <w:rPr>
          <w:rFonts w:ascii="Calibri" w:hAnsi="Calibri"/>
          <w:sz w:val="21"/>
        </w:rPr>
        <w:t>Men: first-catch urine (held for at least 1 hour before collection)</w:t>
      </w:r>
    </w:p>
    <w:p w14:paraId="460BDD78" w14:textId="77777777" w:rsidR="00A703AE" w:rsidRDefault="00000000">
      <w:pPr>
        <w:pStyle w:val="ListBullet"/>
      </w:pPr>
      <w:r>
        <w:rPr>
          <w:rFonts w:ascii="Calibri" w:hAnsi="Calibri"/>
          <w:sz w:val="21"/>
        </w:rPr>
        <w:t>Additional sites if exposed: rectal swab, pharyngeal swab (especially MSM)</w:t>
      </w:r>
    </w:p>
    <w:p w14:paraId="503C245B" w14:textId="77777777" w:rsidR="00A703AE" w:rsidRDefault="00000000">
      <w:pPr>
        <w:pStyle w:val="ListBullet"/>
      </w:pPr>
      <w:r>
        <w:rPr>
          <w:rFonts w:ascii="Calibri" w:hAnsi="Calibri"/>
          <w:sz w:val="21"/>
        </w:rPr>
        <w:t>NOT diagnosed on standard HVS — chlamydia requires specific NAAT</w:t>
      </w:r>
    </w:p>
    <w:p w14:paraId="2E4B86C9" w14:textId="77777777" w:rsidR="00A703AE" w:rsidRDefault="00000000">
      <w:r>
        <w:rPr>
          <w:rFonts w:ascii="Calibri" w:hAnsi="Calibri"/>
          <w:b/>
          <w:sz w:val="26"/>
        </w:rPr>
        <w:t>5. Treatment — UPDATED BASHH 2024</w:t>
      </w:r>
    </w:p>
    <w:p w14:paraId="227E8AB0" w14:textId="77777777" w:rsidR="00A703AE" w:rsidRDefault="00000000">
      <w:pPr>
        <w:pStyle w:val="ListBullet"/>
      </w:pPr>
      <w:r>
        <w:rPr>
          <w:rFonts w:ascii="Calibri" w:hAnsi="Calibri"/>
          <w:sz w:val="21"/>
        </w:rPr>
        <w:t>⭐ FIRST LINE: Doxycycline 100mg twice daily for 7 days (UPDATED — superior cure rate)</w:t>
      </w:r>
    </w:p>
    <w:p w14:paraId="6B9B4838" w14:textId="77777777" w:rsidR="00A703AE" w:rsidRDefault="00000000">
      <w:pPr>
        <w:pStyle w:val="ListBullet"/>
      </w:pPr>
      <w:r>
        <w:rPr>
          <w:rFonts w:ascii="Calibri" w:hAnsi="Calibri"/>
          <w:sz w:val="21"/>
        </w:rPr>
        <w:t>Note: Azithromycin 1g stat has been DOWNGRADED — lower cure rate per updated BASHH 2024 evidence</w:t>
      </w:r>
    </w:p>
    <w:p w14:paraId="3F2E74B8" w14:textId="77777777" w:rsidR="00A703AE" w:rsidRDefault="00000000">
      <w:pPr>
        <w:pStyle w:val="ListBullet"/>
      </w:pPr>
      <w:r>
        <w:rPr>
          <w:rFonts w:ascii="Calibri" w:hAnsi="Calibri"/>
          <w:sz w:val="21"/>
        </w:rPr>
        <w:t>If pregnant/breastfeeding: Azithromycin 1g stat then 500mg daily for 2 further days</w:t>
      </w:r>
    </w:p>
    <w:p w14:paraId="744091BB" w14:textId="77777777" w:rsidR="00A703AE" w:rsidRDefault="00000000">
      <w:pPr>
        <w:pStyle w:val="ListBullet"/>
      </w:pPr>
      <w:r>
        <w:rPr>
          <w:rFonts w:ascii="Calibri" w:hAnsi="Calibri"/>
          <w:sz w:val="21"/>
        </w:rPr>
        <w:t>Advise: abstain from sex (even with condom) until patient AND partner(s) complete treatment</w:t>
      </w:r>
    </w:p>
    <w:p w14:paraId="6C23996F" w14:textId="77777777" w:rsidR="00A703AE" w:rsidRDefault="00000000">
      <w:pPr>
        <w:pStyle w:val="ListBullet"/>
      </w:pPr>
      <w:r>
        <w:rPr>
          <w:rFonts w:ascii="Calibri" w:hAnsi="Calibri"/>
          <w:sz w:val="21"/>
        </w:rPr>
        <w:t>No test of cure required routinely (except pregnancy, erythromycin use)</w:t>
      </w:r>
    </w:p>
    <w:p w14:paraId="6FB05317" w14:textId="77777777" w:rsidR="000D102E" w:rsidRDefault="000D102E">
      <w:pPr>
        <w:rPr>
          <w:rFonts w:ascii="Calibri" w:hAnsi="Calibri"/>
          <w:b/>
          <w:sz w:val="26"/>
        </w:rPr>
      </w:pPr>
      <w:r>
        <w:rPr>
          <w:rFonts w:ascii="Calibri" w:hAnsi="Calibri"/>
          <w:b/>
          <w:sz w:val="26"/>
        </w:rPr>
        <w:br w:type="page"/>
      </w:r>
    </w:p>
    <w:p w14:paraId="2CC223BF" w14:textId="6B21185B" w:rsidR="00A703AE" w:rsidRDefault="00000000">
      <w:r>
        <w:rPr>
          <w:rFonts w:ascii="Calibri" w:hAnsi="Calibri"/>
          <w:b/>
          <w:sz w:val="26"/>
        </w:rPr>
        <w:lastRenderedPageBreak/>
        <w:t>6. Managing the Consultation with Chloe</w:t>
      </w:r>
    </w:p>
    <w:p w14:paraId="2EE229EF" w14:textId="77777777" w:rsidR="00A703AE" w:rsidRDefault="00000000">
      <w:pPr>
        <w:pStyle w:val="ListBullet"/>
      </w:pPr>
      <w:r>
        <w:rPr>
          <w:rFonts w:ascii="Calibri" w:hAnsi="Calibri"/>
          <w:sz w:val="21"/>
        </w:rPr>
        <w:t>Begin with open questioning — check what she knows and her expectations</w:t>
      </w:r>
    </w:p>
    <w:p w14:paraId="356F7D9B" w14:textId="77777777" w:rsidR="00A703AE" w:rsidRDefault="00000000">
      <w:pPr>
        <w:pStyle w:val="ListBullet"/>
      </w:pPr>
      <w:r>
        <w:rPr>
          <w:rFonts w:ascii="Calibri" w:hAnsi="Calibri"/>
          <w:sz w:val="21"/>
        </w:rPr>
        <w:t>Give the result clearly and directly: "The result shows you have an infection called chlamydia"</w:t>
      </w:r>
    </w:p>
    <w:p w14:paraId="11327D9A" w14:textId="77777777" w:rsidR="00A703AE" w:rsidRDefault="00000000">
      <w:pPr>
        <w:pStyle w:val="ListBullet"/>
      </w:pPr>
      <w:r>
        <w:rPr>
          <w:rFonts w:ascii="Calibri" w:hAnsi="Calibri"/>
          <w:sz w:val="21"/>
        </w:rPr>
        <w:t>Explain: what chlamydia is; how it is treated; partner notification; abstinence until treatment complete</w:t>
      </w:r>
    </w:p>
    <w:p w14:paraId="59092BB3" w14:textId="77777777" w:rsidR="00A703AE" w:rsidRDefault="00000000">
      <w:pPr>
        <w:pStyle w:val="ListBullet"/>
      </w:pPr>
      <w:r>
        <w:rPr>
          <w:rFonts w:ascii="Calibri" w:hAnsi="Calibri"/>
          <w:sz w:val="21"/>
        </w:rPr>
        <w:t>Explore: any symptoms? Recent partners? Current relationship? Reaction to news?</w:t>
      </w:r>
    </w:p>
    <w:p w14:paraId="4FDE590E" w14:textId="77777777" w:rsidR="00A703AE" w:rsidRDefault="00000000">
      <w:pPr>
        <w:pStyle w:val="ListBullet"/>
      </w:pPr>
      <w:r>
        <w:rPr>
          <w:rFonts w:ascii="Calibri" w:hAnsi="Calibri"/>
          <w:sz w:val="21"/>
        </w:rPr>
        <w:t>Discuss implications: treatment plan, follow-up, confidentiality of diagnosis</w:t>
      </w:r>
    </w:p>
    <w:p w14:paraId="200B3E90" w14:textId="77777777" w:rsidR="00A703AE" w:rsidRDefault="00000000">
      <w:pPr>
        <w:pStyle w:val="ListBullet"/>
      </w:pPr>
      <w:r>
        <w:rPr>
          <w:rFonts w:ascii="Calibri" w:hAnsi="Calibri"/>
          <w:sz w:val="21"/>
        </w:rPr>
        <w:t>Breaking bad news skills: SPIKES approach — Setting, Perception, Invitation, Knowledge, Emotions, Strategy</w:t>
      </w:r>
    </w:p>
    <w:p w14:paraId="6A6BD0EF" w14:textId="77777777" w:rsidR="00A703AE" w:rsidRDefault="00000000">
      <w:pPr>
        <w:pStyle w:val="ListBullet"/>
      </w:pPr>
      <w:r>
        <w:rPr>
          <w:rFonts w:ascii="Calibri" w:hAnsi="Calibri"/>
          <w:sz w:val="21"/>
        </w:rPr>
        <w:t>Safety-net: if symptoms worsen (lower abdominal pain, fever) — see GP urgently; rule out PID</w:t>
      </w:r>
    </w:p>
    <w:p w14:paraId="453B4A9F" w14:textId="77777777" w:rsidR="00A703AE" w:rsidRDefault="00000000">
      <w:r>
        <w:rPr>
          <w:rFonts w:ascii="Calibri" w:hAnsi="Calibri"/>
          <w:b/>
          <w:sz w:val="26"/>
        </w:rPr>
        <w:t>7. Partner Notification</w:t>
      </w:r>
    </w:p>
    <w:p w14:paraId="0EAAA1E3" w14:textId="77777777" w:rsidR="00A703AE" w:rsidRDefault="00000000">
      <w:pPr>
        <w:pStyle w:val="ListBullet"/>
      </w:pPr>
      <w:r>
        <w:rPr>
          <w:rFonts w:ascii="Calibri" w:hAnsi="Calibri"/>
          <w:sz w:val="21"/>
        </w:rPr>
        <w:t>Essential — discuss sensitively but directly</w:t>
      </w:r>
    </w:p>
    <w:p w14:paraId="43113910" w14:textId="77777777" w:rsidR="00A703AE" w:rsidRDefault="00000000">
      <w:pPr>
        <w:pStyle w:val="ListBullet"/>
      </w:pPr>
      <w:r>
        <w:rPr>
          <w:rFonts w:ascii="Calibri" w:hAnsi="Calibri"/>
          <w:sz w:val="21"/>
        </w:rPr>
        <w:t>Look-back period: at least last 6 months (or last partner if longer)</w:t>
      </w:r>
    </w:p>
    <w:p w14:paraId="06C6EC1D" w14:textId="77777777" w:rsidR="00A703AE" w:rsidRDefault="00000000">
      <w:pPr>
        <w:pStyle w:val="ListBullet"/>
      </w:pPr>
      <w:r>
        <w:rPr>
          <w:rFonts w:ascii="Calibri" w:hAnsi="Calibri"/>
          <w:sz w:val="21"/>
        </w:rPr>
        <w:t>Options: patient tells partner(s) themselves (patient referral) OR GUM service contacts anonymously (provider referral)</w:t>
      </w:r>
    </w:p>
    <w:p w14:paraId="185CCB16" w14:textId="77777777" w:rsidR="00A703AE" w:rsidRDefault="00000000">
      <w:pPr>
        <w:pStyle w:val="ListBullet"/>
      </w:pPr>
      <w:r>
        <w:rPr>
          <w:rFonts w:ascii="Calibri" w:hAnsi="Calibri"/>
          <w:sz w:val="21"/>
        </w:rPr>
        <w:t>Digital partner notification: GUM can send anonymous SMS/email</w:t>
      </w:r>
    </w:p>
    <w:p w14:paraId="3AE7C776" w14:textId="77777777" w:rsidR="00A703AE" w:rsidRDefault="00000000">
      <w:pPr>
        <w:pStyle w:val="ListBullet"/>
      </w:pPr>
      <w:r>
        <w:rPr>
          <w:rFonts w:ascii="Calibri" w:hAnsi="Calibri"/>
          <w:sz w:val="21"/>
        </w:rPr>
        <w:t>Epidemiological treatment: partner should be treated even if tested negative (tests can be falsely negative)</w:t>
      </w:r>
    </w:p>
    <w:p w14:paraId="68DBC3BF" w14:textId="77777777" w:rsidR="00A703AE" w:rsidRDefault="00000000">
      <w:pPr>
        <w:pStyle w:val="ListBullet"/>
      </w:pPr>
      <w:r>
        <w:rPr>
          <w:rFonts w:ascii="Calibri" w:hAnsi="Calibri"/>
          <w:sz w:val="21"/>
        </w:rPr>
        <w:t>Partners do NOT need to disclose who told them — reassure about anonymity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A703AE" w14:paraId="5B8E0AF2" w14:textId="77777777">
        <w:tc>
          <w:tcPr>
            <w:tcW w:w="9972" w:type="dxa"/>
            <w:shd w:val="clear" w:color="auto" w:fill="FFCCCC"/>
          </w:tcPr>
          <w:p w14:paraId="51F153F9" w14:textId="77777777" w:rsidR="00A703AE" w:rsidRDefault="00A703AE"/>
          <w:p w14:paraId="322F4C47" w14:textId="77777777" w:rsidR="00A703AE" w:rsidRDefault="00000000">
            <w:r>
              <w:rPr>
                <w:rFonts w:ascii="Calibri" w:hAnsi="Calibri"/>
                <w:b/>
              </w:rPr>
              <w:t xml:space="preserve">RED FLAG:  </w:t>
            </w:r>
            <w:r>
              <w:rPr>
                <w:rFonts w:ascii="Calibri" w:hAnsi="Calibri"/>
                <w:sz w:val="20"/>
              </w:rPr>
              <w:t>🔴 If Chloe develops lower abdominal pain, fever, deep dyspareunia — consider PID (ascending infection). Treat empirically: Ceftriaxone 1g IM + Doxycycline 100mg BD + Metronidazole 400mg BD for 14 days.</w:t>
            </w:r>
          </w:p>
        </w:tc>
      </w:tr>
    </w:tbl>
    <w:p w14:paraId="7346C6DE" w14:textId="77777777" w:rsidR="00A703AE" w:rsidRDefault="00A703AE"/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A703AE" w14:paraId="2DC56594" w14:textId="77777777">
        <w:tc>
          <w:tcPr>
            <w:tcW w:w="9972" w:type="dxa"/>
            <w:shd w:val="clear" w:color="auto" w:fill="E8E0FF"/>
          </w:tcPr>
          <w:p w14:paraId="7D48347F" w14:textId="77777777" w:rsidR="00A703AE" w:rsidRDefault="00A703AE"/>
          <w:p w14:paraId="5612E419" w14:textId="77777777" w:rsidR="00A703AE" w:rsidRDefault="00000000">
            <w:r>
              <w:rPr>
                <w:rFonts w:ascii="Calibri" w:hAnsi="Calibri"/>
                <w:b/>
              </w:rPr>
              <w:t xml:space="preserve">EXAM TIPS:  </w:t>
            </w:r>
            <w:r>
              <w:rPr>
                <w:rFonts w:ascii="Calibri" w:hAnsi="Calibri"/>
                <w:sz w:val="20"/>
              </w:rPr>
              <w:t>🟣 AKT: First-line treatment for chlamydia is NOW Doxycycline 100mg BD 7 days — NOT azithromycin. SCA: Partner notification is a key consultation skill — explore the patient's feelings and provide practical options.</w:t>
            </w:r>
          </w:p>
        </w:tc>
      </w:tr>
    </w:tbl>
    <w:p w14:paraId="3060C4E3" w14:textId="77777777" w:rsidR="00A703AE" w:rsidRDefault="00A703AE"/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A703AE" w14:paraId="76617EA8" w14:textId="77777777">
        <w:tc>
          <w:tcPr>
            <w:tcW w:w="9972" w:type="dxa"/>
            <w:shd w:val="clear" w:color="auto" w:fill="FFF3CD"/>
          </w:tcPr>
          <w:p w14:paraId="0B6E0858" w14:textId="77777777" w:rsidR="00A703AE" w:rsidRDefault="00A703AE"/>
          <w:p w14:paraId="1742BD36" w14:textId="77777777" w:rsidR="00A703AE" w:rsidRDefault="00000000">
            <w:r>
              <w:rPr>
                <w:rFonts w:ascii="Calibri" w:hAnsi="Calibri"/>
                <w:i/>
                <w:sz w:val="18"/>
              </w:rPr>
              <w:t>⚠ Disclaimer: Always double check this advice and drug doses with the latest NICE/BNF guidance. This document is for educational purposes only.</w:t>
            </w:r>
          </w:p>
        </w:tc>
      </w:tr>
    </w:tbl>
    <w:p w14:paraId="1544DC29" w14:textId="77777777" w:rsidR="00A703AE" w:rsidRDefault="00A703AE"/>
    <w:p w14:paraId="0DBEBE61" w14:textId="77777777" w:rsidR="00A703AE" w:rsidRDefault="00000000">
      <w:pPr>
        <w:jc w:val="center"/>
      </w:pPr>
      <w:r>
        <w:rPr>
          <w:rFonts w:ascii="Calibri" w:hAnsi="Calibri"/>
          <w:color w:val="808080"/>
          <w:sz w:val="16"/>
        </w:rPr>
        <w:t>A free resource provided by www.bradfordvts.co.uk, Dr Ramesh Mehay, revised May 2026</w:t>
      </w:r>
    </w:p>
    <w:sectPr w:rsidR="00A703AE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58861867">
    <w:abstractNumId w:val="8"/>
  </w:num>
  <w:num w:numId="2" w16cid:durableId="1921788991">
    <w:abstractNumId w:val="6"/>
  </w:num>
  <w:num w:numId="3" w16cid:durableId="331953597">
    <w:abstractNumId w:val="5"/>
  </w:num>
  <w:num w:numId="4" w16cid:durableId="1861775329">
    <w:abstractNumId w:val="4"/>
  </w:num>
  <w:num w:numId="5" w16cid:durableId="1692871543">
    <w:abstractNumId w:val="7"/>
  </w:num>
  <w:num w:numId="6" w16cid:durableId="2047560511">
    <w:abstractNumId w:val="3"/>
  </w:num>
  <w:num w:numId="7" w16cid:durableId="159852009">
    <w:abstractNumId w:val="2"/>
  </w:num>
  <w:num w:numId="8" w16cid:durableId="2011180750">
    <w:abstractNumId w:val="1"/>
  </w:num>
  <w:num w:numId="9" w16cid:durableId="680738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102E"/>
    <w:rsid w:val="0015074B"/>
    <w:rsid w:val="0029639D"/>
    <w:rsid w:val="00326F90"/>
    <w:rsid w:val="008E51F3"/>
    <w:rsid w:val="00A703A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318BBD"/>
  <w14:defaultImageDpi w14:val="300"/>
  <w15:docId w15:val="{5F5ECE88-5AF1-4FBF-B932-9597CD86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Ramesh Mehay</cp:lastModifiedBy>
  <cp:revision>3</cp:revision>
  <dcterms:created xsi:type="dcterms:W3CDTF">2013-12-23T23:15:00Z</dcterms:created>
  <dcterms:modified xsi:type="dcterms:W3CDTF">2026-05-24T15:37:00Z</dcterms:modified>
  <cp:category/>
</cp:coreProperties>
</file>