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360"/>
      </w:tblGrid>
      <w:tr w:rsidR="00552ADC" w14:paraId="3CB3578E" w14:textId="77777777">
        <w:trPr>
          <w:jc w:val="center"/>
        </w:trPr>
        <w:tc>
          <w:tcPr>
            <w:tcW w:w="9360" w:type="dxa"/>
            <w:shd w:val="clear" w:color="auto" w:fill="E0651F"/>
          </w:tcPr>
          <w:p w14:paraId="64628E95" w14:textId="77777777" w:rsidR="00552ADC" w:rsidRDefault="00552ADC"/>
          <w:p w14:paraId="3404C6F7" w14:textId="77777777" w:rsidR="00552ADC" w:rsidRDefault="00000000">
            <w:pPr>
              <w:jc w:val="center"/>
            </w:pPr>
            <w:r>
              <w:rPr>
                <w:rFonts w:ascii="Calibri" w:hAnsi="Calibri"/>
                <w:b/>
                <w:color w:val="FFFFFF"/>
              </w:rPr>
              <w:t>BRADFORD VTS TEACHING AIDS</w:t>
            </w:r>
          </w:p>
          <w:p w14:paraId="3651CD98" w14:textId="77777777" w:rsidR="00552ADC" w:rsidRDefault="00000000">
            <w:pPr>
              <w:jc w:val="center"/>
            </w:pPr>
            <w:r>
              <w:rPr>
                <w:rFonts w:ascii="Calibri" w:hAnsi="Calibri"/>
                <w:b/>
                <w:color w:val="FFFFFF"/>
                <w:sz w:val="52"/>
              </w:rPr>
              <w:t>Sexual Health of Gay and Bisexual Men</w:t>
            </w:r>
          </w:p>
          <w:p w14:paraId="7B490E37" w14:textId="77777777" w:rsidR="00552ADC" w:rsidRDefault="00000000">
            <w:pPr>
              <w:jc w:val="center"/>
            </w:pPr>
            <w:r>
              <w:rPr>
                <w:rFonts w:ascii="Calibri" w:hAnsi="Calibri"/>
                <w:i/>
                <w:color w:val="FFFFFF"/>
              </w:rPr>
              <w:t>OSCE &amp; Tutorial Resource · Bradford VTS · May 2026</w:t>
            </w:r>
          </w:p>
        </w:tc>
      </w:tr>
    </w:tbl>
    <w:p w14:paraId="4732BAED" w14:textId="77777777" w:rsidR="00552ADC" w:rsidRDefault="00552ADC"/>
    <w:p w14:paraId="0039F5DC" w14:textId="77777777" w:rsidR="00552ADC" w:rsidRDefault="00000000">
      <w:r>
        <w:rPr>
          <w:rFonts w:ascii="Calibri" w:hAnsi="Calibri"/>
          <w:sz w:val="21"/>
        </w:rPr>
        <w:t>This resource supports GP trainee learning about the sexual health needs of gay and bisexual men (including men who have sex with men, MSM). Updated to BASHH 2024 standards, NHS England LGBTQ+ health guidance, and GMC Good Medical Practice 2024.</w:t>
      </w:r>
    </w:p>
    <w:p w14:paraId="4A99B1A4" w14:textId="77777777" w:rsidR="00552ADC" w:rsidRDefault="00000000">
      <w:r>
        <w:rPr>
          <w:rFonts w:ascii="Calibri" w:hAnsi="Calibri"/>
          <w:b/>
          <w:color w:val="1B3C8A"/>
          <w:sz w:val="32"/>
        </w:rPr>
        <w:t>Learning Aims and Objectives</w:t>
      </w:r>
    </w:p>
    <w:p w14:paraId="0540CDAE" w14:textId="77777777" w:rsidR="00552ADC" w:rsidRDefault="00000000">
      <w:pPr>
        <w:pStyle w:val="ListBullet"/>
      </w:pPr>
      <w:r>
        <w:rPr>
          <w:rFonts w:ascii="Calibri" w:hAnsi="Calibri"/>
          <w:sz w:val="21"/>
        </w:rPr>
        <w:t>Understand the distinction between "gay", "bisexual" and "men who have sex with men (MSM)"</w:t>
      </w:r>
    </w:p>
    <w:p w14:paraId="221F39B2" w14:textId="77777777" w:rsidR="00552ADC" w:rsidRDefault="00000000">
      <w:pPr>
        <w:pStyle w:val="ListBullet"/>
      </w:pPr>
      <w:r>
        <w:rPr>
          <w:rFonts w:ascii="Calibri" w:hAnsi="Calibri"/>
          <w:sz w:val="21"/>
        </w:rPr>
        <w:t>Know why MSM may be reluctant to use primary care services, and how to make practice more inclusive</w:t>
      </w:r>
    </w:p>
    <w:p w14:paraId="22F51EF5" w14:textId="77777777" w:rsidR="00552ADC" w:rsidRDefault="00000000">
      <w:pPr>
        <w:pStyle w:val="ListBullet"/>
      </w:pPr>
      <w:r>
        <w:rPr>
          <w:rFonts w:ascii="Calibri" w:hAnsi="Calibri"/>
          <w:sz w:val="21"/>
        </w:rPr>
        <w:t>Know what health issues are particularly important to MSM</w:t>
      </w:r>
    </w:p>
    <w:p w14:paraId="30B166CF" w14:textId="77777777" w:rsidR="00552ADC" w:rsidRDefault="00000000">
      <w:pPr>
        <w:pStyle w:val="ListBullet"/>
      </w:pPr>
      <w:r>
        <w:rPr>
          <w:rFonts w:ascii="Calibri" w:hAnsi="Calibri"/>
          <w:sz w:val="21"/>
        </w:rPr>
        <w:t>Conduct a sensitive, non-judgemental sexual history in an MSM consultation</w:t>
      </w:r>
    </w:p>
    <w:p w14:paraId="20C1E9D2" w14:textId="77777777" w:rsidR="00552ADC" w:rsidRDefault="00000000">
      <w:pPr>
        <w:pStyle w:val="ListBullet"/>
      </w:pPr>
      <w:r>
        <w:rPr>
          <w:rFonts w:ascii="Calibri" w:hAnsi="Calibri"/>
          <w:sz w:val="21"/>
        </w:rPr>
        <w:t>Know the correct BASHH 2024 approach to sexual health screening in MSM</w:t>
      </w:r>
    </w:p>
    <w:p w14:paraId="4A33CFDE" w14:textId="77777777" w:rsidR="00552ADC" w:rsidRDefault="00000000">
      <w:pPr>
        <w:pStyle w:val="ListBullet"/>
      </w:pPr>
      <w:r>
        <w:rPr>
          <w:rFonts w:ascii="Calibri" w:hAnsi="Calibri"/>
          <w:sz w:val="21"/>
        </w:rPr>
        <w:t>Address the specific topics of HIV, STIs, chemsex, mental health, and smoking in MSM</w:t>
      </w:r>
    </w:p>
    <w:p w14:paraId="40BA426D" w14:textId="77777777" w:rsidR="00552ADC" w:rsidRDefault="00000000">
      <w:r>
        <w:rPr>
          <w:rFonts w:ascii="Calibri" w:hAnsi="Calibri"/>
          <w:b/>
          <w:sz w:val="26"/>
        </w:rPr>
        <w:t>Definitions: Not All MSM are Gay</w:t>
      </w:r>
    </w:p>
    <w:p w14:paraId="44933414" w14:textId="77777777" w:rsidR="00552ADC" w:rsidRDefault="00000000">
      <w:r>
        <w:rPr>
          <w:rFonts w:ascii="Calibri" w:hAnsi="Calibri"/>
          <w:b/>
          <w:sz w:val="21"/>
        </w:rPr>
        <w:t xml:space="preserve">▶ Gay men: </w:t>
      </w:r>
      <w:r>
        <w:rPr>
          <w:rFonts w:ascii="Calibri" w:hAnsi="Calibri"/>
          <w:sz w:val="21"/>
        </w:rPr>
        <w:t>Emotional AND sexual attraction to other men; identifies as gay</w:t>
      </w:r>
    </w:p>
    <w:p w14:paraId="5E41ACFE" w14:textId="77777777" w:rsidR="00552ADC" w:rsidRDefault="00000000">
      <w:r>
        <w:rPr>
          <w:rFonts w:ascii="Calibri" w:hAnsi="Calibri"/>
          <w:b/>
          <w:sz w:val="21"/>
        </w:rPr>
        <w:t xml:space="preserve">▶ Bisexual men: </w:t>
      </w:r>
      <w:r>
        <w:rPr>
          <w:rFonts w:ascii="Calibri" w:hAnsi="Calibri"/>
          <w:sz w:val="21"/>
        </w:rPr>
        <w:t>Sexual/emotional attraction to both men and women</w:t>
      </w:r>
    </w:p>
    <w:p w14:paraId="1896824A" w14:textId="77777777" w:rsidR="00552ADC" w:rsidRDefault="00000000">
      <w:r>
        <w:rPr>
          <w:rFonts w:ascii="Calibri" w:hAnsi="Calibri"/>
          <w:b/>
          <w:sz w:val="21"/>
        </w:rPr>
        <w:t xml:space="preserve">▶ MSM (Men who have sex with men): </w:t>
      </w:r>
      <w:r>
        <w:rPr>
          <w:rFonts w:ascii="Calibri" w:hAnsi="Calibri"/>
          <w:sz w:val="21"/>
        </w:rPr>
        <w:t>Umbrella term. Includes gay and bisexual men PLUS men who have sex with men but do not identify as gay (e.g. married men who have sex with men; men from cultures where MSM activity is taboo but practised)</w:t>
      </w:r>
    </w:p>
    <w:p w14:paraId="61110794" w14:textId="77777777" w:rsidR="00552ADC" w:rsidRDefault="00000000">
      <w:r>
        <w:rPr>
          <w:rFonts w:ascii="Calibri" w:hAnsi="Calibri"/>
          <w:b/>
          <w:sz w:val="21"/>
        </w:rPr>
        <w:t xml:space="preserve">▶ Why it matters clinically: </w:t>
      </w:r>
      <w:r>
        <w:rPr>
          <w:rFonts w:ascii="Calibri" w:hAnsi="Calibri"/>
          <w:sz w:val="21"/>
        </w:rPr>
        <w:t>Sexual health risk is determined by BEHAVIOUR, not identity. A married man who has occasional MSM encounters may have higher HIV risk than a gay man in a monogamous relationship. Always ask about sexual practices, not just identity.</w:t>
      </w:r>
    </w:p>
    <w:p w14:paraId="655CA988" w14:textId="77777777" w:rsidR="00552ADC" w:rsidRDefault="00000000">
      <w:r>
        <w:rPr>
          <w:rFonts w:ascii="Calibri" w:hAnsi="Calibri"/>
          <w:b/>
          <w:sz w:val="26"/>
        </w:rPr>
        <w:t>Why MSM May Avoid Primary Care</w:t>
      </w:r>
    </w:p>
    <w:p w14:paraId="2EE0AE68" w14:textId="77777777" w:rsidR="00552ADC" w:rsidRDefault="00000000">
      <w:pPr>
        <w:pStyle w:val="ListBullet"/>
      </w:pPr>
      <w:r>
        <w:rPr>
          <w:rFonts w:ascii="Calibri" w:hAnsi="Calibri"/>
          <w:sz w:val="21"/>
        </w:rPr>
        <w:t>Fear of homophobic reaction from healthcare professional</w:t>
      </w:r>
    </w:p>
    <w:p w14:paraId="7C8FAA1D" w14:textId="77777777" w:rsidR="00552ADC" w:rsidRDefault="00000000">
      <w:pPr>
        <w:pStyle w:val="ListBullet"/>
      </w:pPr>
      <w:r>
        <w:rPr>
          <w:rFonts w:ascii="Calibri" w:hAnsi="Calibri"/>
          <w:sz w:val="21"/>
        </w:rPr>
        <w:t>Previous negative experience in healthcare settings</w:t>
      </w:r>
    </w:p>
    <w:p w14:paraId="2E7E0EAD" w14:textId="77777777" w:rsidR="00552ADC" w:rsidRDefault="00000000">
      <w:pPr>
        <w:pStyle w:val="ListBullet"/>
      </w:pPr>
      <w:r>
        <w:rPr>
          <w:rFonts w:ascii="Calibri" w:hAnsi="Calibri"/>
          <w:sz w:val="21"/>
        </w:rPr>
        <w:t>Fear of breach of confidentiality (especially for men not "out")</w:t>
      </w:r>
    </w:p>
    <w:p w14:paraId="3505CB4E" w14:textId="77777777" w:rsidR="00552ADC" w:rsidRDefault="00000000">
      <w:pPr>
        <w:pStyle w:val="ListBullet"/>
      </w:pPr>
      <w:r>
        <w:rPr>
          <w:rFonts w:ascii="Calibri" w:hAnsi="Calibri"/>
          <w:sz w:val="21"/>
        </w:rPr>
        <w:t>Assumption that GP cannot help with sexual health concerns — GUM clinic default</w:t>
      </w:r>
    </w:p>
    <w:p w14:paraId="3A553B9D" w14:textId="77777777" w:rsidR="00552ADC" w:rsidRDefault="00000000">
      <w:pPr>
        <w:pStyle w:val="ListBullet"/>
      </w:pPr>
      <w:r>
        <w:rPr>
          <w:rFonts w:ascii="Calibri" w:hAnsi="Calibri"/>
          <w:sz w:val="21"/>
        </w:rPr>
        <w:t>Embarrassment about sexual practices — many GPs may not know relevant terminology</w:t>
      </w:r>
    </w:p>
    <w:p w14:paraId="72DCCC6D" w14:textId="77777777" w:rsidR="00552ADC" w:rsidRPr="004E1567" w:rsidRDefault="00000000">
      <w:pPr>
        <w:pStyle w:val="ListBullet"/>
      </w:pPr>
      <w:r>
        <w:rPr>
          <w:rFonts w:ascii="Calibri" w:hAnsi="Calibri"/>
          <w:sz w:val="21"/>
        </w:rPr>
        <w:t>Worry about negative impact on insurance or employment records</w:t>
      </w:r>
    </w:p>
    <w:p w14:paraId="1918DA30" w14:textId="77777777" w:rsidR="004E1567" w:rsidRDefault="004E1567" w:rsidP="004E1567">
      <w:pPr>
        <w:pStyle w:val="ListBullet"/>
        <w:numPr>
          <w:ilvl w:val="0"/>
          <w:numId w:val="0"/>
        </w:numPr>
        <w:ind w:left="360"/>
      </w:pPr>
    </w:p>
    <w:tbl>
      <w:tblPr>
        <w:tblW w:w="0" w:type="auto"/>
        <w:tblLook w:val="04A0" w:firstRow="1" w:lastRow="0" w:firstColumn="1" w:lastColumn="0" w:noHBand="0" w:noVBand="1"/>
      </w:tblPr>
      <w:tblGrid>
        <w:gridCol w:w="9972"/>
      </w:tblGrid>
      <w:tr w:rsidR="00552ADC" w14:paraId="54CDE1A6" w14:textId="77777777">
        <w:tc>
          <w:tcPr>
            <w:tcW w:w="9972" w:type="dxa"/>
            <w:shd w:val="clear" w:color="auto" w:fill="E8F4FD"/>
          </w:tcPr>
          <w:p w14:paraId="1B9B5C00" w14:textId="77777777" w:rsidR="00552ADC" w:rsidRDefault="00552ADC"/>
          <w:p w14:paraId="32251CC8" w14:textId="77777777" w:rsidR="00552ADC" w:rsidRDefault="00000000">
            <w:r>
              <w:rPr>
                <w:rFonts w:ascii="Calibri" w:hAnsi="Calibri"/>
                <w:b/>
              </w:rPr>
              <w:t xml:space="preserve">📋 Inclusive Practice Tip:  </w:t>
            </w:r>
            <w:r>
              <w:rPr>
                <w:rFonts w:ascii="Calibri" w:hAnsi="Calibri"/>
                <w:sz w:val="20"/>
              </w:rPr>
              <w:t>GP TIP: When taking a sexual history, ask ALL patients directly: "Do you have sex with men, women, or both?" — make this routine. Once routine, it becomes normalised for both you and the patient.</w:t>
            </w:r>
          </w:p>
        </w:tc>
      </w:tr>
    </w:tbl>
    <w:p w14:paraId="79567199" w14:textId="77777777" w:rsidR="00552ADC" w:rsidRDefault="00552ADC"/>
    <w:p w14:paraId="0450E1B0" w14:textId="77777777" w:rsidR="00552ADC" w:rsidRDefault="00000000">
      <w:r>
        <w:rPr>
          <w:rFonts w:ascii="Calibri" w:hAnsi="Calibri"/>
          <w:b/>
          <w:color w:val="1B3C8A"/>
          <w:sz w:val="32"/>
        </w:rPr>
        <w:t>Sexual Health Screening in MSM — BASHH 2024 Standards</w:t>
      </w:r>
    </w:p>
    <w:p w14:paraId="2DEECE04" w14:textId="77777777" w:rsidR="00552ADC" w:rsidRDefault="00000000">
      <w:r>
        <w:rPr>
          <w:rFonts w:ascii="Calibri" w:hAnsi="Calibri"/>
          <w:sz w:val="21"/>
        </w:rPr>
        <w:t>⭐ Key principle: MSM require a MULTI-SITE screen — do NOT rely on urethral swab alone.</w:t>
      </w:r>
    </w:p>
    <w:tbl>
      <w:tblPr>
        <w:tblStyle w:val="TableGrid"/>
        <w:tblW w:w="0" w:type="auto"/>
        <w:tblLook w:val="04A0" w:firstRow="1" w:lastRow="0" w:firstColumn="1" w:lastColumn="0" w:noHBand="0" w:noVBand="1"/>
      </w:tblPr>
      <w:tblGrid>
        <w:gridCol w:w="3324"/>
        <w:gridCol w:w="3324"/>
        <w:gridCol w:w="3324"/>
      </w:tblGrid>
      <w:tr w:rsidR="00552ADC" w14:paraId="144C2F6F" w14:textId="77777777">
        <w:tc>
          <w:tcPr>
            <w:tcW w:w="3324" w:type="dxa"/>
            <w:shd w:val="clear" w:color="auto" w:fill="1B3C8A"/>
          </w:tcPr>
          <w:p w14:paraId="3D624852" w14:textId="77777777" w:rsidR="00552ADC" w:rsidRDefault="00000000">
            <w:r>
              <w:rPr>
                <w:rFonts w:ascii="Calibri" w:hAnsi="Calibri"/>
                <w:b/>
                <w:color w:val="FFFFFF"/>
                <w:sz w:val="20"/>
              </w:rPr>
              <w:t>Site</w:t>
            </w:r>
          </w:p>
        </w:tc>
        <w:tc>
          <w:tcPr>
            <w:tcW w:w="3324" w:type="dxa"/>
            <w:shd w:val="clear" w:color="auto" w:fill="1B3C8A"/>
          </w:tcPr>
          <w:p w14:paraId="7E7D3598" w14:textId="77777777" w:rsidR="00552ADC" w:rsidRDefault="00000000">
            <w:r>
              <w:rPr>
                <w:rFonts w:ascii="Calibri" w:hAnsi="Calibri"/>
                <w:b/>
                <w:color w:val="FFFFFF"/>
                <w:sz w:val="20"/>
              </w:rPr>
              <w:t>What to test</w:t>
            </w:r>
          </w:p>
        </w:tc>
        <w:tc>
          <w:tcPr>
            <w:tcW w:w="3324" w:type="dxa"/>
            <w:shd w:val="clear" w:color="auto" w:fill="1B3C8A"/>
          </w:tcPr>
          <w:p w14:paraId="247E172F" w14:textId="77777777" w:rsidR="00552ADC" w:rsidRDefault="00000000">
            <w:r>
              <w:rPr>
                <w:rFonts w:ascii="Calibri" w:hAnsi="Calibri"/>
                <w:b/>
                <w:color w:val="FFFFFF"/>
                <w:sz w:val="20"/>
              </w:rPr>
              <w:t>Why important</w:t>
            </w:r>
          </w:p>
        </w:tc>
      </w:tr>
      <w:tr w:rsidR="00552ADC" w14:paraId="10528D90" w14:textId="77777777">
        <w:tc>
          <w:tcPr>
            <w:tcW w:w="3324" w:type="dxa"/>
          </w:tcPr>
          <w:p w14:paraId="49C46222" w14:textId="77777777" w:rsidR="00552ADC" w:rsidRDefault="00000000">
            <w:r>
              <w:rPr>
                <w:rFonts w:ascii="Calibri" w:hAnsi="Calibri"/>
                <w:sz w:val="20"/>
              </w:rPr>
              <w:t>Urethra</w:t>
            </w:r>
          </w:p>
        </w:tc>
        <w:tc>
          <w:tcPr>
            <w:tcW w:w="3324" w:type="dxa"/>
          </w:tcPr>
          <w:p w14:paraId="0DF57DA8" w14:textId="77777777" w:rsidR="00552ADC" w:rsidRDefault="00000000">
            <w:r>
              <w:rPr>
                <w:rFonts w:ascii="Calibri" w:hAnsi="Calibri"/>
                <w:sz w:val="20"/>
              </w:rPr>
              <w:t>First-catch urine for chlamydia + GC NAAT</w:t>
            </w:r>
          </w:p>
        </w:tc>
        <w:tc>
          <w:tcPr>
            <w:tcW w:w="3324" w:type="dxa"/>
          </w:tcPr>
          <w:p w14:paraId="1DE25E90" w14:textId="77777777" w:rsidR="00552ADC" w:rsidRDefault="00000000">
            <w:r>
              <w:rPr>
                <w:rFonts w:ascii="Calibri" w:hAnsi="Calibri"/>
                <w:sz w:val="20"/>
              </w:rPr>
              <w:t>Urethral infection common; 85% symptomatic with urethral GC</w:t>
            </w:r>
          </w:p>
        </w:tc>
      </w:tr>
      <w:tr w:rsidR="00552ADC" w14:paraId="2670EB12" w14:textId="77777777">
        <w:tc>
          <w:tcPr>
            <w:tcW w:w="3324" w:type="dxa"/>
          </w:tcPr>
          <w:p w14:paraId="4A0D7938" w14:textId="77777777" w:rsidR="00552ADC" w:rsidRDefault="00000000">
            <w:r>
              <w:rPr>
                <w:rFonts w:ascii="Calibri" w:hAnsi="Calibri"/>
                <w:sz w:val="20"/>
              </w:rPr>
              <w:t>Rectum</w:t>
            </w:r>
          </w:p>
        </w:tc>
        <w:tc>
          <w:tcPr>
            <w:tcW w:w="3324" w:type="dxa"/>
          </w:tcPr>
          <w:p w14:paraId="01F0441F" w14:textId="77777777" w:rsidR="00552ADC" w:rsidRDefault="00000000">
            <w:r>
              <w:rPr>
                <w:rFonts w:ascii="Calibri" w:hAnsi="Calibri"/>
                <w:sz w:val="20"/>
              </w:rPr>
              <w:t>Rectal swab for chlamydia + GC NAAT</w:t>
            </w:r>
          </w:p>
        </w:tc>
        <w:tc>
          <w:tcPr>
            <w:tcW w:w="3324" w:type="dxa"/>
          </w:tcPr>
          <w:p w14:paraId="79720684" w14:textId="77777777" w:rsidR="00552ADC" w:rsidRDefault="00000000">
            <w:r>
              <w:rPr>
                <w:rFonts w:ascii="Calibri" w:hAnsi="Calibri"/>
                <w:sz w:val="20"/>
              </w:rPr>
              <w:t>Rectal GC/chlamydia usually asymptomatic — missed if not swabbed</w:t>
            </w:r>
          </w:p>
        </w:tc>
      </w:tr>
      <w:tr w:rsidR="00552ADC" w14:paraId="2E1F08FE" w14:textId="77777777">
        <w:tc>
          <w:tcPr>
            <w:tcW w:w="3324" w:type="dxa"/>
          </w:tcPr>
          <w:p w14:paraId="54F6D858" w14:textId="77777777" w:rsidR="00552ADC" w:rsidRDefault="00000000">
            <w:r>
              <w:rPr>
                <w:rFonts w:ascii="Calibri" w:hAnsi="Calibri"/>
                <w:sz w:val="20"/>
              </w:rPr>
              <w:t>Pharynx</w:t>
            </w:r>
          </w:p>
        </w:tc>
        <w:tc>
          <w:tcPr>
            <w:tcW w:w="3324" w:type="dxa"/>
          </w:tcPr>
          <w:p w14:paraId="1CD69AC3" w14:textId="77777777" w:rsidR="00552ADC" w:rsidRDefault="00000000">
            <w:r>
              <w:rPr>
                <w:rFonts w:ascii="Calibri" w:hAnsi="Calibri"/>
                <w:sz w:val="20"/>
              </w:rPr>
              <w:t>Pharyngeal swab for GC NAAT</w:t>
            </w:r>
          </w:p>
        </w:tc>
        <w:tc>
          <w:tcPr>
            <w:tcW w:w="3324" w:type="dxa"/>
          </w:tcPr>
          <w:p w14:paraId="6FFBE8CE" w14:textId="77777777" w:rsidR="00552ADC" w:rsidRDefault="00000000">
            <w:r>
              <w:rPr>
                <w:rFonts w:ascii="Calibri" w:hAnsi="Calibri"/>
                <w:sz w:val="20"/>
              </w:rPr>
              <w:t>Pharyngeal GC almost always asymptomatic; source of re-infection</w:t>
            </w:r>
          </w:p>
        </w:tc>
      </w:tr>
      <w:tr w:rsidR="00552ADC" w14:paraId="4B65390B" w14:textId="77777777">
        <w:tc>
          <w:tcPr>
            <w:tcW w:w="3324" w:type="dxa"/>
          </w:tcPr>
          <w:p w14:paraId="77A8D050" w14:textId="77777777" w:rsidR="00552ADC" w:rsidRDefault="00000000">
            <w:r>
              <w:rPr>
                <w:rFonts w:ascii="Calibri" w:hAnsi="Calibri"/>
                <w:sz w:val="20"/>
              </w:rPr>
              <w:t>Blood tests</w:t>
            </w:r>
          </w:p>
        </w:tc>
        <w:tc>
          <w:tcPr>
            <w:tcW w:w="3324" w:type="dxa"/>
          </w:tcPr>
          <w:p w14:paraId="224C7750" w14:textId="77777777" w:rsidR="00552ADC" w:rsidRDefault="00000000">
            <w:r>
              <w:rPr>
                <w:rFonts w:ascii="Calibri" w:hAnsi="Calibri"/>
                <w:sz w:val="20"/>
              </w:rPr>
              <w:t>HIV (4th gen Ag/Ab), Syphilis serology, Hep B (sAg + anti-HBs), Hep C (if risk factors)</w:t>
            </w:r>
          </w:p>
        </w:tc>
        <w:tc>
          <w:tcPr>
            <w:tcW w:w="3324" w:type="dxa"/>
          </w:tcPr>
          <w:p w14:paraId="6A8A016A" w14:textId="77777777" w:rsidR="00552ADC" w:rsidRDefault="00000000">
            <w:r>
              <w:rPr>
                <w:rFonts w:ascii="Calibri" w:hAnsi="Calibri"/>
                <w:sz w:val="20"/>
              </w:rPr>
              <w:t>Comprehensive BBV screen — all should be offered at every visit</w:t>
            </w:r>
          </w:p>
        </w:tc>
      </w:tr>
      <w:tr w:rsidR="00552ADC" w14:paraId="7E74AC71" w14:textId="77777777">
        <w:tc>
          <w:tcPr>
            <w:tcW w:w="3324" w:type="dxa"/>
          </w:tcPr>
          <w:p w14:paraId="054A264E" w14:textId="77777777" w:rsidR="00552ADC" w:rsidRDefault="00000000">
            <w:r>
              <w:rPr>
                <w:rFonts w:ascii="Calibri" w:hAnsi="Calibri"/>
                <w:sz w:val="20"/>
              </w:rPr>
              <w:t>Frequency</w:t>
            </w:r>
          </w:p>
        </w:tc>
        <w:tc>
          <w:tcPr>
            <w:tcW w:w="3324" w:type="dxa"/>
          </w:tcPr>
          <w:p w14:paraId="08AC2082" w14:textId="77777777" w:rsidR="00552ADC" w:rsidRDefault="00000000">
            <w:r>
              <w:rPr>
                <w:rFonts w:ascii="Calibri" w:hAnsi="Calibri"/>
                <w:sz w:val="20"/>
              </w:rPr>
              <w:t>At least ANNUALLY for all MSM; 3-monthly if: multiple partners, condomless anal sex, chemsex, PrEP use</w:t>
            </w:r>
          </w:p>
        </w:tc>
        <w:tc>
          <w:tcPr>
            <w:tcW w:w="3324" w:type="dxa"/>
          </w:tcPr>
          <w:p w14:paraId="4E67C81C" w14:textId="77777777" w:rsidR="00552ADC" w:rsidRDefault="00000000">
            <w:r>
              <w:rPr>
                <w:rFonts w:ascii="Calibri" w:hAnsi="Calibri"/>
                <w:sz w:val="20"/>
              </w:rPr>
              <w:t>Higher frequency = earlier detection = better outcomes</w:t>
            </w:r>
          </w:p>
        </w:tc>
      </w:tr>
    </w:tbl>
    <w:p w14:paraId="5D0855D2" w14:textId="77777777" w:rsidR="00552ADC" w:rsidRDefault="00552ADC"/>
    <w:p w14:paraId="479965E0" w14:textId="77777777" w:rsidR="004E1567" w:rsidRDefault="004E1567">
      <w:pPr>
        <w:rPr>
          <w:rFonts w:ascii="Calibri" w:hAnsi="Calibri"/>
          <w:b/>
          <w:color w:val="1B3C8A"/>
          <w:sz w:val="32"/>
        </w:rPr>
      </w:pPr>
    </w:p>
    <w:p w14:paraId="23D15359" w14:textId="194A0473" w:rsidR="00552ADC" w:rsidRDefault="00000000">
      <w:r>
        <w:rPr>
          <w:rFonts w:ascii="Calibri" w:hAnsi="Calibri"/>
          <w:b/>
          <w:color w:val="1B3C8A"/>
          <w:sz w:val="32"/>
        </w:rPr>
        <w:t>Other Health Issues Specific to MSM</w:t>
      </w:r>
    </w:p>
    <w:p w14:paraId="3077530D" w14:textId="77777777" w:rsidR="00552ADC" w:rsidRDefault="00000000">
      <w:r>
        <w:rPr>
          <w:rFonts w:ascii="Calibri" w:hAnsi="Calibri"/>
          <w:b/>
          <w:sz w:val="26"/>
        </w:rPr>
        <w:t>HIV</w:t>
      </w:r>
    </w:p>
    <w:p w14:paraId="6CB9EBC4" w14:textId="77777777" w:rsidR="00552ADC" w:rsidRDefault="00000000">
      <w:pPr>
        <w:pStyle w:val="ListBullet"/>
      </w:pPr>
      <w:r>
        <w:rPr>
          <w:rFonts w:ascii="Calibri" w:hAnsi="Calibri"/>
          <w:sz w:val="21"/>
        </w:rPr>
        <w:t>MSM remain the group at highest risk of HIV acquisition in the UK</w:t>
      </w:r>
    </w:p>
    <w:p w14:paraId="3396BA6F" w14:textId="77777777" w:rsidR="00552ADC" w:rsidRDefault="00000000">
      <w:pPr>
        <w:pStyle w:val="ListBullet"/>
      </w:pPr>
      <w:r>
        <w:rPr>
          <w:rFonts w:ascii="Calibri" w:hAnsi="Calibri"/>
          <w:sz w:val="21"/>
        </w:rPr>
        <w:t>Regular HIV testing essential — at least annually; 3-monthly if high risk</w:t>
      </w:r>
    </w:p>
    <w:p w14:paraId="387B1475" w14:textId="77777777" w:rsidR="00552ADC" w:rsidRDefault="00000000">
      <w:pPr>
        <w:pStyle w:val="ListBullet"/>
      </w:pPr>
      <w:r>
        <w:rPr>
          <w:rFonts w:ascii="Calibri" w:hAnsi="Calibri"/>
          <w:sz w:val="21"/>
        </w:rPr>
        <w:t>U=U: undetectable VL on ART = cannot transmit (reassuring message)</w:t>
      </w:r>
    </w:p>
    <w:p w14:paraId="64CCA810" w14:textId="77777777" w:rsidR="00552ADC" w:rsidRDefault="00000000">
      <w:pPr>
        <w:pStyle w:val="ListBullet"/>
      </w:pPr>
      <w:r>
        <w:rPr>
          <w:rFonts w:ascii="Calibri" w:hAnsi="Calibri"/>
          <w:sz w:val="21"/>
        </w:rPr>
        <w:t>PrEP: refer all high-risk MSM to sexual health clinic for PrEP assessment</w:t>
      </w:r>
    </w:p>
    <w:p w14:paraId="1A586CAB" w14:textId="77777777" w:rsidR="00552ADC" w:rsidRDefault="00000000">
      <w:pPr>
        <w:pStyle w:val="ListBullet"/>
      </w:pPr>
      <w:r>
        <w:rPr>
          <w:rFonts w:ascii="Calibri" w:hAnsi="Calibri"/>
          <w:sz w:val="21"/>
        </w:rPr>
        <w:t>PEPSE: within 72 hours of high-risk exposure (ideally &lt;24h)</w:t>
      </w:r>
    </w:p>
    <w:p w14:paraId="4D4DA374" w14:textId="77777777" w:rsidR="00552ADC" w:rsidRDefault="00000000">
      <w:r>
        <w:rPr>
          <w:rFonts w:ascii="Calibri" w:hAnsi="Calibri"/>
          <w:b/>
          <w:sz w:val="26"/>
        </w:rPr>
        <w:t>Syphilis</w:t>
      </w:r>
    </w:p>
    <w:p w14:paraId="36846FFC" w14:textId="77777777" w:rsidR="00552ADC" w:rsidRDefault="00000000">
      <w:pPr>
        <w:pStyle w:val="ListBullet"/>
      </w:pPr>
      <w:r>
        <w:rPr>
          <w:rFonts w:ascii="Calibri" w:hAnsi="Calibri"/>
          <w:sz w:val="21"/>
        </w:rPr>
        <w:t>Major resurgence in UK — cases increased dramatically since 2020</w:t>
      </w:r>
    </w:p>
    <w:p w14:paraId="11C8DE08" w14:textId="77777777" w:rsidR="00552ADC" w:rsidRDefault="00000000">
      <w:pPr>
        <w:pStyle w:val="ListBullet"/>
      </w:pPr>
      <w:r>
        <w:rPr>
          <w:rFonts w:ascii="Calibri" w:hAnsi="Calibri"/>
          <w:sz w:val="21"/>
        </w:rPr>
        <w:t>Annual syphilis screen for all MSM</w:t>
      </w:r>
    </w:p>
    <w:p w14:paraId="61FA9752" w14:textId="77777777" w:rsidR="00552ADC" w:rsidRDefault="00000000">
      <w:pPr>
        <w:pStyle w:val="ListBullet"/>
      </w:pPr>
      <w:r>
        <w:rPr>
          <w:rFonts w:ascii="Calibri" w:hAnsi="Calibri"/>
          <w:sz w:val="21"/>
        </w:rPr>
        <w:t>Primary syphilis: painless genital/anal/oral chancre — do NOT miss this</w:t>
      </w:r>
    </w:p>
    <w:p w14:paraId="658C0A64" w14:textId="77777777" w:rsidR="00552ADC" w:rsidRDefault="00000000">
      <w:pPr>
        <w:pStyle w:val="ListBullet"/>
      </w:pPr>
      <w:r>
        <w:rPr>
          <w:rFonts w:ascii="Calibri" w:hAnsi="Calibri"/>
          <w:sz w:val="21"/>
        </w:rPr>
        <w:t>Secondary: rash including palms/soles — pathognomonic</w:t>
      </w:r>
    </w:p>
    <w:p w14:paraId="487783DB" w14:textId="77777777" w:rsidR="00552ADC" w:rsidRDefault="00000000">
      <w:pPr>
        <w:pStyle w:val="ListBullet"/>
      </w:pPr>
      <w:r>
        <w:rPr>
          <w:rFonts w:ascii="Calibri" w:hAnsi="Calibri"/>
          <w:sz w:val="21"/>
        </w:rPr>
        <w:t>Refer ALL syphilis to GUM for specialist treatment</w:t>
      </w:r>
    </w:p>
    <w:p w14:paraId="19241BC5" w14:textId="77777777" w:rsidR="004E1567" w:rsidRDefault="004E1567">
      <w:pPr>
        <w:rPr>
          <w:rFonts w:ascii="Calibri" w:hAnsi="Calibri"/>
          <w:b/>
          <w:sz w:val="26"/>
        </w:rPr>
      </w:pPr>
      <w:r>
        <w:rPr>
          <w:rFonts w:ascii="Calibri" w:hAnsi="Calibri"/>
          <w:b/>
          <w:sz w:val="26"/>
        </w:rPr>
        <w:br w:type="page"/>
      </w:r>
    </w:p>
    <w:p w14:paraId="2C0A471F" w14:textId="697719C2" w:rsidR="00552ADC" w:rsidRDefault="00000000">
      <w:r>
        <w:rPr>
          <w:rFonts w:ascii="Calibri" w:hAnsi="Calibri"/>
          <w:b/>
          <w:sz w:val="26"/>
        </w:rPr>
        <w:lastRenderedPageBreak/>
        <w:t>Hepatitis A and B</w:t>
      </w:r>
    </w:p>
    <w:p w14:paraId="21572C95" w14:textId="77777777" w:rsidR="00552ADC" w:rsidRDefault="00000000">
      <w:pPr>
        <w:pStyle w:val="ListBullet"/>
      </w:pPr>
      <w:r>
        <w:rPr>
          <w:rFonts w:ascii="Calibri" w:hAnsi="Calibri"/>
          <w:sz w:val="21"/>
        </w:rPr>
        <w:t>Hepatitis A: oral-anal transmission (rimming) — vaccinate all MSM</w:t>
      </w:r>
    </w:p>
    <w:p w14:paraId="28560C13" w14:textId="77777777" w:rsidR="00552ADC" w:rsidRDefault="00000000">
      <w:pPr>
        <w:pStyle w:val="ListBullet"/>
      </w:pPr>
      <w:r>
        <w:rPr>
          <w:rFonts w:ascii="Calibri" w:hAnsi="Calibri"/>
          <w:sz w:val="21"/>
        </w:rPr>
        <w:t>Hepatitis B: vaccinate all unvaccinated MSM (higher transmission in anal sex)</w:t>
      </w:r>
    </w:p>
    <w:p w14:paraId="0819F45F" w14:textId="77777777" w:rsidR="00552ADC" w:rsidRDefault="00000000">
      <w:pPr>
        <w:pStyle w:val="ListBullet"/>
      </w:pPr>
      <w:r>
        <w:rPr>
          <w:rFonts w:ascii="Calibri" w:hAnsi="Calibri"/>
          <w:sz w:val="21"/>
        </w:rPr>
        <w:t>Check anti-HBs titre after vaccination; boosters every 5 years if immunised</w:t>
      </w:r>
    </w:p>
    <w:p w14:paraId="66C08E37" w14:textId="77777777" w:rsidR="00552ADC" w:rsidRDefault="00000000">
      <w:pPr>
        <w:pStyle w:val="ListBullet"/>
      </w:pPr>
      <w:r>
        <w:rPr>
          <w:rFonts w:ascii="Calibri" w:hAnsi="Calibri"/>
          <w:sz w:val="21"/>
        </w:rPr>
        <w:t>Hepatitis C: rising prevalence in HIV-positive MSM via fisting, chemsex — screen at every visit in HIV+ MSM</w:t>
      </w:r>
    </w:p>
    <w:p w14:paraId="041CCC8B" w14:textId="77777777" w:rsidR="00552ADC" w:rsidRDefault="00000000">
      <w:r>
        <w:rPr>
          <w:rFonts w:ascii="Calibri" w:hAnsi="Calibri"/>
          <w:b/>
          <w:sz w:val="26"/>
        </w:rPr>
        <w:t>Anal Cancer</w:t>
      </w:r>
    </w:p>
    <w:p w14:paraId="5FDFADF0" w14:textId="77777777" w:rsidR="00552ADC" w:rsidRDefault="00000000">
      <w:pPr>
        <w:pStyle w:val="ListBullet"/>
      </w:pPr>
      <w:r>
        <w:rPr>
          <w:rFonts w:ascii="Calibri" w:hAnsi="Calibri"/>
          <w:sz w:val="21"/>
        </w:rPr>
        <w:t>HPV 16 strongly implicated in anal carcinogenesis (similar to cervical cancer)</w:t>
      </w:r>
    </w:p>
    <w:p w14:paraId="2320A7EE" w14:textId="77777777" w:rsidR="00552ADC" w:rsidRDefault="00000000">
      <w:pPr>
        <w:pStyle w:val="ListBullet"/>
      </w:pPr>
      <w:r>
        <w:rPr>
          <w:rFonts w:ascii="Calibri" w:hAnsi="Calibri"/>
          <w:sz w:val="21"/>
        </w:rPr>
        <w:t>Incidence in MSM significantly higher than in general male population</w:t>
      </w:r>
    </w:p>
    <w:p w14:paraId="36D723D6" w14:textId="77777777" w:rsidR="00552ADC" w:rsidRDefault="00000000">
      <w:pPr>
        <w:pStyle w:val="ListBullet"/>
      </w:pPr>
      <w:r>
        <w:rPr>
          <w:rFonts w:ascii="Calibri" w:hAnsi="Calibri"/>
          <w:sz w:val="21"/>
        </w:rPr>
        <w:t>Offer HPV vaccination to MSM up to age 45 (NHS MSM programme)</w:t>
      </w:r>
    </w:p>
    <w:p w14:paraId="7686A26E" w14:textId="77777777" w:rsidR="00552ADC" w:rsidRDefault="00000000">
      <w:pPr>
        <w:pStyle w:val="ListBullet"/>
      </w:pPr>
      <w:r>
        <w:rPr>
          <w:rFonts w:ascii="Calibri" w:hAnsi="Calibri"/>
          <w:sz w:val="21"/>
        </w:rPr>
        <w:t>Anal cytology/high-resolution anoscopy not yet routine in UK — monitor developments</w:t>
      </w:r>
    </w:p>
    <w:p w14:paraId="26124010" w14:textId="77777777" w:rsidR="00552ADC" w:rsidRDefault="00000000">
      <w:pPr>
        <w:pStyle w:val="ListBullet"/>
      </w:pPr>
      <w:r>
        <w:rPr>
          <w:rFonts w:ascii="Calibri" w:hAnsi="Calibri"/>
          <w:sz w:val="21"/>
        </w:rPr>
        <w:t>Any persistent anal symptoms: consider referral to colorectal surgery</w:t>
      </w:r>
    </w:p>
    <w:p w14:paraId="25306115" w14:textId="77777777" w:rsidR="00552ADC" w:rsidRDefault="00000000">
      <w:r>
        <w:rPr>
          <w:rFonts w:ascii="Calibri" w:hAnsi="Calibri"/>
          <w:b/>
          <w:sz w:val="26"/>
        </w:rPr>
        <w:t>Chemsex</w:t>
      </w:r>
    </w:p>
    <w:p w14:paraId="4C09301B" w14:textId="77777777" w:rsidR="00552ADC" w:rsidRDefault="00000000">
      <w:pPr>
        <w:pStyle w:val="ListBullet"/>
      </w:pPr>
      <w:r>
        <w:rPr>
          <w:rFonts w:ascii="Calibri" w:hAnsi="Calibri"/>
          <w:sz w:val="21"/>
        </w:rPr>
        <w:t>Mephedrone, GHB/GBL, crystal methamphetamine — used during sex to enhance experience</w:t>
      </w:r>
    </w:p>
    <w:p w14:paraId="17874E9B" w14:textId="77777777" w:rsidR="00552ADC" w:rsidRDefault="00000000">
      <w:pPr>
        <w:pStyle w:val="ListBullet"/>
      </w:pPr>
      <w:r>
        <w:rPr>
          <w:rFonts w:ascii="Calibri" w:hAnsi="Calibri"/>
          <w:sz w:val="21"/>
        </w:rPr>
        <w:t>GHB/GBL: narrow therapeutic window — overdose risk (unconsciousness, respiratory depression)</w:t>
      </w:r>
    </w:p>
    <w:p w14:paraId="3CDF5F22" w14:textId="77777777" w:rsidR="00552ADC" w:rsidRDefault="00000000">
      <w:pPr>
        <w:pStyle w:val="ListBullet"/>
      </w:pPr>
      <w:r>
        <w:rPr>
          <w:rFonts w:ascii="Calibri" w:hAnsi="Calibri"/>
          <w:sz w:val="21"/>
        </w:rPr>
        <w:t>STI and HIV transmission risk dramatically increased in chemsex contexts</w:t>
      </w:r>
    </w:p>
    <w:p w14:paraId="6051787C" w14:textId="77777777" w:rsidR="00552ADC" w:rsidRDefault="00000000">
      <w:pPr>
        <w:pStyle w:val="ListBullet"/>
      </w:pPr>
      <w:r>
        <w:rPr>
          <w:rFonts w:ascii="Calibri" w:hAnsi="Calibri"/>
          <w:sz w:val="21"/>
        </w:rPr>
        <w:t>Mental health: psychosis, anxiety, dependence, suicidality</w:t>
      </w:r>
    </w:p>
    <w:p w14:paraId="308824C9" w14:textId="77777777" w:rsidR="00552ADC" w:rsidRDefault="00000000">
      <w:pPr>
        <w:pStyle w:val="ListBullet"/>
      </w:pPr>
      <w:r>
        <w:rPr>
          <w:rFonts w:ascii="Calibri" w:hAnsi="Calibri"/>
          <w:sz w:val="21"/>
        </w:rPr>
        <w:t>Non-judgemental enquiry: "Some patients use substances during sex — is this something relevant to you?"</w:t>
      </w:r>
    </w:p>
    <w:p w14:paraId="71F7F088" w14:textId="77777777" w:rsidR="00552ADC" w:rsidRDefault="00000000">
      <w:pPr>
        <w:pStyle w:val="ListBullet"/>
      </w:pPr>
      <w:r>
        <w:rPr>
          <w:rFonts w:ascii="Calibri" w:hAnsi="Calibri"/>
          <w:sz w:val="21"/>
        </w:rPr>
        <w:t>Signpost to specialist support: 56 Dean Street (London), local drug services, LGBT Foundation</w:t>
      </w:r>
    </w:p>
    <w:p w14:paraId="4FD3967A" w14:textId="77777777" w:rsidR="00552ADC" w:rsidRDefault="00000000">
      <w:r>
        <w:rPr>
          <w:rFonts w:ascii="Calibri" w:hAnsi="Calibri"/>
          <w:b/>
          <w:sz w:val="26"/>
        </w:rPr>
        <w:t>Mental Health</w:t>
      </w:r>
    </w:p>
    <w:p w14:paraId="0340B6F1" w14:textId="77777777" w:rsidR="00552ADC" w:rsidRDefault="00000000">
      <w:pPr>
        <w:pStyle w:val="ListBullet"/>
      </w:pPr>
      <w:r>
        <w:rPr>
          <w:rFonts w:ascii="Calibri" w:hAnsi="Calibri"/>
          <w:sz w:val="21"/>
        </w:rPr>
        <w:t>MSM: significantly higher rates of depression, anxiety, and suicide compared with heterosexual men</w:t>
      </w:r>
    </w:p>
    <w:p w14:paraId="64B6EF40" w14:textId="77777777" w:rsidR="00552ADC" w:rsidRDefault="00000000">
      <w:pPr>
        <w:pStyle w:val="ListBullet"/>
      </w:pPr>
      <w:r>
        <w:rPr>
          <w:rFonts w:ascii="Calibri" w:hAnsi="Calibri"/>
          <w:sz w:val="21"/>
        </w:rPr>
        <w:t>50–55% of gay men report self-harm vs. ~40% in heterosexual men</w:t>
      </w:r>
    </w:p>
    <w:p w14:paraId="590550D4" w14:textId="77777777" w:rsidR="00552ADC" w:rsidRDefault="00000000">
      <w:pPr>
        <w:pStyle w:val="ListBullet"/>
      </w:pPr>
      <w:r>
        <w:rPr>
          <w:rFonts w:ascii="Calibri" w:hAnsi="Calibri"/>
          <w:sz w:val="21"/>
        </w:rPr>
        <w:t>Coming out process: major life event; associated with significant stress, family rejection, discrimination</w:t>
      </w:r>
    </w:p>
    <w:p w14:paraId="3BFAB90C" w14:textId="77777777" w:rsidR="00552ADC" w:rsidRDefault="00000000">
      <w:pPr>
        <w:pStyle w:val="ListBullet"/>
      </w:pPr>
      <w:r>
        <w:rPr>
          <w:rFonts w:ascii="Calibri" w:hAnsi="Calibri"/>
          <w:sz w:val="21"/>
        </w:rPr>
        <w:t>Workplace: MSM report higher rates of homophobic bullying — impacts mental health and physical health</w:t>
      </w:r>
    </w:p>
    <w:p w14:paraId="1C99C7A5" w14:textId="77777777" w:rsidR="00552ADC" w:rsidRDefault="00000000">
      <w:pPr>
        <w:pStyle w:val="ListBullet"/>
      </w:pPr>
      <w:r>
        <w:rPr>
          <w:rFonts w:ascii="Calibri" w:hAnsi="Calibri"/>
          <w:sz w:val="21"/>
        </w:rPr>
        <w:t>Ask directly about mental health in all MSM consultations — it is frequently overlooked</w:t>
      </w:r>
    </w:p>
    <w:p w14:paraId="528CC6F4" w14:textId="77777777" w:rsidR="00552ADC" w:rsidRDefault="00000000">
      <w:pPr>
        <w:pStyle w:val="ListBullet"/>
      </w:pPr>
      <w:r>
        <w:rPr>
          <w:rFonts w:ascii="Calibri" w:hAnsi="Calibri"/>
          <w:sz w:val="21"/>
        </w:rPr>
        <w:t>Safety-net: if suicidal ideation present — follow local mental health crisis pathway</w:t>
      </w:r>
    </w:p>
    <w:p w14:paraId="7DB95973" w14:textId="77777777" w:rsidR="00552ADC" w:rsidRDefault="00000000">
      <w:r>
        <w:rPr>
          <w:rFonts w:ascii="Calibri" w:hAnsi="Calibri"/>
          <w:b/>
          <w:sz w:val="26"/>
        </w:rPr>
        <w:t>Smoking and Substance Use</w:t>
      </w:r>
    </w:p>
    <w:p w14:paraId="4AA996AD" w14:textId="77777777" w:rsidR="00552ADC" w:rsidRDefault="00000000">
      <w:pPr>
        <w:pStyle w:val="ListBullet"/>
      </w:pPr>
      <w:r>
        <w:rPr>
          <w:rFonts w:ascii="Calibri" w:hAnsi="Calibri"/>
          <w:sz w:val="21"/>
        </w:rPr>
        <w:t>MSM smoke at approximately twice the rate of heterosexual men in UK</w:t>
      </w:r>
    </w:p>
    <w:p w14:paraId="67063519" w14:textId="77777777" w:rsidR="00552ADC" w:rsidRDefault="00000000">
      <w:pPr>
        <w:pStyle w:val="ListBullet"/>
      </w:pPr>
      <w:r>
        <w:rPr>
          <w:rFonts w:ascii="Calibri" w:hAnsi="Calibri"/>
          <w:sz w:val="21"/>
        </w:rPr>
        <w:t>Smoking kills more MSM than HIV — yet rarely addressed in clinical consultations</w:t>
      </w:r>
    </w:p>
    <w:p w14:paraId="74300082" w14:textId="77777777" w:rsidR="00552ADC" w:rsidRDefault="00000000">
      <w:pPr>
        <w:pStyle w:val="ListBullet"/>
      </w:pPr>
      <w:r>
        <w:rPr>
          <w:rFonts w:ascii="Calibri" w:hAnsi="Calibri"/>
          <w:sz w:val="21"/>
        </w:rPr>
        <w:t>Smoking cessation: MOST important single intervention to reduce mortality in MSM</w:t>
      </w:r>
    </w:p>
    <w:p w14:paraId="709061CD" w14:textId="77777777" w:rsidR="00552ADC" w:rsidRDefault="00000000">
      <w:pPr>
        <w:pStyle w:val="ListBullet"/>
      </w:pPr>
      <w:r>
        <w:rPr>
          <w:rFonts w:ascii="Calibri" w:hAnsi="Calibri"/>
          <w:sz w:val="21"/>
        </w:rPr>
        <w:t>Alcohol: higher rates of hazardous drinking in MSM communities</w:t>
      </w:r>
    </w:p>
    <w:p w14:paraId="6E04E8EF" w14:textId="77777777" w:rsidR="00552ADC" w:rsidRDefault="00000000">
      <w:pPr>
        <w:pStyle w:val="ListBullet"/>
      </w:pPr>
      <w:r>
        <w:rPr>
          <w:rFonts w:ascii="Calibri" w:hAnsi="Calibri"/>
          <w:sz w:val="21"/>
        </w:rPr>
        <w:t>Approach substance use non-judgmentally — explore, signpost, support</w:t>
      </w:r>
    </w:p>
    <w:p w14:paraId="31A9F215" w14:textId="77777777" w:rsidR="004E1567" w:rsidRDefault="004E1567">
      <w:pPr>
        <w:rPr>
          <w:rFonts w:ascii="Calibri" w:hAnsi="Calibri"/>
          <w:b/>
          <w:sz w:val="26"/>
        </w:rPr>
      </w:pPr>
      <w:r>
        <w:rPr>
          <w:rFonts w:ascii="Calibri" w:hAnsi="Calibri"/>
          <w:b/>
          <w:sz w:val="26"/>
        </w:rPr>
        <w:br w:type="page"/>
      </w:r>
    </w:p>
    <w:p w14:paraId="4D691594" w14:textId="62E621C2" w:rsidR="00552ADC" w:rsidRDefault="00000000">
      <w:r>
        <w:rPr>
          <w:rFonts w:ascii="Calibri" w:hAnsi="Calibri"/>
          <w:b/>
          <w:sz w:val="26"/>
        </w:rPr>
        <w:lastRenderedPageBreak/>
        <w:t>Communication Tips: Talking to MSM Patients</w:t>
      </w:r>
    </w:p>
    <w:p w14:paraId="536DB93D" w14:textId="77777777" w:rsidR="00552ADC" w:rsidRDefault="00000000">
      <w:pPr>
        <w:pStyle w:val="ListBullet"/>
      </w:pPr>
      <w:r>
        <w:rPr>
          <w:rFonts w:ascii="Calibri" w:hAnsi="Calibri"/>
          <w:sz w:val="21"/>
        </w:rPr>
        <w:t>Routine sexual history: ask ALL male patients "Do you have sex with men, women, or both?" — make it standard</w:t>
      </w:r>
    </w:p>
    <w:p w14:paraId="33683745" w14:textId="77777777" w:rsidR="00552ADC" w:rsidRDefault="00000000">
      <w:pPr>
        <w:pStyle w:val="ListBullet"/>
      </w:pPr>
      <w:r>
        <w:rPr>
          <w:rFonts w:ascii="Calibri" w:hAnsi="Calibri"/>
          <w:sz w:val="21"/>
        </w:rPr>
        <w:t>Not all MSM are recognisable — do not make assumptions based on appearance</w:t>
      </w:r>
    </w:p>
    <w:p w14:paraId="401D314D" w14:textId="77777777" w:rsidR="00552ADC" w:rsidRDefault="00000000">
      <w:pPr>
        <w:pStyle w:val="ListBullet"/>
      </w:pPr>
      <w:r>
        <w:rPr>
          <w:rFonts w:ascii="Calibri" w:hAnsi="Calibri"/>
          <w:sz w:val="21"/>
        </w:rPr>
        <w:t>Admit if you don't know gay-specific terminology — patients often respond positively to honesty and willingness to learn</w:t>
      </w:r>
    </w:p>
    <w:p w14:paraId="3AF92BA4" w14:textId="77777777" w:rsidR="00552ADC" w:rsidRDefault="00000000">
      <w:pPr>
        <w:pStyle w:val="ListBullet"/>
      </w:pPr>
      <w:r>
        <w:rPr>
          <w:rFonts w:ascii="Calibri" w:hAnsi="Calibri"/>
          <w:sz w:val="21"/>
        </w:rPr>
        <w:t>Reassure about confidentiality explicitly — this is often the primary barrier to disclosure</w:t>
      </w:r>
    </w:p>
    <w:p w14:paraId="040C1629" w14:textId="77777777" w:rsidR="00552ADC" w:rsidRDefault="00000000">
      <w:pPr>
        <w:pStyle w:val="ListBullet"/>
      </w:pPr>
      <w:r>
        <w:rPr>
          <w:rFonts w:ascii="Calibri" w:hAnsi="Calibri"/>
          <w:sz w:val="21"/>
        </w:rPr>
        <w:t>Do NOT assume sexual practices — ask directly what types of sex the patient has</w:t>
      </w:r>
    </w:p>
    <w:p w14:paraId="5EBAE5BB" w14:textId="77777777" w:rsidR="00552ADC" w:rsidRDefault="00000000">
      <w:pPr>
        <w:pStyle w:val="ListBullet"/>
      </w:pPr>
      <w:r>
        <w:rPr>
          <w:rFonts w:ascii="Calibri" w:hAnsi="Calibri"/>
          <w:sz w:val="21"/>
        </w:rPr>
        <w:t>Avoid using "homosexual" clinically — use "gay", "bisexual", or "men who have sex with men"</w:t>
      </w:r>
    </w:p>
    <w:p w14:paraId="430C11AC" w14:textId="77777777" w:rsidR="00552ADC" w:rsidRDefault="00000000">
      <w:pPr>
        <w:pStyle w:val="ListBullet"/>
      </w:pPr>
      <w:r>
        <w:rPr>
          <w:rFonts w:ascii="Calibri" w:hAnsi="Calibri"/>
          <w:sz w:val="21"/>
        </w:rPr>
        <w:t>If the patient is HIV positive: remember ART side effects (metabolic changes, lipodystrophy) have significant psychological impact</w:t>
      </w:r>
    </w:p>
    <w:tbl>
      <w:tblPr>
        <w:tblW w:w="0" w:type="auto"/>
        <w:tblLook w:val="04A0" w:firstRow="1" w:lastRow="0" w:firstColumn="1" w:lastColumn="0" w:noHBand="0" w:noVBand="1"/>
      </w:tblPr>
      <w:tblGrid>
        <w:gridCol w:w="9972"/>
      </w:tblGrid>
      <w:tr w:rsidR="00552ADC" w14:paraId="554A01E6" w14:textId="77777777">
        <w:tc>
          <w:tcPr>
            <w:tcW w:w="9972" w:type="dxa"/>
            <w:shd w:val="clear" w:color="auto" w:fill="E8E0FF"/>
          </w:tcPr>
          <w:p w14:paraId="410ECC0D" w14:textId="77777777" w:rsidR="00552ADC" w:rsidRDefault="00552ADC"/>
          <w:p w14:paraId="6FB6DD05" w14:textId="77777777" w:rsidR="00552ADC" w:rsidRDefault="00000000">
            <w:r>
              <w:rPr>
                <w:rFonts w:ascii="Calibri" w:hAnsi="Calibri"/>
                <w:b/>
              </w:rPr>
              <w:t xml:space="preserve">EXAM TIPS:  </w:t>
            </w:r>
            <w:r>
              <w:rPr>
                <w:rFonts w:ascii="Calibri" w:hAnsi="Calibri"/>
                <w:sz w:val="20"/>
              </w:rPr>
              <w:t>🟣 AKT: MSM require rectal AND pharyngeal swabs — urethral alone is insufficient. Syphilis serology should be part of every annual MSM screen. Chemsex substances: mephedrone, GHB/GBL, crystal meth.</w:t>
            </w:r>
            <w:r>
              <w:rPr>
                <w:rFonts w:ascii="Calibri" w:hAnsi="Calibri"/>
                <w:sz w:val="20"/>
              </w:rPr>
              <w:br/>
              <w:t>🟦 SCA: Non-judgemental sexual history; inclusive language; discuss HIV/STI risk without assumptions; address mental health. Never assume all MSM are HIV-positive.</w:t>
            </w:r>
          </w:p>
        </w:tc>
      </w:tr>
    </w:tbl>
    <w:p w14:paraId="1337C2C7" w14:textId="77777777" w:rsidR="00552ADC" w:rsidRDefault="00552ADC"/>
    <w:p w14:paraId="5D38072F" w14:textId="77777777" w:rsidR="00552ADC" w:rsidRDefault="00552ADC"/>
    <w:tbl>
      <w:tblPr>
        <w:tblW w:w="0" w:type="auto"/>
        <w:tblLook w:val="04A0" w:firstRow="1" w:lastRow="0" w:firstColumn="1" w:lastColumn="0" w:noHBand="0" w:noVBand="1"/>
      </w:tblPr>
      <w:tblGrid>
        <w:gridCol w:w="9972"/>
      </w:tblGrid>
      <w:tr w:rsidR="00552ADC" w14:paraId="39F92686" w14:textId="77777777">
        <w:tc>
          <w:tcPr>
            <w:tcW w:w="9972" w:type="dxa"/>
            <w:shd w:val="clear" w:color="auto" w:fill="FFF3CD"/>
          </w:tcPr>
          <w:p w14:paraId="49788D6F" w14:textId="77777777" w:rsidR="00552ADC" w:rsidRDefault="00552ADC"/>
          <w:p w14:paraId="30D6C2BA" w14:textId="77777777" w:rsidR="00552ADC" w:rsidRDefault="00000000">
            <w:r>
              <w:rPr>
                <w:rFonts w:ascii="Calibri" w:hAnsi="Calibri"/>
                <w:i/>
                <w:sz w:val="18"/>
              </w:rPr>
              <w:t>⚠ Disclaimer: Always double check this advice and drug doses with the latest NICE/BNF guidance. This document is for educational purposes only.</w:t>
            </w:r>
          </w:p>
        </w:tc>
      </w:tr>
    </w:tbl>
    <w:p w14:paraId="2647AB10" w14:textId="77777777" w:rsidR="00552ADC" w:rsidRDefault="00552ADC"/>
    <w:p w14:paraId="267A4A20" w14:textId="77777777" w:rsidR="00552ADC" w:rsidRDefault="00000000">
      <w:pPr>
        <w:jc w:val="center"/>
      </w:pPr>
      <w:r>
        <w:rPr>
          <w:rFonts w:ascii="Calibri" w:hAnsi="Calibri"/>
          <w:color w:val="808080"/>
          <w:sz w:val="16"/>
        </w:rPr>
        <w:t>A free resource provided by www.bradfordvts.co.uk, Dr Ramesh Mehay, revised May 2026</w:t>
      </w:r>
    </w:p>
    <w:sectPr w:rsidR="00552AD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2083699">
    <w:abstractNumId w:val="8"/>
  </w:num>
  <w:num w:numId="2" w16cid:durableId="855771371">
    <w:abstractNumId w:val="6"/>
  </w:num>
  <w:num w:numId="3" w16cid:durableId="758599415">
    <w:abstractNumId w:val="5"/>
  </w:num>
  <w:num w:numId="4" w16cid:durableId="1613973954">
    <w:abstractNumId w:val="4"/>
  </w:num>
  <w:num w:numId="5" w16cid:durableId="636572168">
    <w:abstractNumId w:val="7"/>
  </w:num>
  <w:num w:numId="6" w16cid:durableId="1002394579">
    <w:abstractNumId w:val="3"/>
  </w:num>
  <w:num w:numId="7" w16cid:durableId="1982422322">
    <w:abstractNumId w:val="2"/>
  </w:num>
  <w:num w:numId="8" w16cid:durableId="1579628393">
    <w:abstractNumId w:val="1"/>
  </w:num>
  <w:num w:numId="9" w16cid:durableId="1484659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2879"/>
    <w:rsid w:val="0029639D"/>
    <w:rsid w:val="00326F90"/>
    <w:rsid w:val="004E1567"/>
    <w:rsid w:val="00552AD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8A42EE"/>
  <w14:defaultImageDpi w14:val="300"/>
  <w15:docId w15:val="{72049FD1-9DA8-4766-BFD3-768C548E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1085</Words>
  <Characters>6166</Characters>
  <Application>Microsoft Office Word</Application>
  <DocSecurity>0</DocSecurity>
  <Lines>140</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2026-05-24T15:36:00Z</dcterms:modified>
  <cp:category/>
</cp:coreProperties>
</file>