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79"/>
        <w:gridCol w:w="3327"/>
      </w:tblGrid>
      <w:tr w:rsidR="005233FC" w14:paraId="00079BE1" w14:textId="77777777">
        <w:tblPrEx>
          <w:tblCellMar>
            <w:top w:w="0" w:type="dxa"/>
            <w:bottom w:w="0" w:type="dxa"/>
          </w:tblCellMar>
        </w:tblPrEx>
        <w:tc>
          <w:tcPr>
            <w:tcW w:w="6179" w:type="dxa"/>
            <w:tcBorders>
              <w:top w:val="none" w:sz="0" w:space="0" w:color="FFFFFF"/>
              <w:left w:val="none" w:sz="0" w:space="0" w:color="FFFFFF"/>
              <w:bottom w:val="none" w:sz="0" w:space="0" w:color="FFFFFF"/>
              <w:right w:val="none" w:sz="0" w:space="0" w:color="FFFFFF"/>
            </w:tcBorders>
            <w:shd w:val="clear" w:color="auto" w:fill="E8600A"/>
            <w:tcMar>
              <w:top w:w="140" w:type="dxa"/>
              <w:left w:w="200" w:type="dxa"/>
              <w:bottom w:w="140" w:type="dxa"/>
              <w:right w:w="100" w:type="dxa"/>
            </w:tcMar>
          </w:tcPr>
          <w:p w14:paraId="298CF173" w14:textId="77777777" w:rsidR="005233FC" w:rsidRDefault="00000000">
            <w:pPr>
              <w:spacing w:after="60"/>
            </w:pPr>
            <w:r>
              <w:rPr>
                <w:b/>
                <w:bCs/>
                <w:color w:val="FFFFFF"/>
                <w:sz w:val="30"/>
                <w:szCs w:val="30"/>
              </w:rPr>
              <w:t>BRADFORD VTS TEACHING AIDS</w:t>
            </w:r>
          </w:p>
          <w:p w14:paraId="1F17920F" w14:textId="77777777" w:rsidR="005233FC" w:rsidRDefault="00000000">
            <w:r>
              <w:rPr>
                <w:color w:val="FFE0C0"/>
                <w:sz w:val="18"/>
                <w:szCs w:val="18"/>
              </w:rPr>
              <w:t>GP Vocational Training Scheme</w:t>
            </w:r>
          </w:p>
        </w:tc>
        <w:tc>
          <w:tcPr>
            <w:tcW w:w="3327" w:type="dxa"/>
            <w:tcBorders>
              <w:top w:val="none" w:sz="0" w:space="0" w:color="FFFFFF"/>
              <w:left w:val="none" w:sz="0" w:space="0" w:color="FFFFFF"/>
              <w:bottom w:val="none" w:sz="0" w:space="0" w:color="FFFFFF"/>
              <w:right w:val="none" w:sz="0" w:space="0" w:color="FFFFFF"/>
            </w:tcBorders>
            <w:shd w:val="clear" w:color="auto" w:fill="2C2C2C"/>
            <w:tcMar>
              <w:top w:w="140" w:type="dxa"/>
              <w:left w:w="120" w:type="dxa"/>
              <w:bottom w:w="140" w:type="dxa"/>
              <w:right w:w="120" w:type="dxa"/>
            </w:tcMar>
            <w:vAlign w:val="center"/>
          </w:tcPr>
          <w:p w14:paraId="664B15A6" w14:textId="77777777" w:rsidR="005233FC" w:rsidRDefault="00000000">
            <w:pPr>
              <w:jc w:val="center"/>
            </w:pPr>
            <w:r>
              <w:rPr>
                <w:color w:val="AAAAAA"/>
                <w:sz w:val="18"/>
                <w:szCs w:val="18"/>
              </w:rPr>
              <w:t>Date:</w:t>
            </w:r>
          </w:p>
          <w:p w14:paraId="698A7717" w14:textId="77777777" w:rsidR="005233FC" w:rsidRDefault="00000000">
            <w:pPr>
              <w:jc w:val="center"/>
            </w:pPr>
            <w:r>
              <w:rPr>
                <w:b/>
                <w:bCs/>
                <w:color w:val="FFFFFF"/>
                <w:sz w:val="22"/>
                <w:szCs w:val="22"/>
              </w:rPr>
              <w:t>May 2026</w:t>
            </w:r>
          </w:p>
        </w:tc>
      </w:tr>
    </w:tbl>
    <w:p w14:paraId="3EF3B724" w14:textId="77777777" w:rsidR="005233FC" w:rsidRDefault="005233FC">
      <w:pPr>
        <w:spacing w:before="160" w:after="80"/>
      </w:pPr>
    </w:p>
    <w:p w14:paraId="26C5C6F5" w14:textId="77777777" w:rsidR="005233FC" w:rsidRDefault="00000000">
      <w:pPr>
        <w:spacing w:after="60"/>
        <w:jc w:val="center"/>
      </w:pPr>
      <w:r>
        <w:rPr>
          <w:b/>
          <w:bCs/>
          <w:color w:val="2C2C2C"/>
          <w:sz w:val="44"/>
          <w:szCs w:val="44"/>
        </w:rPr>
        <w:t>Scenarios in Sexual Health</w:t>
      </w:r>
    </w:p>
    <w:p w14:paraId="0C6E752E" w14:textId="0C7FB6AB" w:rsidR="005233FC" w:rsidRDefault="00000000">
      <w:pPr>
        <w:spacing w:after="200"/>
        <w:jc w:val="center"/>
      </w:pPr>
      <w:r>
        <w:rPr>
          <w:i/>
          <w:iCs/>
          <w:color w:val="4A4A4A"/>
          <w:sz w:val="22"/>
          <w:szCs w:val="22"/>
        </w:rPr>
        <w:t>Role-Play Cases for GP Training</w:t>
      </w:r>
    </w:p>
    <w:p w14:paraId="049226D4" w14:textId="77777777" w:rsidR="005233FC" w:rsidRDefault="00000000">
      <w:pPr>
        <w:pBdr>
          <w:bottom w:val="single" w:sz="1" w:space="0" w:color="E8600A"/>
        </w:pBdr>
        <w:shd w:val="clear" w:color="auto" w:fill="E8600A"/>
        <w:spacing w:before="260" w:after="120"/>
      </w:pPr>
      <w:r>
        <w:rPr>
          <w:b/>
          <w:bCs/>
          <w:color w:val="FFFFFF"/>
          <w:sz w:val="28"/>
          <w:szCs w:val="28"/>
        </w:rPr>
        <w:t xml:space="preserve">  Facilitator Guide</w:t>
      </w:r>
    </w:p>
    <w:p w14:paraId="75E84092" w14:textId="77777777" w:rsidR="005233FC" w:rsidRDefault="005233FC">
      <w:pPr>
        <w:spacing w:before="80" w:after="40"/>
      </w:pPr>
    </w:p>
    <w:p w14:paraId="6A020BA9" w14:textId="77777777" w:rsidR="005233FC" w:rsidRDefault="00000000">
      <w:pPr>
        <w:spacing w:after="100"/>
      </w:pPr>
      <w:r>
        <w:rPr>
          <w:color w:val="2C2C2C"/>
        </w:rPr>
        <w:t>These scenarios are designed for small-group, fishbowl role-play within a GP training session. They explore the communication, attitudinal, and clinical knowledge challenges encountered in sexual health consultations.</w:t>
      </w:r>
    </w:p>
    <w:p w14:paraId="6B863E84" w14:textId="77777777" w:rsidR="005233FC" w:rsidRDefault="005233FC">
      <w:pPr>
        <w:spacing w:before="60" w:after="80"/>
      </w:pPr>
    </w:p>
    <w:p w14:paraId="18192BEA" w14:textId="77777777" w:rsidR="005233FC" w:rsidRDefault="00000000">
      <w:pPr>
        <w:spacing w:before="180" w:after="60"/>
      </w:pPr>
      <w:r>
        <w:rPr>
          <w:b/>
          <w:bCs/>
          <w:color w:val="1A5C8F"/>
          <w:sz w:val="22"/>
          <w:szCs w:val="22"/>
        </w:rPr>
        <w:t>How to Run the Session</w:t>
      </w:r>
    </w:p>
    <w:p w14:paraId="18B68175" w14:textId="77777777" w:rsidR="005233FC" w:rsidRDefault="00000000">
      <w:pPr>
        <w:pStyle w:val="ListParagraph"/>
        <w:numPr>
          <w:ilvl w:val="0"/>
          <w:numId w:val="2"/>
        </w:numPr>
        <w:spacing w:after="80"/>
      </w:pPr>
      <w:r>
        <w:rPr>
          <w:color w:val="2C2C2C"/>
        </w:rPr>
        <w:t>Divide into subgroups. Give each subgroup their role card (patient, partner, or doctor). Allow 5 minutes to prepare privately.</w:t>
      </w:r>
    </w:p>
    <w:p w14:paraId="2C9129FD" w14:textId="77777777" w:rsidR="005233FC" w:rsidRDefault="00000000">
      <w:pPr>
        <w:pStyle w:val="ListParagraph"/>
        <w:numPr>
          <w:ilvl w:val="0"/>
          <w:numId w:val="2"/>
        </w:numPr>
        <w:spacing w:after="80"/>
      </w:pPr>
      <w:r>
        <w:rPr>
          <w:color w:val="2C2C2C"/>
        </w:rPr>
        <w:t>Select one person to act each role. Run the role-play in a fishbowl — the rest of the group observe silently.</w:t>
      </w:r>
    </w:p>
    <w:p w14:paraId="5804A97F" w14:textId="77777777" w:rsidR="005233FC" w:rsidRDefault="00000000">
      <w:pPr>
        <w:pStyle w:val="ListParagraph"/>
        <w:numPr>
          <w:ilvl w:val="0"/>
          <w:numId w:val="2"/>
        </w:numPr>
        <w:spacing w:after="80"/>
      </w:pPr>
      <w:r>
        <w:rPr>
          <w:color w:val="2C2C2C"/>
        </w:rPr>
        <w:t>Debrief immediately afterwards: explore feelings before moving to clinical content.</w:t>
      </w:r>
    </w:p>
    <w:p w14:paraId="45E75E21" w14:textId="77777777" w:rsidR="005233FC" w:rsidRDefault="00000000">
      <w:pPr>
        <w:pStyle w:val="ListParagraph"/>
        <w:numPr>
          <w:ilvl w:val="0"/>
          <w:numId w:val="2"/>
        </w:numPr>
        <w:spacing w:after="80"/>
      </w:pPr>
      <w:r>
        <w:rPr>
          <w:color w:val="2C2C2C"/>
        </w:rPr>
        <w:t>Encourage concrete suggestions: not just "that could have been better" but "you could have said…"</w:t>
      </w:r>
    </w:p>
    <w:p w14:paraId="5812EE88"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636CB72E" w14:textId="77777777">
        <w:tblPrEx>
          <w:tblCellMar>
            <w:top w:w="0" w:type="dxa"/>
            <w:bottom w:w="0" w:type="dxa"/>
          </w:tblCellMar>
        </w:tblPrEx>
        <w:tc>
          <w:tcPr>
            <w:tcW w:w="9506" w:type="dxa"/>
            <w:tcBorders>
              <w:top w:val="single" w:sz="1" w:space="0" w:color="1A5C8F"/>
              <w:left w:val="single" w:sz="10" w:space="0" w:color="1A5C8F"/>
              <w:bottom w:val="single" w:sz="1" w:space="0" w:color="1A5C8F"/>
              <w:right w:val="single" w:sz="1" w:space="0" w:color="D0D0D0"/>
            </w:tcBorders>
            <w:shd w:val="clear" w:color="auto" w:fill="EFF4FB"/>
            <w:tcMar>
              <w:top w:w="120" w:type="dxa"/>
              <w:left w:w="160" w:type="dxa"/>
              <w:bottom w:w="120" w:type="dxa"/>
              <w:right w:w="160" w:type="dxa"/>
            </w:tcMar>
          </w:tcPr>
          <w:p w14:paraId="6955A960" w14:textId="77777777" w:rsidR="005233FC" w:rsidRDefault="00000000">
            <w:pPr>
              <w:spacing w:after="80"/>
            </w:pPr>
            <w:r>
              <w:rPr>
                <w:b/>
                <w:bCs/>
                <w:color w:val="1A5C8F"/>
              </w:rPr>
              <w:t>Debrief Framework</w:t>
            </w:r>
          </w:p>
          <w:p w14:paraId="164FBD24" w14:textId="77777777" w:rsidR="005233FC" w:rsidRDefault="00000000">
            <w:pPr>
              <w:pStyle w:val="ListParagraph"/>
              <w:numPr>
                <w:ilvl w:val="0"/>
                <w:numId w:val="2"/>
              </w:numPr>
              <w:spacing w:after="60"/>
            </w:pPr>
            <w:r>
              <w:rPr>
                <w:color w:val="2C2C2C"/>
                <w:sz w:val="19"/>
                <w:szCs w:val="19"/>
              </w:rPr>
              <w:t>Ask the patient (in role): How did that consultation feel?</w:t>
            </w:r>
          </w:p>
          <w:p w14:paraId="0C17CBD3" w14:textId="77777777" w:rsidR="005233FC" w:rsidRDefault="00000000">
            <w:pPr>
              <w:pStyle w:val="ListParagraph"/>
              <w:numPr>
                <w:ilvl w:val="0"/>
                <w:numId w:val="2"/>
              </w:numPr>
              <w:spacing w:after="60"/>
            </w:pPr>
            <w:r>
              <w:rPr>
                <w:color w:val="2C2C2C"/>
                <w:sz w:val="19"/>
                <w:szCs w:val="19"/>
              </w:rPr>
              <w:t>Ask the doctor (in role): What were you trying to achieve? What felt difficult?</w:t>
            </w:r>
          </w:p>
          <w:p w14:paraId="07F3048B" w14:textId="77777777" w:rsidR="005233FC" w:rsidRDefault="00000000">
            <w:pPr>
              <w:pStyle w:val="ListParagraph"/>
              <w:numPr>
                <w:ilvl w:val="0"/>
                <w:numId w:val="2"/>
              </w:numPr>
              <w:spacing w:after="60"/>
            </w:pPr>
            <w:r>
              <w:rPr>
                <w:color w:val="2C2C2C"/>
                <w:sz w:val="19"/>
                <w:szCs w:val="19"/>
              </w:rPr>
              <w:t>Ask out of role: What moments shifted the dynamic? What would you change?</w:t>
            </w:r>
          </w:p>
          <w:p w14:paraId="11020664" w14:textId="77777777" w:rsidR="005233FC" w:rsidRDefault="00000000">
            <w:pPr>
              <w:pStyle w:val="ListParagraph"/>
              <w:numPr>
                <w:ilvl w:val="0"/>
                <w:numId w:val="2"/>
              </w:numPr>
              <w:spacing w:after="60"/>
            </w:pPr>
            <w:r>
              <w:rPr>
                <w:color w:val="2C2C2C"/>
                <w:sz w:val="19"/>
                <w:szCs w:val="19"/>
              </w:rPr>
              <w:t>Balance attitudes, skills, and clinical knowledge — all three matter.</w:t>
            </w:r>
          </w:p>
          <w:p w14:paraId="15BBDF28" w14:textId="77777777" w:rsidR="005233FC" w:rsidRDefault="00000000">
            <w:pPr>
              <w:pStyle w:val="ListParagraph"/>
              <w:numPr>
                <w:ilvl w:val="0"/>
                <w:numId w:val="2"/>
              </w:numPr>
              <w:spacing w:after="60"/>
            </w:pPr>
            <w:r>
              <w:rPr>
                <w:color w:val="2C2C2C"/>
                <w:sz w:val="19"/>
                <w:szCs w:val="19"/>
              </w:rPr>
              <w:t>Feelings and attitudes take precedence over clinical information in the debrief.</w:t>
            </w:r>
          </w:p>
        </w:tc>
      </w:tr>
    </w:tbl>
    <w:p w14:paraId="5CBC3BA6" w14:textId="68BCD5DA" w:rsidR="00737EA8" w:rsidRDefault="00737EA8">
      <w:pPr>
        <w:spacing w:before="120" w:after="80"/>
      </w:pPr>
    </w:p>
    <w:p w14:paraId="2F650A3A" w14:textId="77777777" w:rsidR="00737EA8" w:rsidRDefault="00737EA8">
      <w:r>
        <w:br w:type="page"/>
      </w:r>
    </w:p>
    <w:p w14:paraId="0E9AEE83" w14:textId="77777777" w:rsidR="005233FC" w:rsidRPr="00737EA8" w:rsidRDefault="005233FC">
      <w:pPr>
        <w:spacing w:before="120" w:after="80"/>
        <w:rPr>
          <w:sz w:val="2"/>
          <w:szCs w:val="2"/>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1A604909" w14:textId="77777777">
        <w:tblPrEx>
          <w:tblCellMar>
            <w:top w:w="0" w:type="dxa"/>
            <w:bottom w:w="0" w:type="dxa"/>
          </w:tblCellMar>
        </w:tblPrEx>
        <w:tc>
          <w:tcPr>
            <w:tcW w:w="9506" w:type="dxa"/>
            <w:tcBorders>
              <w:top w:val="single" w:sz="1" w:space="0" w:color="1A5C8F"/>
              <w:left w:val="single" w:sz="16" w:space="0" w:color="E8600A"/>
              <w:bottom w:val="single" w:sz="1" w:space="0" w:color="1A5C8F"/>
              <w:right w:val="single" w:sz="1" w:space="0" w:color="1A5C8F"/>
            </w:tcBorders>
            <w:shd w:val="clear" w:color="auto" w:fill="EBF2F8"/>
            <w:tcMar>
              <w:top w:w="120" w:type="dxa"/>
              <w:left w:w="200" w:type="dxa"/>
              <w:bottom w:w="120" w:type="dxa"/>
              <w:right w:w="160" w:type="dxa"/>
            </w:tcMar>
          </w:tcPr>
          <w:p w14:paraId="3C492446" w14:textId="77777777" w:rsidR="005233FC" w:rsidRDefault="00000000">
            <w:pPr>
              <w:spacing w:after="40"/>
            </w:pPr>
            <w:r>
              <w:rPr>
                <w:b/>
                <w:bCs/>
                <w:color w:val="E8600A"/>
                <w:sz w:val="18"/>
                <w:szCs w:val="18"/>
              </w:rPr>
              <w:t>SCENARIO 1</w:t>
            </w:r>
          </w:p>
          <w:p w14:paraId="5D016A85" w14:textId="77777777" w:rsidR="005233FC" w:rsidRDefault="00000000">
            <w:r>
              <w:rPr>
                <w:b/>
                <w:bCs/>
                <w:color w:val="1A5C8F"/>
                <w:sz w:val="26"/>
                <w:szCs w:val="26"/>
              </w:rPr>
              <w:t>The Unconsummated Marriage</w:t>
            </w:r>
          </w:p>
        </w:tc>
      </w:tr>
    </w:tbl>
    <w:p w14:paraId="617D3B7D" w14:textId="554313B6" w:rsidR="005233FC" w:rsidRDefault="00000000" w:rsidP="00737EA8">
      <w:pPr>
        <w:spacing w:after="100"/>
      </w:pPr>
      <w:r>
        <w:rPr>
          <w:color w:val="2C2C2C"/>
        </w:rPr>
        <w:t>Anna, 28, attends with her husband John. They married two years ago and the marriage remains unconsummated. Anna wants to start a family.</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2FD24AF8"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D7A6E"/>
            <w:tcMar>
              <w:top w:w="100" w:type="dxa"/>
              <w:left w:w="140" w:type="dxa"/>
              <w:bottom w:w="100" w:type="dxa"/>
              <w:right w:w="140" w:type="dxa"/>
            </w:tcMar>
            <w:vAlign w:val="center"/>
          </w:tcPr>
          <w:p w14:paraId="1C601290" w14:textId="77777777" w:rsidR="005233FC" w:rsidRDefault="00000000">
            <w:pPr>
              <w:jc w:val="center"/>
            </w:pPr>
            <w:r>
              <w:rPr>
                <w:b/>
                <w:bCs/>
                <w:color w:val="FFFFFF"/>
                <w:sz w:val="19"/>
                <w:szCs w:val="19"/>
              </w:rPr>
              <w:t>PATIENT</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2CB4E439" w14:textId="77777777" w:rsidR="005233FC" w:rsidRDefault="00000000">
            <w:pPr>
              <w:spacing w:after="80"/>
            </w:pPr>
            <w:r>
              <w:rPr>
                <w:b/>
                <w:bCs/>
                <w:color w:val="2C2C2C"/>
              </w:rPr>
              <w:t>Anna — your perspective</w:t>
            </w:r>
          </w:p>
          <w:p w14:paraId="32A4243E" w14:textId="77777777" w:rsidR="005233FC" w:rsidRDefault="00000000">
            <w:pPr>
              <w:pStyle w:val="ListParagraph"/>
              <w:numPr>
                <w:ilvl w:val="0"/>
                <w:numId w:val="2"/>
              </w:numPr>
              <w:spacing w:after="60"/>
            </w:pPr>
            <w:r>
              <w:rPr>
                <w:color w:val="4A4A4A"/>
                <w:sz w:val="19"/>
                <w:szCs w:val="19"/>
              </w:rPr>
              <w:t>You are 28, married for two years, and want children. This is why you have come to the GP.</w:t>
            </w:r>
          </w:p>
          <w:p w14:paraId="5E0F2794" w14:textId="77777777" w:rsidR="005233FC" w:rsidRDefault="00000000">
            <w:pPr>
              <w:pStyle w:val="ListParagraph"/>
              <w:numPr>
                <w:ilvl w:val="0"/>
                <w:numId w:val="2"/>
              </w:numPr>
              <w:spacing w:after="60"/>
            </w:pPr>
            <w:r>
              <w:rPr>
                <w:color w:val="4A4A4A"/>
                <w:sz w:val="19"/>
                <w:szCs w:val="19"/>
              </w:rPr>
              <w:t>The marriage is unconsummated. You experience vaginal muscle spasm (vaginismus) whenever penetration is attempted.</w:t>
            </w:r>
          </w:p>
          <w:p w14:paraId="066E366E" w14:textId="77777777" w:rsidR="005233FC" w:rsidRDefault="00000000">
            <w:pPr>
              <w:pStyle w:val="ListParagraph"/>
              <w:numPr>
                <w:ilvl w:val="0"/>
                <w:numId w:val="2"/>
              </w:numPr>
              <w:spacing w:after="60"/>
            </w:pPr>
            <w:r>
              <w:rPr>
                <w:color w:val="4A4A4A"/>
                <w:sz w:val="19"/>
                <w:szCs w:val="19"/>
              </w:rPr>
              <w:t>Underlying this is fear related to a childhood incident of sexual abuse by a neighbour — not rape, but distressing. You have never told John the full detail.</w:t>
            </w:r>
          </w:p>
          <w:p w14:paraId="4D2ACF62" w14:textId="77777777" w:rsidR="005233FC" w:rsidRDefault="00000000">
            <w:pPr>
              <w:pStyle w:val="ListParagraph"/>
              <w:numPr>
                <w:ilvl w:val="0"/>
                <w:numId w:val="2"/>
              </w:numPr>
              <w:spacing w:after="60"/>
            </w:pPr>
            <w:r>
              <w:rPr>
                <w:color w:val="4A4A4A"/>
                <w:sz w:val="19"/>
                <w:szCs w:val="19"/>
              </w:rPr>
              <w:t>John is gentle and kind — he has never pushed you or made you feel pressured. Because he never raises it, neither do you.</w:t>
            </w:r>
          </w:p>
          <w:p w14:paraId="7E62CFFE" w14:textId="77777777" w:rsidR="005233FC" w:rsidRDefault="00000000">
            <w:pPr>
              <w:pStyle w:val="ListParagraph"/>
              <w:numPr>
                <w:ilvl w:val="0"/>
                <w:numId w:val="2"/>
              </w:numPr>
              <w:spacing w:after="60"/>
            </w:pPr>
            <w:r>
              <w:rPr>
                <w:color w:val="4A4A4A"/>
                <w:sz w:val="19"/>
                <w:szCs w:val="19"/>
              </w:rPr>
              <w:t>You feel deep shame and guilt. You hope the doctor can help without making you go into too much detail.</w:t>
            </w:r>
          </w:p>
        </w:tc>
      </w:tr>
    </w:tbl>
    <w:p w14:paraId="3192E423"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4082F915"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5A7E9A"/>
            <w:tcMar>
              <w:top w:w="100" w:type="dxa"/>
              <w:left w:w="140" w:type="dxa"/>
              <w:bottom w:w="100" w:type="dxa"/>
              <w:right w:w="140" w:type="dxa"/>
            </w:tcMar>
            <w:vAlign w:val="center"/>
          </w:tcPr>
          <w:p w14:paraId="6B46D699" w14:textId="77777777" w:rsidR="005233FC" w:rsidRDefault="00000000">
            <w:pPr>
              <w:jc w:val="center"/>
            </w:pPr>
            <w:r>
              <w:rPr>
                <w:b/>
                <w:bCs/>
                <w:color w:val="FFFFFF"/>
                <w:sz w:val="19"/>
                <w:szCs w:val="19"/>
              </w:rPr>
              <w:t>PARTNER</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17A39B27" w14:textId="77777777" w:rsidR="005233FC" w:rsidRDefault="00000000">
            <w:pPr>
              <w:spacing w:after="80"/>
            </w:pPr>
            <w:r>
              <w:rPr>
                <w:b/>
                <w:bCs/>
                <w:color w:val="2C2C2C"/>
              </w:rPr>
              <w:t>John — your perspective</w:t>
            </w:r>
          </w:p>
          <w:p w14:paraId="7A83EC79" w14:textId="77777777" w:rsidR="005233FC" w:rsidRDefault="00000000">
            <w:pPr>
              <w:pStyle w:val="ListParagraph"/>
              <w:numPr>
                <w:ilvl w:val="0"/>
                <w:numId w:val="2"/>
              </w:numPr>
              <w:spacing w:after="60"/>
            </w:pPr>
            <w:r>
              <w:rPr>
                <w:color w:val="4A4A4A"/>
                <w:sz w:val="19"/>
                <w:szCs w:val="19"/>
              </w:rPr>
              <w:t>You are a gentle, considerate partner. Early in the relationship you attempted intimacy, but when Anna seemed frightened and upset, you stopped immediately and never tried again.</w:t>
            </w:r>
          </w:p>
          <w:p w14:paraId="3213DED6" w14:textId="77777777" w:rsidR="005233FC" w:rsidRDefault="00000000">
            <w:pPr>
              <w:pStyle w:val="ListParagraph"/>
              <w:numPr>
                <w:ilvl w:val="0"/>
                <w:numId w:val="2"/>
              </w:numPr>
              <w:spacing w:after="60"/>
            </w:pPr>
            <w:r>
              <w:rPr>
                <w:color w:val="4A4A4A"/>
                <w:sz w:val="19"/>
                <w:szCs w:val="19"/>
              </w:rPr>
              <w:t>You have a vague sense that something happened to Anna in childhood, but you do not know the details and have not pushed her.</w:t>
            </w:r>
          </w:p>
          <w:p w14:paraId="3F587B67" w14:textId="77777777" w:rsidR="005233FC" w:rsidRDefault="00000000">
            <w:pPr>
              <w:pStyle w:val="ListParagraph"/>
              <w:numPr>
                <w:ilvl w:val="0"/>
                <w:numId w:val="2"/>
              </w:numPr>
              <w:spacing w:after="60"/>
            </w:pPr>
            <w:r>
              <w:rPr>
                <w:color w:val="4A4A4A"/>
                <w:sz w:val="19"/>
                <w:szCs w:val="19"/>
              </w:rPr>
              <w:t>You have assumed she would come to you when ready. You are here to support her.</w:t>
            </w:r>
          </w:p>
        </w:tc>
      </w:tr>
    </w:tbl>
    <w:p w14:paraId="7B9A6C39"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7F43A72C"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A5C8F"/>
            <w:tcMar>
              <w:top w:w="100" w:type="dxa"/>
              <w:left w:w="140" w:type="dxa"/>
              <w:bottom w:w="100" w:type="dxa"/>
              <w:right w:w="140" w:type="dxa"/>
            </w:tcMar>
            <w:vAlign w:val="center"/>
          </w:tcPr>
          <w:p w14:paraId="6E36BF7D" w14:textId="77777777" w:rsidR="005233FC" w:rsidRDefault="00000000">
            <w:pPr>
              <w:jc w:val="center"/>
            </w:pPr>
            <w:r>
              <w:rPr>
                <w:b/>
                <w:bCs/>
                <w:color w:val="FFFFFF"/>
                <w:sz w:val="19"/>
                <w:szCs w:val="19"/>
              </w:rPr>
              <w:t>DOCTOR</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455D171F" w14:textId="77777777" w:rsidR="005233FC" w:rsidRDefault="00000000">
            <w:pPr>
              <w:spacing w:after="80"/>
            </w:pPr>
            <w:r>
              <w:rPr>
                <w:b/>
                <w:bCs/>
                <w:color w:val="2C2C2C"/>
              </w:rPr>
              <w:t>Doctor — your background</w:t>
            </w:r>
          </w:p>
          <w:p w14:paraId="1F4CCBB8" w14:textId="77777777" w:rsidR="005233FC" w:rsidRDefault="00000000">
            <w:pPr>
              <w:pStyle w:val="ListParagraph"/>
              <w:numPr>
                <w:ilvl w:val="0"/>
                <w:numId w:val="2"/>
              </w:numPr>
              <w:spacing w:after="60"/>
            </w:pPr>
            <w:r>
              <w:rPr>
                <w:color w:val="4A4A4A"/>
                <w:sz w:val="19"/>
                <w:szCs w:val="19"/>
              </w:rPr>
              <w:t>You know this couple only superficially — you treated John for a running injury and prescribed Anna antihistamines.</w:t>
            </w:r>
          </w:p>
          <w:p w14:paraId="603001F2" w14:textId="77777777" w:rsidR="005233FC" w:rsidRDefault="00000000">
            <w:pPr>
              <w:pStyle w:val="ListParagraph"/>
              <w:numPr>
                <w:ilvl w:val="0"/>
                <w:numId w:val="2"/>
              </w:numPr>
              <w:spacing w:after="60"/>
            </w:pPr>
            <w:r>
              <w:rPr>
                <w:color w:val="4A4A4A"/>
                <w:sz w:val="19"/>
                <w:szCs w:val="19"/>
              </w:rPr>
              <w:t>Anna presents saying the marriage is unconsummated and she wants children. She has not yet mentioned abuse.</w:t>
            </w:r>
          </w:p>
          <w:p w14:paraId="2CC79248" w14:textId="77777777" w:rsidR="005233FC" w:rsidRDefault="00000000">
            <w:pPr>
              <w:pStyle w:val="ListParagraph"/>
              <w:numPr>
                <w:ilvl w:val="0"/>
                <w:numId w:val="2"/>
              </w:numPr>
              <w:spacing w:after="60"/>
            </w:pPr>
            <w:r>
              <w:rPr>
                <w:color w:val="4A4A4A"/>
                <w:sz w:val="19"/>
                <w:szCs w:val="19"/>
              </w:rPr>
              <w:t>Your task: create a safe, non-judgemental space; take a sensitive history; and manage appropriately.</w:t>
            </w:r>
          </w:p>
        </w:tc>
      </w:tr>
    </w:tbl>
    <w:p w14:paraId="61714D13"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4DA26F97" w14:textId="77777777">
        <w:tblPrEx>
          <w:tblCellMar>
            <w:top w:w="0" w:type="dxa"/>
            <w:bottom w:w="0" w:type="dxa"/>
          </w:tblCellMar>
        </w:tblPrEx>
        <w:tc>
          <w:tcPr>
            <w:tcW w:w="9506" w:type="dxa"/>
            <w:tcBorders>
              <w:top w:val="single" w:sz="1" w:space="0" w:color="1A5C8F"/>
              <w:left w:val="single" w:sz="10" w:space="0" w:color="1A5C8F"/>
              <w:bottom w:val="single" w:sz="1" w:space="0" w:color="1A5C8F"/>
              <w:right w:val="single" w:sz="1" w:space="0" w:color="D0D0D0"/>
            </w:tcBorders>
            <w:shd w:val="clear" w:color="auto" w:fill="EFF4FB"/>
            <w:tcMar>
              <w:top w:w="120" w:type="dxa"/>
              <w:left w:w="160" w:type="dxa"/>
              <w:bottom w:w="120" w:type="dxa"/>
              <w:right w:w="160" w:type="dxa"/>
            </w:tcMar>
          </w:tcPr>
          <w:p w14:paraId="52A6C91D" w14:textId="77777777" w:rsidR="005233FC" w:rsidRDefault="00000000">
            <w:pPr>
              <w:spacing w:after="80"/>
            </w:pPr>
            <w:r>
              <w:rPr>
                <w:b/>
                <w:bCs/>
                <w:color w:val="1A5C8F"/>
              </w:rPr>
              <w:t>Clinical Teaching Points — Vaginismus &amp; Psychosexual Medicine</w:t>
            </w:r>
          </w:p>
          <w:p w14:paraId="637E36FF" w14:textId="77777777" w:rsidR="005233FC" w:rsidRDefault="00000000">
            <w:pPr>
              <w:pStyle w:val="ListParagraph"/>
              <w:numPr>
                <w:ilvl w:val="0"/>
                <w:numId w:val="2"/>
              </w:numPr>
              <w:spacing w:after="60"/>
            </w:pPr>
            <w:r>
              <w:rPr>
                <w:color w:val="2C2C2C"/>
                <w:sz w:val="19"/>
                <w:szCs w:val="19"/>
              </w:rPr>
              <w:t>Vaginismus (now classified under DSM-5 as Genito-Pelvic Pain/Penetration Disorder) involves involuntary pelvic floor contraction triggered by attempted vaginal penetration — often with a significant psychological component.</w:t>
            </w:r>
          </w:p>
          <w:p w14:paraId="7C10D031" w14:textId="77777777" w:rsidR="005233FC" w:rsidRDefault="00000000">
            <w:pPr>
              <w:pStyle w:val="ListParagraph"/>
              <w:numPr>
                <w:ilvl w:val="0"/>
                <w:numId w:val="2"/>
              </w:numPr>
              <w:spacing w:after="60"/>
            </w:pPr>
            <w:r>
              <w:rPr>
                <w:color w:val="2C2C2C"/>
                <w:sz w:val="19"/>
                <w:szCs w:val="19"/>
              </w:rPr>
              <w:t>Childhood sexual trauma is a recognised precipitant. A trauma-informed approach is essential — do NOT press for details the patient is not ready to share.</w:t>
            </w:r>
          </w:p>
          <w:p w14:paraId="2C0FD5CC" w14:textId="77777777" w:rsidR="005233FC" w:rsidRDefault="00000000">
            <w:pPr>
              <w:pStyle w:val="ListParagraph"/>
              <w:numPr>
                <w:ilvl w:val="0"/>
                <w:numId w:val="2"/>
              </w:numPr>
              <w:spacing w:after="60"/>
            </w:pPr>
            <w:r>
              <w:rPr>
                <w:color w:val="2C2C2C"/>
                <w:sz w:val="19"/>
                <w:szCs w:val="19"/>
              </w:rPr>
              <w:t>First-line management in primary care: psychosexual counselling and/or CBT with graduated vaginal dilator therapy. Refer to a specialist psychosexual service.</w:t>
            </w:r>
          </w:p>
          <w:p w14:paraId="7689BF75" w14:textId="77777777" w:rsidR="005233FC" w:rsidRDefault="00000000">
            <w:pPr>
              <w:pStyle w:val="ListParagraph"/>
              <w:numPr>
                <w:ilvl w:val="0"/>
                <w:numId w:val="2"/>
              </w:numPr>
              <w:spacing w:after="60"/>
            </w:pPr>
            <w:r>
              <w:rPr>
                <w:color w:val="2C2C2C"/>
                <w:sz w:val="19"/>
                <w:szCs w:val="19"/>
              </w:rPr>
              <w:t>The RCGP and BASHH recommend that unconsummated marriages are explored holistically — organic, psychological, and relational factors all warrant assessment.</w:t>
            </w:r>
          </w:p>
          <w:p w14:paraId="1D82EF3B" w14:textId="77777777" w:rsidR="005233FC" w:rsidRDefault="00000000">
            <w:pPr>
              <w:pStyle w:val="ListParagraph"/>
              <w:numPr>
                <w:ilvl w:val="0"/>
                <w:numId w:val="2"/>
              </w:numPr>
              <w:spacing w:after="60"/>
            </w:pPr>
            <w:r>
              <w:rPr>
                <w:color w:val="2C2C2C"/>
                <w:sz w:val="19"/>
                <w:szCs w:val="19"/>
              </w:rPr>
              <w:t>Confidentiality: information shared by one partner must not be disclosed to the other without explicit consent.</w:t>
            </w:r>
          </w:p>
          <w:p w14:paraId="43206A7F" w14:textId="77777777" w:rsidR="005233FC" w:rsidRDefault="00000000">
            <w:pPr>
              <w:pStyle w:val="ListParagraph"/>
              <w:numPr>
                <w:ilvl w:val="0"/>
                <w:numId w:val="2"/>
              </w:numPr>
              <w:spacing w:after="60"/>
            </w:pPr>
            <w:r>
              <w:rPr>
                <w:color w:val="2C2C2C"/>
                <w:sz w:val="19"/>
                <w:szCs w:val="19"/>
              </w:rPr>
              <w:t>Safety-net: screen for ongoing domestic concern or coercive control as part of a trauma-informed assessment.</w:t>
            </w:r>
          </w:p>
        </w:tc>
      </w:tr>
    </w:tbl>
    <w:p w14:paraId="6B9FCB72" w14:textId="77777777" w:rsidR="005233FC" w:rsidRDefault="005233FC">
      <w:pPr>
        <w:pBdr>
          <w:bottom w:val="single" w:sz="2" w:space="0" w:color="D0D0D0"/>
        </w:pBdr>
        <w:spacing w:before="120" w:after="120"/>
      </w:pPr>
    </w:p>
    <w:p w14:paraId="6C4CBB37" w14:textId="52461A7A" w:rsidR="00737EA8" w:rsidRDefault="00737EA8">
      <w:r>
        <w:br w:type="page"/>
      </w:r>
    </w:p>
    <w:p w14:paraId="66729821" w14:textId="77777777" w:rsidR="005233FC" w:rsidRDefault="005233FC">
      <w:pPr>
        <w:spacing w:before="16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41F77DD2" w14:textId="77777777">
        <w:tblPrEx>
          <w:tblCellMar>
            <w:top w:w="0" w:type="dxa"/>
            <w:bottom w:w="0" w:type="dxa"/>
          </w:tblCellMar>
        </w:tblPrEx>
        <w:tc>
          <w:tcPr>
            <w:tcW w:w="9506" w:type="dxa"/>
            <w:tcBorders>
              <w:top w:val="single" w:sz="1" w:space="0" w:color="1A5C8F"/>
              <w:left w:val="single" w:sz="16" w:space="0" w:color="E8600A"/>
              <w:bottom w:val="single" w:sz="1" w:space="0" w:color="1A5C8F"/>
              <w:right w:val="single" w:sz="1" w:space="0" w:color="1A5C8F"/>
            </w:tcBorders>
            <w:shd w:val="clear" w:color="auto" w:fill="EBF2F8"/>
            <w:tcMar>
              <w:top w:w="120" w:type="dxa"/>
              <w:left w:w="200" w:type="dxa"/>
              <w:bottom w:w="120" w:type="dxa"/>
              <w:right w:w="160" w:type="dxa"/>
            </w:tcMar>
          </w:tcPr>
          <w:p w14:paraId="56B70EE9" w14:textId="77777777" w:rsidR="005233FC" w:rsidRDefault="00000000">
            <w:pPr>
              <w:spacing w:after="40"/>
            </w:pPr>
            <w:r>
              <w:rPr>
                <w:b/>
                <w:bCs/>
                <w:color w:val="E8600A"/>
                <w:sz w:val="18"/>
                <w:szCs w:val="18"/>
              </w:rPr>
              <w:t>SCENARIO 2</w:t>
            </w:r>
          </w:p>
          <w:p w14:paraId="47C3EA12" w14:textId="77777777" w:rsidR="005233FC" w:rsidRDefault="00000000">
            <w:r>
              <w:rPr>
                <w:b/>
                <w:bCs/>
                <w:color w:val="1A5C8F"/>
                <w:sz w:val="26"/>
                <w:szCs w:val="26"/>
              </w:rPr>
              <w:t>Erectile Dysfunction in an Older Man</w:t>
            </w:r>
          </w:p>
        </w:tc>
      </w:tr>
    </w:tbl>
    <w:p w14:paraId="4EA2AD7E" w14:textId="77777777" w:rsidR="005233FC" w:rsidRDefault="005233FC">
      <w:pPr>
        <w:spacing w:before="80" w:after="60"/>
      </w:pPr>
    </w:p>
    <w:p w14:paraId="51E68A32" w14:textId="77777777" w:rsidR="005233FC" w:rsidRDefault="00000000">
      <w:pPr>
        <w:spacing w:after="100"/>
      </w:pPr>
      <w:r>
        <w:rPr>
          <w:color w:val="2C2C2C"/>
        </w:rPr>
        <w:t>Arthur, 70, has well-controlled type 2 diabetes. He attends requesting sildenafil for erectile dysfunction. His wife Lilian has recently been seen separately.</w:t>
      </w:r>
    </w:p>
    <w:p w14:paraId="14508EB0" w14:textId="77777777" w:rsidR="005233FC" w:rsidRPr="00737EA8" w:rsidRDefault="005233FC">
      <w:pPr>
        <w:spacing w:before="80" w:after="80"/>
        <w:rPr>
          <w:sz w:val="2"/>
          <w:szCs w:val="2"/>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7737C4C8"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D7A6E"/>
            <w:tcMar>
              <w:top w:w="100" w:type="dxa"/>
              <w:left w:w="140" w:type="dxa"/>
              <w:bottom w:w="100" w:type="dxa"/>
              <w:right w:w="140" w:type="dxa"/>
            </w:tcMar>
            <w:vAlign w:val="center"/>
          </w:tcPr>
          <w:p w14:paraId="717EA657" w14:textId="77777777" w:rsidR="005233FC" w:rsidRDefault="00000000">
            <w:pPr>
              <w:jc w:val="center"/>
            </w:pPr>
            <w:r>
              <w:rPr>
                <w:b/>
                <w:bCs/>
                <w:color w:val="FFFFFF"/>
                <w:sz w:val="19"/>
                <w:szCs w:val="19"/>
              </w:rPr>
              <w:t>PATIENT</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22C03E7C" w14:textId="77777777" w:rsidR="005233FC" w:rsidRDefault="00000000">
            <w:pPr>
              <w:spacing w:after="80"/>
            </w:pPr>
            <w:r>
              <w:rPr>
                <w:b/>
                <w:bCs/>
                <w:color w:val="2C2C2C"/>
              </w:rPr>
              <w:t>Arthur — your perspective</w:t>
            </w:r>
          </w:p>
          <w:p w14:paraId="4429DDA8" w14:textId="77777777" w:rsidR="005233FC" w:rsidRDefault="00000000">
            <w:pPr>
              <w:pStyle w:val="ListParagraph"/>
              <w:numPr>
                <w:ilvl w:val="0"/>
                <w:numId w:val="2"/>
              </w:numPr>
              <w:spacing w:after="60"/>
            </w:pPr>
            <w:r>
              <w:rPr>
                <w:color w:val="4A4A4A"/>
                <w:sz w:val="19"/>
                <w:szCs w:val="19"/>
              </w:rPr>
              <w:t>You are 70, with type 2 diabetes well controlled on medication, and no significant end-organ complications other than erectile dysfunction.</w:t>
            </w:r>
          </w:p>
          <w:p w14:paraId="1529623B" w14:textId="77777777" w:rsidR="005233FC" w:rsidRDefault="00000000">
            <w:pPr>
              <w:pStyle w:val="ListParagraph"/>
              <w:numPr>
                <w:ilvl w:val="0"/>
                <w:numId w:val="2"/>
              </w:numPr>
              <w:spacing w:after="60"/>
            </w:pPr>
            <w:r>
              <w:rPr>
                <w:color w:val="4A4A4A"/>
                <w:sz w:val="19"/>
                <w:szCs w:val="19"/>
              </w:rPr>
              <w:t>You tell the doctor that you and Lilian have a happy relationship and would both like to resume intercourse.</w:t>
            </w:r>
          </w:p>
          <w:p w14:paraId="6FAA2FFF" w14:textId="77777777" w:rsidR="005233FC" w:rsidRDefault="00000000">
            <w:pPr>
              <w:pStyle w:val="ListParagraph"/>
              <w:numPr>
                <w:ilvl w:val="0"/>
                <w:numId w:val="2"/>
              </w:numPr>
              <w:spacing w:after="60"/>
            </w:pPr>
            <w:proofErr w:type="gramStart"/>
            <w:r>
              <w:rPr>
                <w:color w:val="4A4A4A"/>
                <w:sz w:val="19"/>
                <w:szCs w:val="19"/>
              </w:rPr>
              <w:t>In reality, you</w:t>
            </w:r>
            <w:proofErr w:type="gramEnd"/>
            <w:r>
              <w:rPr>
                <w:color w:val="4A4A4A"/>
                <w:sz w:val="19"/>
                <w:szCs w:val="19"/>
              </w:rPr>
              <w:t xml:space="preserve"> have not had sex in years. You have never actually asked Lilian whether she wants to.</w:t>
            </w:r>
          </w:p>
          <w:p w14:paraId="6F003D2C" w14:textId="77777777" w:rsidR="005233FC" w:rsidRDefault="00000000">
            <w:pPr>
              <w:pStyle w:val="ListParagraph"/>
              <w:numPr>
                <w:ilvl w:val="0"/>
                <w:numId w:val="2"/>
              </w:numPr>
              <w:spacing w:after="60"/>
            </w:pPr>
            <w:r>
              <w:rPr>
                <w:color w:val="4A4A4A"/>
                <w:sz w:val="19"/>
                <w:szCs w:val="19"/>
              </w:rPr>
              <w:t>You assume she does. You want a prescription — a pill to fix the problem — and you are hoping for minimal discussion.</w:t>
            </w:r>
          </w:p>
        </w:tc>
      </w:tr>
    </w:tbl>
    <w:p w14:paraId="318519FA"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445B46FC"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A5C8F"/>
            <w:tcMar>
              <w:top w:w="100" w:type="dxa"/>
              <w:left w:w="140" w:type="dxa"/>
              <w:bottom w:w="100" w:type="dxa"/>
              <w:right w:w="140" w:type="dxa"/>
            </w:tcMar>
            <w:vAlign w:val="center"/>
          </w:tcPr>
          <w:p w14:paraId="5A426642" w14:textId="77777777" w:rsidR="005233FC" w:rsidRDefault="00000000">
            <w:pPr>
              <w:jc w:val="center"/>
            </w:pPr>
            <w:r>
              <w:rPr>
                <w:b/>
                <w:bCs/>
                <w:color w:val="FFFFFF"/>
                <w:sz w:val="19"/>
                <w:szCs w:val="19"/>
              </w:rPr>
              <w:t>DOCTOR</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4059D508" w14:textId="77777777" w:rsidR="005233FC" w:rsidRDefault="00000000">
            <w:pPr>
              <w:spacing w:after="80"/>
            </w:pPr>
            <w:r>
              <w:rPr>
                <w:b/>
                <w:bCs/>
                <w:color w:val="2C2C2C"/>
              </w:rPr>
              <w:t>Doctor — your background</w:t>
            </w:r>
          </w:p>
          <w:p w14:paraId="514E72B1" w14:textId="77777777" w:rsidR="005233FC" w:rsidRDefault="00000000">
            <w:pPr>
              <w:pStyle w:val="ListParagraph"/>
              <w:numPr>
                <w:ilvl w:val="0"/>
                <w:numId w:val="2"/>
              </w:numPr>
              <w:spacing w:after="60"/>
            </w:pPr>
            <w:r>
              <w:rPr>
                <w:color w:val="4A4A4A"/>
                <w:sz w:val="19"/>
                <w:szCs w:val="19"/>
              </w:rPr>
              <w:t>You know Arthur well from his diabetic reviews. His ED is consistent with diabetic autonomic neuropathy and meets the clinical criteria for prescribing a PDE-5 inhibitor.</w:t>
            </w:r>
          </w:p>
          <w:p w14:paraId="4992C186" w14:textId="77777777" w:rsidR="005233FC" w:rsidRDefault="00000000">
            <w:pPr>
              <w:pStyle w:val="ListParagraph"/>
              <w:numPr>
                <w:ilvl w:val="0"/>
                <w:numId w:val="2"/>
              </w:numPr>
              <w:spacing w:after="60"/>
            </w:pPr>
            <w:r>
              <w:rPr>
                <w:color w:val="4A4A4A"/>
                <w:sz w:val="19"/>
                <w:szCs w:val="19"/>
              </w:rPr>
              <w:t>However, you recently saw Lilian for vulval irritation and found vaginal atrophy on examination. When you asked about sexual activity, she said she is glad that "all that" is behind her — she never found sex pleasurable and sees it as a thing of the past.</w:t>
            </w:r>
          </w:p>
          <w:p w14:paraId="1E1707A0" w14:textId="77777777" w:rsidR="005233FC" w:rsidRDefault="00000000">
            <w:pPr>
              <w:pStyle w:val="ListParagraph"/>
              <w:numPr>
                <w:ilvl w:val="0"/>
                <w:numId w:val="2"/>
              </w:numPr>
              <w:spacing w:after="60"/>
            </w:pPr>
            <w:r>
              <w:rPr>
                <w:color w:val="4A4A4A"/>
                <w:sz w:val="19"/>
                <w:szCs w:val="19"/>
              </w:rPr>
              <w:t>The ethical dilemma: you have information (from Lilian) that is clearly relevant, but you obtained it in confidence. You cannot disclose it to Arthur.</w:t>
            </w:r>
          </w:p>
          <w:p w14:paraId="748C45B6" w14:textId="77777777" w:rsidR="005233FC" w:rsidRDefault="00000000">
            <w:pPr>
              <w:pStyle w:val="ListParagraph"/>
              <w:numPr>
                <w:ilvl w:val="0"/>
                <w:numId w:val="2"/>
              </w:numPr>
              <w:spacing w:after="60"/>
            </w:pPr>
            <w:r>
              <w:rPr>
                <w:color w:val="4A4A4A"/>
                <w:sz w:val="19"/>
                <w:szCs w:val="19"/>
              </w:rPr>
              <w:t>Your task: assess Arthur's ED, explore the relationship context sensitively, and navigate the ethical dimensions without breaching Lilian's confidentiality.</w:t>
            </w:r>
          </w:p>
        </w:tc>
      </w:tr>
    </w:tbl>
    <w:p w14:paraId="7CBF12BA"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5E67825A" w14:textId="77777777">
        <w:tblPrEx>
          <w:tblCellMar>
            <w:top w:w="0" w:type="dxa"/>
            <w:bottom w:w="0" w:type="dxa"/>
          </w:tblCellMar>
        </w:tblPrEx>
        <w:tc>
          <w:tcPr>
            <w:tcW w:w="9506" w:type="dxa"/>
            <w:tcBorders>
              <w:top w:val="single" w:sz="1" w:space="0" w:color="1A5C8F"/>
              <w:left w:val="single" w:sz="10" w:space="0" w:color="1A5C8F"/>
              <w:bottom w:val="single" w:sz="1" w:space="0" w:color="1A5C8F"/>
              <w:right w:val="single" w:sz="1" w:space="0" w:color="D0D0D0"/>
            </w:tcBorders>
            <w:shd w:val="clear" w:color="auto" w:fill="EFF4FB"/>
            <w:tcMar>
              <w:top w:w="120" w:type="dxa"/>
              <w:left w:w="160" w:type="dxa"/>
              <w:bottom w:w="120" w:type="dxa"/>
              <w:right w:w="160" w:type="dxa"/>
            </w:tcMar>
          </w:tcPr>
          <w:p w14:paraId="493E59F6" w14:textId="77777777" w:rsidR="005233FC" w:rsidRDefault="00000000">
            <w:pPr>
              <w:spacing w:after="80"/>
            </w:pPr>
            <w:r>
              <w:rPr>
                <w:b/>
                <w:bCs/>
                <w:color w:val="1A5C8F"/>
              </w:rPr>
              <w:t>Clinical Teaching Points — Erectile Dysfunction</w:t>
            </w:r>
          </w:p>
          <w:p w14:paraId="780E1DE3" w14:textId="77777777" w:rsidR="005233FC" w:rsidRDefault="00000000">
            <w:pPr>
              <w:pStyle w:val="ListParagraph"/>
              <w:numPr>
                <w:ilvl w:val="0"/>
                <w:numId w:val="2"/>
              </w:numPr>
              <w:spacing w:after="60"/>
            </w:pPr>
            <w:r>
              <w:rPr>
                <w:color w:val="2C2C2C"/>
                <w:sz w:val="19"/>
                <w:szCs w:val="19"/>
              </w:rPr>
              <w:t>Erectile dysfunction (ED) is defined as persistent inability to attain or maintain an erection sufficient for satisfactory sexual performance.</w:t>
            </w:r>
          </w:p>
          <w:p w14:paraId="509D8067" w14:textId="77777777" w:rsidR="005233FC" w:rsidRDefault="00000000">
            <w:pPr>
              <w:pStyle w:val="ListParagraph"/>
              <w:numPr>
                <w:ilvl w:val="0"/>
                <w:numId w:val="2"/>
              </w:numPr>
              <w:spacing w:after="60"/>
            </w:pPr>
            <w:r>
              <w:rPr>
                <w:color w:val="2C2C2C"/>
                <w:sz w:val="19"/>
                <w:szCs w:val="19"/>
              </w:rPr>
              <w:t>Investigations (NICE CKS, Jan 2024): fasting glucose or HbA1c, fasting lipid profile, morning total testosterone (repeat if low), urinalysis, cardiovascular risk assessment (QRISK3), blood pressure. Consider SHBG and albumin to calculate free testosterone in obese men.</w:t>
            </w:r>
          </w:p>
          <w:p w14:paraId="4553E1D5" w14:textId="77777777" w:rsidR="005233FC" w:rsidRDefault="00000000">
            <w:pPr>
              <w:pStyle w:val="ListParagraph"/>
              <w:numPr>
                <w:ilvl w:val="0"/>
                <w:numId w:val="2"/>
              </w:numPr>
              <w:spacing w:after="60"/>
            </w:pPr>
            <w:r>
              <w:rPr>
                <w:color w:val="2C2C2C"/>
                <w:sz w:val="19"/>
                <w:szCs w:val="19"/>
              </w:rPr>
              <w:t>ED is an independent cardiovascular risk marker — its presence should prompt CV risk assessment even if the patient has not presented for this.</w:t>
            </w:r>
          </w:p>
          <w:p w14:paraId="3E0B903B" w14:textId="77777777" w:rsidR="005233FC" w:rsidRDefault="00000000">
            <w:pPr>
              <w:pStyle w:val="ListParagraph"/>
              <w:numPr>
                <w:ilvl w:val="0"/>
                <w:numId w:val="2"/>
              </w:numPr>
              <w:spacing w:after="60"/>
            </w:pPr>
            <w:r>
              <w:rPr>
                <w:color w:val="2C2C2C"/>
                <w:sz w:val="19"/>
                <w:szCs w:val="19"/>
              </w:rPr>
              <w:t>First-line pharmacological treatment: generic sildenafil 50 mg as required (titrate to 25 mg or 100 mg based on response and tolerability). Tadalafil and vardenafil are alternatives.</w:t>
            </w:r>
          </w:p>
          <w:p w14:paraId="5CA8F7D5" w14:textId="77777777" w:rsidR="005233FC" w:rsidRDefault="00000000">
            <w:pPr>
              <w:pStyle w:val="ListParagraph"/>
              <w:numPr>
                <w:ilvl w:val="0"/>
                <w:numId w:val="2"/>
              </w:numPr>
              <w:spacing w:after="60"/>
            </w:pPr>
            <w:r>
              <w:rPr>
                <w:color w:val="2C2C2C"/>
                <w:sz w:val="19"/>
                <w:szCs w:val="19"/>
              </w:rPr>
              <w:t>Generic sildenafil can be prescribed without NHS restriction for all men with ED. Branded products (Viagra®, Cialis®) remain restricted under the Selected List Scheme.</w:t>
            </w:r>
          </w:p>
          <w:p w14:paraId="59387C65" w14:textId="77777777" w:rsidR="005233FC" w:rsidRDefault="00000000">
            <w:pPr>
              <w:pStyle w:val="ListParagraph"/>
              <w:numPr>
                <w:ilvl w:val="0"/>
                <w:numId w:val="2"/>
              </w:numPr>
              <w:spacing w:after="60"/>
            </w:pPr>
            <w:r>
              <w:rPr>
                <w:color w:val="2C2C2C"/>
                <w:sz w:val="19"/>
                <w:szCs w:val="19"/>
              </w:rPr>
              <w:t>Absolute contraindication: do NOT prescribe any PDE-5 inhibitor concurrently with nitrates (GTN, isosorbide mononitrate/dinitrate), nicorandil, or nitric oxide donors — risk of severe, potentially fatal hypotension.</w:t>
            </w:r>
          </w:p>
          <w:p w14:paraId="67091C9C" w14:textId="77777777" w:rsidR="005233FC" w:rsidRDefault="00000000">
            <w:pPr>
              <w:pStyle w:val="ListParagraph"/>
              <w:numPr>
                <w:ilvl w:val="0"/>
                <w:numId w:val="2"/>
              </w:numPr>
              <w:spacing w:after="60"/>
            </w:pPr>
            <w:r>
              <w:rPr>
                <w:color w:val="2C2C2C"/>
                <w:sz w:val="19"/>
                <w:szCs w:val="19"/>
              </w:rPr>
              <w:t>Assess cardiac risk before prescribing. Refer high-risk patients (unstable angina, recent MI, poorly controlled hypertension) to cardiology before initiating PDE-5 therapy.</w:t>
            </w:r>
          </w:p>
          <w:p w14:paraId="639B786B" w14:textId="77777777" w:rsidR="005233FC" w:rsidRDefault="00000000">
            <w:pPr>
              <w:pStyle w:val="ListParagraph"/>
              <w:numPr>
                <w:ilvl w:val="0"/>
                <w:numId w:val="2"/>
              </w:numPr>
              <w:spacing w:after="60"/>
            </w:pPr>
            <w:r>
              <w:rPr>
                <w:color w:val="2C2C2C"/>
                <w:sz w:val="19"/>
                <w:szCs w:val="19"/>
              </w:rPr>
              <w:t>Ethical point: information given in confidence by one partner may NOT be disclosed to the other — even when clinically relevant. Managing this tension is a key teaching objective of this scenario.</w:t>
            </w:r>
          </w:p>
        </w:tc>
      </w:tr>
    </w:tbl>
    <w:p w14:paraId="44009C99" w14:textId="77777777" w:rsidR="005233FC" w:rsidRDefault="005233FC">
      <w:pPr>
        <w:pBdr>
          <w:bottom w:val="single" w:sz="2" w:space="0" w:color="D0D0D0"/>
        </w:pBdr>
        <w:spacing w:before="120" w:after="120"/>
      </w:pPr>
    </w:p>
    <w:p w14:paraId="6684749E" w14:textId="77777777" w:rsidR="005233FC" w:rsidRDefault="005233FC">
      <w:pPr>
        <w:spacing w:before="16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37B8DFF5" w14:textId="77777777">
        <w:tblPrEx>
          <w:tblCellMar>
            <w:top w:w="0" w:type="dxa"/>
            <w:bottom w:w="0" w:type="dxa"/>
          </w:tblCellMar>
        </w:tblPrEx>
        <w:tc>
          <w:tcPr>
            <w:tcW w:w="9506" w:type="dxa"/>
            <w:tcBorders>
              <w:top w:val="single" w:sz="1" w:space="0" w:color="1A5C8F"/>
              <w:left w:val="single" w:sz="16" w:space="0" w:color="E8600A"/>
              <w:bottom w:val="single" w:sz="1" w:space="0" w:color="1A5C8F"/>
              <w:right w:val="single" w:sz="1" w:space="0" w:color="1A5C8F"/>
            </w:tcBorders>
            <w:shd w:val="clear" w:color="auto" w:fill="EBF2F8"/>
            <w:tcMar>
              <w:top w:w="120" w:type="dxa"/>
              <w:left w:w="200" w:type="dxa"/>
              <w:bottom w:w="120" w:type="dxa"/>
              <w:right w:w="160" w:type="dxa"/>
            </w:tcMar>
          </w:tcPr>
          <w:p w14:paraId="027AC5D7" w14:textId="77777777" w:rsidR="005233FC" w:rsidRDefault="00000000">
            <w:pPr>
              <w:spacing w:after="40"/>
            </w:pPr>
            <w:r>
              <w:rPr>
                <w:b/>
                <w:bCs/>
                <w:color w:val="E8600A"/>
                <w:sz w:val="18"/>
                <w:szCs w:val="18"/>
              </w:rPr>
              <w:t>SCENARIO 3</w:t>
            </w:r>
          </w:p>
          <w:p w14:paraId="3B0486EC" w14:textId="77777777" w:rsidR="005233FC" w:rsidRDefault="00000000">
            <w:r>
              <w:rPr>
                <w:b/>
                <w:bCs/>
                <w:color w:val="1A5C8F"/>
                <w:sz w:val="26"/>
                <w:szCs w:val="26"/>
              </w:rPr>
              <w:t>Vaginal Discharge — The Unexpected Diagnosis</w:t>
            </w:r>
          </w:p>
        </w:tc>
      </w:tr>
    </w:tbl>
    <w:p w14:paraId="4A748AC7" w14:textId="77777777" w:rsidR="005233FC" w:rsidRDefault="005233FC">
      <w:pPr>
        <w:spacing w:before="80" w:after="60"/>
      </w:pPr>
    </w:p>
    <w:p w14:paraId="73FCC6C9" w14:textId="77777777" w:rsidR="005233FC" w:rsidRDefault="00000000">
      <w:pPr>
        <w:spacing w:after="100"/>
      </w:pPr>
      <w:r>
        <w:rPr>
          <w:color w:val="2C2C2C"/>
        </w:rPr>
        <w:t>Sharon, 20, presents with vaginal discharge. She has been with her partner Paul for two years. She is planning to start a family soon.</w:t>
      </w:r>
    </w:p>
    <w:p w14:paraId="43630CB3"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2239FF91"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D7A6E"/>
            <w:tcMar>
              <w:top w:w="100" w:type="dxa"/>
              <w:left w:w="140" w:type="dxa"/>
              <w:bottom w:w="100" w:type="dxa"/>
              <w:right w:w="140" w:type="dxa"/>
            </w:tcMar>
            <w:vAlign w:val="center"/>
          </w:tcPr>
          <w:p w14:paraId="49EAF649" w14:textId="77777777" w:rsidR="005233FC" w:rsidRDefault="00000000">
            <w:pPr>
              <w:jc w:val="center"/>
            </w:pPr>
            <w:r>
              <w:rPr>
                <w:b/>
                <w:bCs/>
                <w:color w:val="FFFFFF"/>
                <w:sz w:val="19"/>
                <w:szCs w:val="19"/>
              </w:rPr>
              <w:t>PATIENT</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55F71E64" w14:textId="77777777" w:rsidR="005233FC" w:rsidRDefault="00000000">
            <w:pPr>
              <w:spacing w:after="80"/>
            </w:pPr>
            <w:r>
              <w:rPr>
                <w:b/>
                <w:bCs/>
                <w:color w:val="2C2C2C"/>
              </w:rPr>
              <w:t>Sharon — your perspective</w:t>
            </w:r>
          </w:p>
          <w:p w14:paraId="0455D44C" w14:textId="77777777" w:rsidR="005233FC" w:rsidRDefault="00000000">
            <w:pPr>
              <w:pStyle w:val="ListParagraph"/>
              <w:numPr>
                <w:ilvl w:val="0"/>
                <w:numId w:val="2"/>
              </w:numPr>
              <w:spacing w:after="60"/>
            </w:pPr>
            <w:r>
              <w:rPr>
                <w:color w:val="4A4A4A"/>
                <w:sz w:val="19"/>
                <w:szCs w:val="19"/>
              </w:rPr>
              <w:t>You have been with Paul exclusively for two years. You are confident neither of you has been with anyone else since you met.</w:t>
            </w:r>
          </w:p>
          <w:p w14:paraId="6BBE25A6" w14:textId="77777777" w:rsidR="005233FC" w:rsidRDefault="00000000">
            <w:pPr>
              <w:pStyle w:val="ListParagraph"/>
              <w:numPr>
                <w:ilvl w:val="0"/>
                <w:numId w:val="2"/>
              </w:numPr>
              <w:spacing w:after="60"/>
            </w:pPr>
            <w:r>
              <w:rPr>
                <w:color w:val="4A4A4A"/>
                <w:sz w:val="19"/>
                <w:szCs w:val="19"/>
              </w:rPr>
              <w:t>You have noticed an abnormal vaginal discharge and have come for a check.</w:t>
            </w:r>
          </w:p>
          <w:p w14:paraId="78B73A6D" w14:textId="77777777" w:rsidR="005233FC" w:rsidRDefault="00000000">
            <w:pPr>
              <w:pStyle w:val="ListParagraph"/>
              <w:numPr>
                <w:ilvl w:val="0"/>
                <w:numId w:val="2"/>
              </w:numPr>
              <w:spacing w:after="60"/>
            </w:pPr>
            <w:r>
              <w:rPr>
                <w:color w:val="4A4A4A"/>
                <w:sz w:val="19"/>
                <w:szCs w:val="19"/>
              </w:rPr>
              <w:t>You are on the combined pill but planning to stop soon — you and Paul want to start a family.</w:t>
            </w:r>
          </w:p>
          <w:p w14:paraId="284961CF" w14:textId="77777777" w:rsidR="005233FC" w:rsidRDefault="00000000">
            <w:pPr>
              <w:pStyle w:val="ListParagraph"/>
              <w:numPr>
                <w:ilvl w:val="0"/>
                <w:numId w:val="2"/>
              </w:numPr>
              <w:spacing w:after="60"/>
            </w:pPr>
            <w:r>
              <w:rPr>
                <w:color w:val="4A4A4A"/>
                <w:sz w:val="19"/>
                <w:szCs w:val="19"/>
              </w:rPr>
              <w:t>You are not expecting any STI diagnosis and have not considered this possibility.</w:t>
            </w:r>
          </w:p>
        </w:tc>
      </w:tr>
    </w:tbl>
    <w:p w14:paraId="260E2E73"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20CE70E8"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A5C8F"/>
            <w:tcMar>
              <w:top w:w="100" w:type="dxa"/>
              <w:left w:w="140" w:type="dxa"/>
              <w:bottom w:w="100" w:type="dxa"/>
              <w:right w:w="140" w:type="dxa"/>
            </w:tcMar>
            <w:vAlign w:val="center"/>
          </w:tcPr>
          <w:p w14:paraId="0918C447" w14:textId="77777777" w:rsidR="005233FC" w:rsidRDefault="00000000">
            <w:pPr>
              <w:jc w:val="center"/>
            </w:pPr>
            <w:r>
              <w:rPr>
                <w:b/>
                <w:bCs/>
                <w:color w:val="FFFFFF"/>
                <w:sz w:val="19"/>
                <w:szCs w:val="19"/>
              </w:rPr>
              <w:t>DOCTOR</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162E8ABF" w14:textId="77777777" w:rsidR="005233FC" w:rsidRDefault="00000000">
            <w:pPr>
              <w:spacing w:after="80"/>
            </w:pPr>
            <w:r>
              <w:rPr>
                <w:b/>
                <w:bCs/>
                <w:color w:val="2C2C2C"/>
              </w:rPr>
              <w:t>Doctor — your background</w:t>
            </w:r>
          </w:p>
          <w:p w14:paraId="128D88A6" w14:textId="77777777" w:rsidR="005233FC" w:rsidRDefault="00000000">
            <w:pPr>
              <w:pStyle w:val="ListParagraph"/>
              <w:numPr>
                <w:ilvl w:val="0"/>
                <w:numId w:val="2"/>
              </w:numPr>
              <w:spacing w:after="60"/>
            </w:pPr>
            <w:r>
              <w:rPr>
                <w:color w:val="4A4A4A"/>
                <w:sz w:val="19"/>
                <w:szCs w:val="19"/>
              </w:rPr>
              <w:t>You know Sharon and are aware she plans to stop contraception soon.</w:t>
            </w:r>
          </w:p>
          <w:p w14:paraId="5ABFF1D0" w14:textId="77777777" w:rsidR="005233FC" w:rsidRDefault="00000000">
            <w:pPr>
              <w:pStyle w:val="ListParagraph"/>
              <w:numPr>
                <w:ilvl w:val="0"/>
                <w:numId w:val="2"/>
              </w:numPr>
              <w:spacing w:after="60"/>
            </w:pPr>
            <w:r>
              <w:rPr>
                <w:color w:val="4A4A4A"/>
                <w:sz w:val="19"/>
                <w:szCs w:val="19"/>
              </w:rPr>
              <w:t>On examination, the discharge has an offensive fishy odour — you suspect bacterial vaginosis.</w:t>
            </w:r>
          </w:p>
          <w:p w14:paraId="10ACAA88" w14:textId="77777777" w:rsidR="005233FC" w:rsidRDefault="00000000">
            <w:pPr>
              <w:pStyle w:val="ListParagraph"/>
              <w:numPr>
                <w:ilvl w:val="0"/>
                <w:numId w:val="2"/>
              </w:numPr>
              <w:spacing w:after="60"/>
            </w:pPr>
            <w:r>
              <w:rPr>
                <w:color w:val="4A4A4A"/>
                <w:sz w:val="19"/>
                <w:szCs w:val="19"/>
              </w:rPr>
              <w:t>You take triple swabs including a chlamydia NAAT (nucleic acid amplification test) as part of routine best practice for any vaginal discharge.</w:t>
            </w:r>
          </w:p>
          <w:p w14:paraId="4B16E172" w14:textId="77777777" w:rsidR="005233FC" w:rsidRDefault="00000000">
            <w:pPr>
              <w:pStyle w:val="ListParagraph"/>
              <w:numPr>
                <w:ilvl w:val="0"/>
                <w:numId w:val="2"/>
              </w:numPr>
              <w:spacing w:after="60"/>
            </w:pPr>
            <w:r>
              <w:rPr>
                <w:color w:val="4A4A4A"/>
                <w:sz w:val="19"/>
                <w:szCs w:val="19"/>
              </w:rPr>
              <w:t xml:space="preserve">Results </w:t>
            </w:r>
            <w:proofErr w:type="gramStart"/>
            <w:r>
              <w:rPr>
                <w:color w:val="4A4A4A"/>
                <w:sz w:val="19"/>
                <w:szCs w:val="19"/>
              </w:rPr>
              <w:t>return:</w:t>
            </w:r>
            <w:proofErr w:type="gramEnd"/>
            <w:r>
              <w:rPr>
                <w:color w:val="4A4A4A"/>
                <w:sz w:val="19"/>
                <w:szCs w:val="19"/>
              </w:rPr>
              <w:t xml:space="preserve"> both Gardnerella vaginalis (bacterial vaginosis) AND Chlamydia trachomatis are detected.</w:t>
            </w:r>
          </w:p>
          <w:p w14:paraId="47D3BB8A" w14:textId="77777777" w:rsidR="005233FC" w:rsidRDefault="00000000">
            <w:pPr>
              <w:pStyle w:val="ListParagraph"/>
              <w:numPr>
                <w:ilvl w:val="0"/>
                <w:numId w:val="2"/>
              </w:numPr>
              <w:spacing w:after="60"/>
            </w:pPr>
            <w:r>
              <w:rPr>
                <w:color w:val="4A4A4A"/>
                <w:sz w:val="19"/>
                <w:szCs w:val="19"/>
              </w:rPr>
              <w:t>Your task: break the diagnosis sensitively; address implications for Paul and partner notification; provide accurate treatment; and manage the fertility concerns.</w:t>
            </w:r>
          </w:p>
        </w:tc>
      </w:tr>
    </w:tbl>
    <w:p w14:paraId="2ACE2A9B"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157D7A19" w14:textId="77777777">
        <w:tblPrEx>
          <w:tblCellMar>
            <w:top w:w="0" w:type="dxa"/>
            <w:bottom w:w="0" w:type="dxa"/>
          </w:tblCellMar>
        </w:tblPrEx>
        <w:tc>
          <w:tcPr>
            <w:tcW w:w="9506" w:type="dxa"/>
            <w:tcBorders>
              <w:top w:val="single" w:sz="1" w:space="0" w:color="C75B00"/>
              <w:left w:val="single" w:sz="12" w:space="0" w:color="C75B00"/>
              <w:bottom w:val="single" w:sz="1" w:space="0" w:color="C75B00"/>
              <w:right w:val="single" w:sz="1" w:space="0" w:color="D0D0D0"/>
            </w:tcBorders>
            <w:shd w:val="clear" w:color="auto" w:fill="FFF8F0"/>
            <w:tcMar>
              <w:top w:w="120" w:type="dxa"/>
              <w:left w:w="160" w:type="dxa"/>
              <w:bottom w:w="120" w:type="dxa"/>
              <w:right w:w="160" w:type="dxa"/>
            </w:tcMar>
          </w:tcPr>
          <w:p w14:paraId="42454A3C" w14:textId="77777777" w:rsidR="005233FC" w:rsidRDefault="00000000">
            <w:pPr>
              <w:spacing w:after="40"/>
            </w:pPr>
            <w:r>
              <w:rPr>
                <w:b/>
                <w:bCs/>
                <w:color w:val="C75B00"/>
              </w:rPr>
              <w:t>⚠</w:t>
            </w:r>
            <w:r>
              <w:rPr>
                <w:b/>
                <w:bCs/>
                <w:color w:val="2C2C2C"/>
              </w:rPr>
              <w:t xml:space="preserve"> CRITICAL RESULT:</w:t>
            </w:r>
          </w:p>
          <w:p w14:paraId="773DB609" w14:textId="77777777" w:rsidR="005233FC" w:rsidRDefault="00000000">
            <w:pPr>
              <w:spacing w:before="40" w:after="40"/>
            </w:pPr>
            <w:r>
              <w:rPr>
                <w:color w:val="2C2C2C"/>
              </w:rPr>
              <w:t xml:space="preserve"> Swabs confirm BOTH Bacterial Vaginosis (Gardnerella) AND Chlamydia trachomatis. This must be disclosed to Sharon with care — the implication of a chlamydia diagnosis in a reportedly monogamous couple requires a sensitive, non-judgemental approach.</w:t>
            </w:r>
          </w:p>
        </w:tc>
      </w:tr>
    </w:tbl>
    <w:p w14:paraId="09C1CA42" w14:textId="77777777" w:rsidR="005233FC" w:rsidRDefault="005233FC">
      <w:pPr>
        <w:spacing w:before="10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04346D98" w14:textId="77777777">
        <w:tblPrEx>
          <w:tblCellMar>
            <w:top w:w="0" w:type="dxa"/>
            <w:bottom w:w="0" w:type="dxa"/>
          </w:tblCellMar>
        </w:tblPrEx>
        <w:tc>
          <w:tcPr>
            <w:tcW w:w="9506" w:type="dxa"/>
            <w:tcBorders>
              <w:top w:val="single" w:sz="1" w:space="0" w:color="1A5C8F"/>
              <w:left w:val="single" w:sz="10" w:space="0" w:color="1A5C8F"/>
              <w:bottom w:val="single" w:sz="1" w:space="0" w:color="1A5C8F"/>
              <w:right w:val="single" w:sz="1" w:space="0" w:color="D0D0D0"/>
            </w:tcBorders>
            <w:shd w:val="clear" w:color="auto" w:fill="EFF4FB"/>
            <w:tcMar>
              <w:top w:w="120" w:type="dxa"/>
              <w:left w:w="160" w:type="dxa"/>
              <w:bottom w:w="120" w:type="dxa"/>
              <w:right w:w="160" w:type="dxa"/>
            </w:tcMar>
          </w:tcPr>
          <w:p w14:paraId="6A78E9CA" w14:textId="77777777" w:rsidR="005233FC" w:rsidRDefault="00000000">
            <w:pPr>
              <w:spacing w:after="80"/>
            </w:pPr>
            <w:r>
              <w:rPr>
                <w:b/>
                <w:bCs/>
                <w:color w:val="1A5C8F"/>
              </w:rPr>
              <w:t>Clinical Teaching Points — Chlamydia Diagnosis &amp; Management</w:t>
            </w:r>
          </w:p>
          <w:p w14:paraId="3BADE3D8" w14:textId="77777777" w:rsidR="005233FC" w:rsidRDefault="00000000">
            <w:pPr>
              <w:pStyle w:val="ListParagraph"/>
              <w:numPr>
                <w:ilvl w:val="0"/>
                <w:numId w:val="2"/>
              </w:numPr>
              <w:spacing w:after="60"/>
            </w:pPr>
            <w:r>
              <w:rPr>
                <w:color w:val="2C2C2C"/>
                <w:sz w:val="19"/>
                <w:szCs w:val="19"/>
              </w:rPr>
              <w:t>Test of choice: NAAT from a vulvovaginal swab (patient-taken is acceptable and preferred). This is the most sensitive and specific test available.</w:t>
            </w:r>
          </w:p>
          <w:p w14:paraId="190A99CE" w14:textId="77777777" w:rsidR="005233FC" w:rsidRDefault="00000000">
            <w:pPr>
              <w:pStyle w:val="ListParagraph"/>
              <w:numPr>
                <w:ilvl w:val="0"/>
                <w:numId w:val="2"/>
              </w:numPr>
              <w:spacing w:after="60"/>
            </w:pPr>
            <w:r>
              <w:rPr>
                <w:color w:val="2C2C2C"/>
                <w:sz w:val="19"/>
                <w:szCs w:val="19"/>
              </w:rPr>
              <w:t xml:space="preserve">Chlamydia is the </w:t>
            </w:r>
            <w:proofErr w:type="gramStart"/>
            <w:r>
              <w:rPr>
                <w:color w:val="2C2C2C"/>
                <w:sz w:val="19"/>
                <w:szCs w:val="19"/>
              </w:rPr>
              <w:t>most commonly diagnosed</w:t>
            </w:r>
            <w:proofErr w:type="gramEnd"/>
            <w:r>
              <w:rPr>
                <w:color w:val="2C2C2C"/>
                <w:sz w:val="19"/>
                <w:szCs w:val="19"/>
              </w:rPr>
              <w:t xml:space="preserve"> STI in England. Around 70% of infected women and 50% of men are asymptomatic — opportunistic screening in under-25s is recommended annually by the National Chlamydia Screening Programme (NCSP).</w:t>
            </w:r>
          </w:p>
          <w:p w14:paraId="46BB407D" w14:textId="77777777" w:rsidR="005233FC" w:rsidRDefault="00000000">
            <w:pPr>
              <w:pStyle w:val="ListParagraph"/>
              <w:numPr>
                <w:ilvl w:val="0"/>
                <w:numId w:val="2"/>
              </w:numPr>
              <w:spacing w:after="60"/>
            </w:pPr>
            <w:r>
              <w:rPr>
                <w:color w:val="2C2C2C"/>
                <w:sz w:val="19"/>
                <w:szCs w:val="19"/>
              </w:rPr>
              <w:t>First-line treatment (BASHH / NICE CKS, 2024): doxycycline 100 mg twice daily for 7 days. This is preferred over azithromycin as evidence now favours doxycycline for higher cure rates.</w:t>
            </w:r>
          </w:p>
          <w:p w14:paraId="18A5CE49" w14:textId="77777777" w:rsidR="005233FC" w:rsidRDefault="00000000">
            <w:pPr>
              <w:pStyle w:val="ListParagraph"/>
              <w:numPr>
                <w:ilvl w:val="0"/>
                <w:numId w:val="2"/>
              </w:numPr>
              <w:spacing w:after="60"/>
            </w:pPr>
            <w:r>
              <w:rPr>
                <w:color w:val="2C2C2C"/>
                <w:sz w:val="19"/>
                <w:szCs w:val="19"/>
              </w:rPr>
              <w:t>Alternative if doxycycline is contraindicated: azithromycin 1 g single dose followed by 500 mg once daily for 2 days.</w:t>
            </w:r>
          </w:p>
          <w:p w14:paraId="2BE775F3" w14:textId="77777777" w:rsidR="005233FC" w:rsidRDefault="00000000">
            <w:pPr>
              <w:pStyle w:val="ListParagraph"/>
              <w:numPr>
                <w:ilvl w:val="0"/>
                <w:numId w:val="2"/>
              </w:numPr>
              <w:spacing w:after="60"/>
            </w:pPr>
            <w:r>
              <w:rPr>
                <w:color w:val="2C2C2C"/>
                <w:sz w:val="19"/>
                <w:szCs w:val="19"/>
              </w:rPr>
              <w:lastRenderedPageBreak/>
              <w:t>Doxycycline is absolutely contraindicated in pregnancy and breastfeeding — use azithromycin (with caution, off-label; benefits must outweigh risks) or erythromycin.</w:t>
            </w:r>
          </w:p>
          <w:p w14:paraId="69A4C44A" w14:textId="77777777" w:rsidR="005233FC" w:rsidRDefault="00000000">
            <w:pPr>
              <w:pStyle w:val="ListParagraph"/>
              <w:numPr>
                <w:ilvl w:val="0"/>
                <w:numId w:val="2"/>
              </w:numPr>
              <w:spacing w:after="60"/>
            </w:pPr>
            <w:r>
              <w:rPr>
                <w:color w:val="2C2C2C"/>
                <w:sz w:val="19"/>
                <w:szCs w:val="19"/>
              </w:rPr>
              <w:t>Partner notification is mandatory — all sexual contacts in the past 6 months must be informed and tested (with treatment if indicated). This can be done by the patient (patient referral) or via the sexual health team (provider referral).</w:t>
            </w:r>
          </w:p>
          <w:p w14:paraId="710B42FD" w14:textId="77777777" w:rsidR="005233FC" w:rsidRDefault="00000000">
            <w:pPr>
              <w:pStyle w:val="ListParagraph"/>
              <w:numPr>
                <w:ilvl w:val="0"/>
                <w:numId w:val="2"/>
              </w:numPr>
              <w:spacing w:after="60"/>
            </w:pPr>
            <w:r>
              <w:rPr>
                <w:color w:val="2C2C2C"/>
                <w:sz w:val="19"/>
                <w:szCs w:val="19"/>
              </w:rPr>
              <w:t>Test of cure (TOC): not routinely required for uncomplicated genital chlamydia. TOC IS required in pregnancy, suspected poor compliance, persistent symptoms, or rectal infection.</w:t>
            </w:r>
          </w:p>
          <w:p w14:paraId="5815EAA1" w14:textId="77777777" w:rsidR="005233FC" w:rsidRDefault="00000000">
            <w:pPr>
              <w:pStyle w:val="ListParagraph"/>
              <w:numPr>
                <w:ilvl w:val="0"/>
                <w:numId w:val="2"/>
              </w:numPr>
              <w:spacing w:after="60"/>
            </w:pPr>
            <w:r>
              <w:rPr>
                <w:color w:val="2C2C2C"/>
                <w:sz w:val="19"/>
                <w:szCs w:val="19"/>
              </w:rPr>
              <w:t>Bacterial vaginosis treatment: metronidazole 400 mg twice daily for 5–7 days (or metronidazole 2 g single dose as an alternative, though 5–</w:t>
            </w:r>
            <w:proofErr w:type="gramStart"/>
            <w:r>
              <w:rPr>
                <w:color w:val="2C2C2C"/>
                <w:sz w:val="19"/>
                <w:szCs w:val="19"/>
              </w:rPr>
              <w:t>7 day</w:t>
            </w:r>
            <w:proofErr w:type="gramEnd"/>
            <w:r>
              <w:rPr>
                <w:color w:val="2C2C2C"/>
                <w:sz w:val="19"/>
                <w:szCs w:val="19"/>
              </w:rPr>
              <w:t xml:space="preserve"> course has higher cure rates).</w:t>
            </w:r>
          </w:p>
          <w:p w14:paraId="5BD7131B" w14:textId="77777777" w:rsidR="005233FC" w:rsidRDefault="00000000">
            <w:pPr>
              <w:pStyle w:val="ListParagraph"/>
              <w:numPr>
                <w:ilvl w:val="0"/>
                <w:numId w:val="2"/>
              </w:numPr>
              <w:spacing w:after="60"/>
            </w:pPr>
            <w:r>
              <w:rPr>
                <w:color w:val="2C2C2C"/>
                <w:sz w:val="19"/>
                <w:szCs w:val="19"/>
              </w:rPr>
              <w:t>Fertility counselling: untreated or recurrent chlamydia increases the risk of PID, tubal damage, ectopic pregnancy, and tubal infertility. Prompt treatment and follow-up are essential.</w:t>
            </w:r>
          </w:p>
          <w:p w14:paraId="6504CCDF" w14:textId="77777777" w:rsidR="005233FC" w:rsidRDefault="00000000">
            <w:pPr>
              <w:pStyle w:val="ListParagraph"/>
              <w:numPr>
                <w:ilvl w:val="0"/>
                <w:numId w:val="2"/>
              </w:numPr>
              <w:spacing w:after="60"/>
            </w:pPr>
            <w:r>
              <w:rPr>
                <w:color w:val="2C2C2C"/>
                <w:sz w:val="19"/>
                <w:szCs w:val="19"/>
              </w:rPr>
              <w:t>For women planning pregnancy: ensure chlamydia is fully treated and clearance confirmed before conception.</w:t>
            </w:r>
          </w:p>
        </w:tc>
      </w:tr>
    </w:tbl>
    <w:p w14:paraId="6A5D06E1" w14:textId="77777777" w:rsidR="005233FC" w:rsidRDefault="005233FC">
      <w:pPr>
        <w:pBdr>
          <w:bottom w:val="single" w:sz="2" w:space="0" w:color="D0D0D0"/>
        </w:pBdr>
        <w:spacing w:before="120" w:after="120"/>
      </w:pPr>
    </w:p>
    <w:p w14:paraId="0DDDDB74" w14:textId="09581246" w:rsidR="00737EA8" w:rsidRDefault="00737EA8">
      <w:r>
        <w:br w:type="page"/>
      </w:r>
    </w:p>
    <w:p w14:paraId="12C1C327" w14:textId="77777777" w:rsidR="005233FC" w:rsidRPr="00737EA8" w:rsidRDefault="005233FC">
      <w:pPr>
        <w:spacing w:before="160" w:after="80"/>
        <w:rPr>
          <w:sz w:val="2"/>
          <w:szCs w:val="2"/>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7B0E24EB" w14:textId="77777777">
        <w:tblPrEx>
          <w:tblCellMar>
            <w:top w:w="0" w:type="dxa"/>
            <w:bottom w:w="0" w:type="dxa"/>
          </w:tblCellMar>
        </w:tblPrEx>
        <w:tc>
          <w:tcPr>
            <w:tcW w:w="9506" w:type="dxa"/>
            <w:tcBorders>
              <w:top w:val="single" w:sz="1" w:space="0" w:color="1A5C8F"/>
              <w:left w:val="single" w:sz="16" w:space="0" w:color="E8600A"/>
              <w:bottom w:val="single" w:sz="1" w:space="0" w:color="1A5C8F"/>
              <w:right w:val="single" w:sz="1" w:space="0" w:color="1A5C8F"/>
            </w:tcBorders>
            <w:shd w:val="clear" w:color="auto" w:fill="EBF2F8"/>
            <w:tcMar>
              <w:top w:w="120" w:type="dxa"/>
              <w:left w:w="200" w:type="dxa"/>
              <w:bottom w:w="120" w:type="dxa"/>
              <w:right w:w="160" w:type="dxa"/>
            </w:tcMar>
          </w:tcPr>
          <w:p w14:paraId="1338B255" w14:textId="77777777" w:rsidR="005233FC" w:rsidRDefault="00000000">
            <w:pPr>
              <w:spacing w:after="40"/>
            </w:pPr>
            <w:r>
              <w:rPr>
                <w:b/>
                <w:bCs/>
                <w:color w:val="E8600A"/>
                <w:sz w:val="18"/>
                <w:szCs w:val="18"/>
              </w:rPr>
              <w:t>SCENARIO 4</w:t>
            </w:r>
          </w:p>
          <w:p w14:paraId="011E1B68" w14:textId="77777777" w:rsidR="005233FC" w:rsidRDefault="00000000">
            <w:r>
              <w:rPr>
                <w:b/>
                <w:bCs/>
                <w:color w:val="1A5C8F"/>
                <w:sz w:val="26"/>
                <w:szCs w:val="26"/>
              </w:rPr>
              <w:t>STI Risk After Partner Disclosure</w:t>
            </w:r>
          </w:p>
        </w:tc>
      </w:tr>
    </w:tbl>
    <w:p w14:paraId="68AB37CB" w14:textId="77777777" w:rsidR="005233FC" w:rsidRPr="00737EA8" w:rsidRDefault="005233FC">
      <w:pPr>
        <w:spacing w:before="80" w:after="60"/>
        <w:rPr>
          <w:sz w:val="2"/>
          <w:szCs w:val="2"/>
        </w:rPr>
      </w:pPr>
    </w:p>
    <w:p w14:paraId="0B8845D5" w14:textId="77777777" w:rsidR="005233FC" w:rsidRDefault="00000000">
      <w:pPr>
        <w:spacing w:after="100"/>
      </w:pPr>
      <w:r>
        <w:rPr>
          <w:color w:val="2C2C2C"/>
        </w:rPr>
        <w:t>Anita, 30, a divorced mother of two, has just discovered that her partner Alex was an intravenous drug user in his late teens. He shared needles and had contact with sex workers. She attends for information and a check-up.</w:t>
      </w:r>
    </w:p>
    <w:p w14:paraId="05EBC31D" w14:textId="77777777" w:rsidR="005233FC" w:rsidRPr="00737EA8" w:rsidRDefault="005233FC">
      <w:pPr>
        <w:spacing w:before="80" w:after="80"/>
        <w:rPr>
          <w:sz w:val="2"/>
          <w:szCs w:val="2"/>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210AD733"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D7A6E"/>
            <w:tcMar>
              <w:top w:w="100" w:type="dxa"/>
              <w:left w:w="140" w:type="dxa"/>
              <w:bottom w:w="100" w:type="dxa"/>
              <w:right w:w="140" w:type="dxa"/>
            </w:tcMar>
            <w:vAlign w:val="center"/>
          </w:tcPr>
          <w:p w14:paraId="40A8F4FE" w14:textId="77777777" w:rsidR="005233FC" w:rsidRDefault="00000000">
            <w:pPr>
              <w:jc w:val="center"/>
            </w:pPr>
            <w:r>
              <w:rPr>
                <w:b/>
                <w:bCs/>
                <w:color w:val="FFFFFF"/>
                <w:sz w:val="19"/>
                <w:szCs w:val="19"/>
              </w:rPr>
              <w:t>PATIENT</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2CCB9CBA" w14:textId="77777777" w:rsidR="005233FC" w:rsidRDefault="00000000">
            <w:pPr>
              <w:spacing w:after="80"/>
            </w:pPr>
            <w:r>
              <w:rPr>
                <w:b/>
                <w:bCs/>
                <w:color w:val="2C2C2C"/>
              </w:rPr>
              <w:t>Anita — your perspective</w:t>
            </w:r>
          </w:p>
          <w:p w14:paraId="1A4846FE" w14:textId="77777777" w:rsidR="005233FC" w:rsidRDefault="00000000">
            <w:pPr>
              <w:pStyle w:val="ListParagraph"/>
              <w:numPr>
                <w:ilvl w:val="0"/>
                <w:numId w:val="2"/>
              </w:numPr>
              <w:spacing w:after="60"/>
            </w:pPr>
            <w:r>
              <w:rPr>
                <w:color w:val="4A4A4A"/>
                <w:sz w:val="19"/>
                <w:szCs w:val="19"/>
              </w:rPr>
              <w:t>You have been with Alex for over a year. You are fond of him; your children like him; you are considering marriage.</w:t>
            </w:r>
          </w:p>
          <w:p w14:paraId="61D83352" w14:textId="77777777" w:rsidR="005233FC" w:rsidRDefault="00000000">
            <w:pPr>
              <w:pStyle w:val="ListParagraph"/>
              <w:numPr>
                <w:ilvl w:val="0"/>
                <w:numId w:val="2"/>
              </w:numPr>
              <w:spacing w:after="60"/>
            </w:pPr>
            <w:r>
              <w:rPr>
                <w:color w:val="4A4A4A"/>
                <w:sz w:val="19"/>
                <w:szCs w:val="19"/>
              </w:rPr>
              <w:t>He has just disclosed his past IV drug use and needle sharing. Some associates were sex workers.</w:t>
            </w:r>
          </w:p>
          <w:p w14:paraId="3E35C1B5" w14:textId="77777777" w:rsidR="005233FC" w:rsidRDefault="00000000">
            <w:pPr>
              <w:pStyle w:val="ListParagraph"/>
              <w:numPr>
                <w:ilvl w:val="0"/>
                <w:numId w:val="2"/>
              </w:numPr>
              <w:spacing w:after="60"/>
            </w:pPr>
            <w:r>
              <w:rPr>
                <w:color w:val="4A4A4A"/>
                <w:sz w:val="19"/>
                <w:szCs w:val="19"/>
              </w:rPr>
              <w:t>You are very anxious — particularly about HIV, but also hepatitis B, hepatitis C, and other STIs.</w:t>
            </w:r>
          </w:p>
          <w:p w14:paraId="2F550C54" w14:textId="77777777" w:rsidR="005233FC" w:rsidRDefault="00000000">
            <w:pPr>
              <w:pStyle w:val="ListParagraph"/>
              <w:numPr>
                <w:ilvl w:val="0"/>
                <w:numId w:val="2"/>
              </w:numPr>
              <w:spacing w:after="60"/>
            </w:pPr>
            <w:r>
              <w:rPr>
                <w:color w:val="4A4A4A"/>
                <w:sz w:val="19"/>
                <w:szCs w:val="19"/>
              </w:rPr>
              <w:t>You have an IUCD (fitted four years ago, before your divorce). You have not used condoms with Alex.</w:t>
            </w:r>
          </w:p>
          <w:p w14:paraId="6CC6C89B" w14:textId="77777777" w:rsidR="005233FC" w:rsidRDefault="00000000">
            <w:pPr>
              <w:pStyle w:val="ListParagraph"/>
              <w:numPr>
                <w:ilvl w:val="0"/>
                <w:numId w:val="2"/>
              </w:numPr>
              <w:spacing w:after="60"/>
            </w:pPr>
            <w:r>
              <w:rPr>
                <w:color w:val="4A4A4A"/>
                <w:sz w:val="19"/>
                <w:szCs w:val="19"/>
              </w:rPr>
              <w:t>You want to know: what risks do you face? What tests do you need? Should you continue the relationship?</w:t>
            </w:r>
          </w:p>
        </w:tc>
      </w:tr>
    </w:tbl>
    <w:p w14:paraId="37EE80CA"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110A7F1A"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A5C8F"/>
            <w:tcMar>
              <w:top w:w="100" w:type="dxa"/>
              <w:left w:w="140" w:type="dxa"/>
              <w:bottom w:w="100" w:type="dxa"/>
              <w:right w:w="140" w:type="dxa"/>
            </w:tcMar>
            <w:vAlign w:val="center"/>
          </w:tcPr>
          <w:p w14:paraId="53CFA73D" w14:textId="77777777" w:rsidR="005233FC" w:rsidRDefault="00000000">
            <w:pPr>
              <w:jc w:val="center"/>
            </w:pPr>
            <w:r>
              <w:rPr>
                <w:b/>
                <w:bCs/>
                <w:color w:val="FFFFFF"/>
                <w:sz w:val="19"/>
                <w:szCs w:val="19"/>
              </w:rPr>
              <w:t>DOCTOR</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604FB18A" w14:textId="77777777" w:rsidR="005233FC" w:rsidRDefault="00000000">
            <w:pPr>
              <w:spacing w:after="80"/>
            </w:pPr>
            <w:r>
              <w:rPr>
                <w:b/>
                <w:bCs/>
                <w:color w:val="2C2C2C"/>
              </w:rPr>
              <w:t>Doctor — your background</w:t>
            </w:r>
          </w:p>
          <w:p w14:paraId="6C5AE7ED" w14:textId="77777777" w:rsidR="005233FC" w:rsidRDefault="00000000">
            <w:pPr>
              <w:pStyle w:val="ListParagraph"/>
              <w:numPr>
                <w:ilvl w:val="0"/>
                <w:numId w:val="2"/>
              </w:numPr>
              <w:spacing w:after="60"/>
            </w:pPr>
            <w:r>
              <w:rPr>
                <w:color w:val="4A4A4A"/>
                <w:sz w:val="19"/>
                <w:szCs w:val="19"/>
              </w:rPr>
              <w:t>You know Anita and her children well and respect how she has coped as a single mother.</w:t>
            </w:r>
          </w:p>
          <w:p w14:paraId="76806568" w14:textId="77777777" w:rsidR="005233FC" w:rsidRDefault="00000000">
            <w:pPr>
              <w:pStyle w:val="ListParagraph"/>
              <w:numPr>
                <w:ilvl w:val="0"/>
                <w:numId w:val="2"/>
              </w:numPr>
              <w:spacing w:after="60"/>
            </w:pPr>
            <w:r>
              <w:rPr>
                <w:color w:val="4A4A4A"/>
                <w:sz w:val="19"/>
                <w:szCs w:val="19"/>
              </w:rPr>
              <w:t>Alex is not your patient. You were unaware of this relationship.</w:t>
            </w:r>
          </w:p>
          <w:p w14:paraId="36BF3FCB" w14:textId="77777777" w:rsidR="005233FC" w:rsidRDefault="00000000">
            <w:pPr>
              <w:pStyle w:val="ListParagraph"/>
              <w:numPr>
                <w:ilvl w:val="0"/>
                <w:numId w:val="2"/>
              </w:numPr>
              <w:spacing w:after="60"/>
            </w:pPr>
            <w:r>
              <w:rPr>
                <w:color w:val="4A4A4A"/>
                <w:sz w:val="19"/>
                <w:szCs w:val="19"/>
              </w:rPr>
              <w:t>The IUCD is up-to-date and effective for contraception — but provides no STI protection whatsoever.</w:t>
            </w:r>
          </w:p>
          <w:p w14:paraId="61FF0FB5" w14:textId="77777777" w:rsidR="005233FC" w:rsidRDefault="00000000">
            <w:pPr>
              <w:pStyle w:val="ListParagraph"/>
              <w:numPr>
                <w:ilvl w:val="0"/>
                <w:numId w:val="2"/>
              </w:numPr>
              <w:spacing w:after="60"/>
            </w:pPr>
            <w:r>
              <w:rPr>
                <w:color w:val="4A4A4A"/>
                <w:sz w:val="19"/>
                <w:szCs w:val="19"/>
              </w:rPr>
              <w:t>Your task: take a focused sexual history; assess STI and blood-borne virus risk; arrange appropriate investigations; provide accurate information; and support an anxious patient who also has children to consider.</w:t>
            </w:r>
          </w:p>
        </w:tc>
      </w:tr>
    </w:tbl>
    <w:p w14:paraId="5ABAD4F2"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0B683A2C" w14:textId="77777777">
        <w:tblPrEx>
          <w:tblCellMar>
            <w:top w:w="0" w:type="dxa"/>
            <w:bottom w:w="0" w:type="dxa"/>
          </w:tblCellMar>
        </w:tblPrEx>
        <w:tc>
          <w:tcPr>
            <w:tcW w:w="9506" w:type="dxa"/>
            <w:tcBorders>
              <w:top w:val="single" w:sz="1" w:space="0" w:color="1A5C8F"/>
              <w:left w:val="single" w:sz="10" w:space="0" w:color="1A5C8F"/>
              <w:bottom w:val="single" w:sz="1" w:space="0" w:color="1A5C8F"/>
              <w:right w:val="single" w:sz="1" w:space="0" w:color="D0D0D0"/>
            </w:tcBorders>
            <w:shd w:val="clear" w:color="auto" w:fill="EFF4FB"/>
            <w:tcMar>
              <w:top w:w="120" w:type="dxa"/>
              <w:left w:w="160" w:type="dxa"/>
              <w:bottom w:w="120" w:type="dxa"/>
              <w:right w:w="160" w:type="dxa"/>
            </w:tcMar>
          </w:tcPr>
          <w:p w14:paraId="4C883336" w14:textId="77777777" w:rsidR="005233FC" w:rsidRDefault="00000000">
            <w:pPr>
              <w:spacing w:after="80"/>
            </w:pPr>
            <w:r>
              <w:rPr>
                <w:b/>
                <w:bCs/>
                <w:color w:val="1A5C8F"/>
              </w:rPr>
              <w:t>Clinical Teaching Points — BBV Risk Assessment &amp; STI Screening</w:t>
            </w:r>
          </w:p>
          <w:p w14:paraId="20217CA8" w14:textId="77777777" w:rsidR="005233FC" w:rsidRDefault="00000000">
            <w:pPr>
              <w:pStyle w:val="ListParagraph"/>
              <w:numPr>
                <w:ilvl w:val="0"/>
                <w:numId w:val="2"/>
              </w:numPr>
              <w:spacing w:after="60"/>
            </w:pPr>
            <w:r>
              <w:rPr>
                <w:color w:val="2C2C2C"/>
                <w:sz w:val="19"/>
                <w:szCs w:val="19"/>
              </w:rPr>
              <w:t>HIV: IV drug use with shared needles carries a significant transmission risk. Pre-test discussion is required before ordering an HIV test. HIV testing should be offered sensitively and framed positively — early diagnosis saves lives.</w:t>
            </w:r>
          </w:p>
          <w:p w14:paraId="3FB7EAEF" w14:textId="77777777" w:rsidR="005233FC" w:rsidRDefault="00000000">
            <w:pPr>
              <w:pStyle w:val="ListParagraph"/>
              <w:numPr>
                <w:ilvl w:val="0"/>
                <w:numId w:val="2"/>
              </w:numPr>
              <w:spacing w:after="60"/>
            </w:pPr>
            <w:r>
              <w:rPr>
                <w:color w:val="2C2C2C"/>
                <w:sz w:val="19"/>
                <w:szCs w:val="19"/>
              </w:rPr>
              <w:t>Hepatitis B: Offer serology (HBsAg, anti-HBs, anti-HBc). If non-immune and not infected, consider hepatitis B vaccination.</w:t>
            </w:r>
          </w:p>
          <w:p w14:paraId="0DBCAB9E" w14:textId="77777777" w:rsidR="005233FC" w:rsidRDefault="00000000">
            <w:pPr>
              <w:pStyle w:val="ListParagraph"/>
              <w:numPr>
                <w:ilvl w:val="0"/>
                <w:numId w:val="2"/>
              </w:numPr>
              <w:spacing w:after="60"/>
            </w:pPr>
            <w:r>
              <w:rPr>
                <w:color w:val="2C2C2C"/>
                <w:sz w:val="19"/>
                <w:szCs w:val="19"/>
              </w:rPr>
              <w:t>Hepatitis C: Offer HCV antibody testing — needle sharing is a major transmission route. If positive, refer for specialist assessment.</w:t>
            </w:r>
          </w:p>
          <w:p w14:paraId="1A10893E" w14:textId="77777777" w:rsidR="005233FC" w:rsidRDefault="00000000">
            <w:pPr>
              <w:pStyle w:val="ListParagraph"/>
              <w:numPr>
                <w:ilvl w:val="0"/>
                <w:numId w:val="2"/>
              </w:numPr>
              <w:spacing w:after="60"/>
            </w:pPr>
            <w:r>
              <w:rPr>
                <w:color w:val="2C2C2C"/>
                <w:sz w:val="19"/>
                <w:szCs w:val="19"/>
              </w:rPr>
              <w:t>STI screen: offer full STI screen including chlamydia NAAT, gonorrhoea NAAT, syphilis serology, and HIV.</w:t>
            </w:r>
          </w:p>
          <w:p w14:paraId="076DD5E3" w14:textId="77777777" w:rsidR="005233FC" w:rsidRDefault="00000000">
            <w:pPr>
              <w:pStyle w:val="ListParagraph"/>
              <w:numPr>
                <w:ilvl w:val="0"/>
                <w:numId w:val="2"/>
              </w:numPr>
              <w:spacing w:after="60"/>
            </w:pPr>
            <w:r>
              <w:rPr>
                <w:color w:val="2C2C2C"/>
                <w:sz w:val="19"/>
                <w:szCs w:val="19"/>
              </w:rPr>
              <w:t>Window periods: advise that a negative HIV test within 45 days of possible exposure may need to be repeated. Most modern 4th generation HIV tests are highly sensitive from 45 days post-exposure.</w:t>
            </w:r>
          </w:p>
          <w:p w14:paraId="1BB30816" w14:textId="77777777" w:rsidR="005233FC" w:rsidRDefault="00000000">
            <w:pPr>
              <w:pStyle w:val="ListParagraph"/>
              <w:numPr>
                <w:ilvl w:val="0"/>
                <w:numId w:val="2"/>
              </w:numPr>
              <w:spacing w:after="60"/>
            </w:pPr>
            <w:proofErr w:type="spellStart"/>
            <w:r>
              <w:rPr>
                <w:color w:val="2C2C2C"/>
                <w:sz w:val="19"/>
                <w:szCs w:val="19"/>
              </w:rPr>
              <w:t>PrEP</w:t>
            </w:r>
            <w:proofErr w:type="spellEnd"/>
            <w:r>
              <w:rPr>
                <w:color w:val="2C2C2C"/>
                <w:sz w:val="19"/>
                <w:szCs w:val="19"/>
              </w:rPr>
              <w:t xml:space="preserve"> (Pre-Exposure Prophylaxis): if ongoing risk is identified for Anita, </w:t>
            </w:r>
            <w:proofErr w:type="spellStart"/>
            <w:r>
              <w:rPr>
                <w:color w:val="2C2C2C"/>
                <w:sz w:val="19"/>
                <w:szCs w:val="19"/>
              </w:rPr>
              <w:t>PrEP</w:t>
            </w:r>
            <w:proofErr w:type="spellEnd"/>
            <w:r>
              <w:rPr>
                <w:color w:val="2C2C2C"/>
                <w:sz w:val="19"/>
                <w:szCs w:val="19"/>
              </w:rPr>
              <w:t xml:space="preserve"> should be discussed and is available free on the NHS via sexual health clinics.</w:t>
            </w:r>
          </w:p>
          <w:p w14:paraId="3E49E452" w14:textId="77777777" w:rsidR="005233FC" w:rsidRDefault="00000000">
            <w:pPr>
              <w:pStyle w:val="ListParagraph"/>
              <w:numPr>
                <w:ilvl w:val="0"/>
                <w:numId w:val="2"/>
              </w:numPr>
              <w:spacing w:after="60"/>
            </w:pPr>
            <w:r>
              <w:rPr>
                <w:color w:val="2C2C2C"/>
                <w:sz w:val="19"/>
                <w:szCs w:val="19"/>
              </w:rPr>
              <w:t xml:space="preserve">Condom use: strongly advise consistent condom </w:t>
            </w:r>
            <w:proofErr w:type="gramStart"/>
            <w:r>
              <w:rPr>
                <w:color w:val="2C2C2C"/>
                <w:sz w:val="19"/>
                <w:szCs w:val="19"/>
              </w:rPr>
              <w:t>use</w:t>
            </w:r>
            <w:proofErr w:type="gramEnd"/>
            <w:r>
              <w:rPr>
                <w:color w:val="2C2C2C"/>
                <w:sz w:val="19"/>
                <w:szCs w:val="19"/>
              </w:rPr>
              <w:t xml:space="preserve"> until both partners have had a full screen and results are reviewed.</w:t>
            </w:r>
          </w:p>
          <w:p w14:paraId="33C8FDB3" w14:textId="77777777" w:rsidR="005233FC" w:rsidRDefault="00000000">
            <w:pPr>
              <w:pStyle w:val="ListParagraph"/>
              <w:numPr>
                <w:ilvl w:val="0"/>
                <w:numId w:val="2"/>
              </w:numPr>
              <w:spacing w:after="60"/>
            </w:pPr>
            <w:r>
              <w:rPr>
                <w:color w:val="2C2C2C"/>
                <w:sz w:val="19"/>
                <w:szCs w:val="19"/>
              </w:rPr>
              <w:t>IUCD: effective contraception but provides NO protection against STIs or HIV — this must be clearly explained.</w:t>
            </w:r>
          </w:p>
          <w:p w14:paraId="40B982AF" w14:textId="77777777" w:rsidR="005233FC" w:rsidRDefault="00000000">
            <w:pPr>
              <w:pStyle w:val="ListParagraph"/>
              <w:numPr>
                <w:ilvl w:val="0"/>
                <w:numId w:val="2"/>
              </w:numPr>
              <w:spacing w:after="60"/>
            </w:pPr>
            <w:r>
              <w:rPr>
                <w:color w:val="2C2C2C"/>
                <w:sz w:val="19"/>
                <w:szCs w:val="19"/>
              </w:rPr>
              <w:t>Children's safety: Anita's concern about her children reflects normal parental anxiety. Reassure that HIV and most STIs are not transmitted through normal household contact. Do not catastrophise.</w:t>
            </w:r>
          </w:p>
          <w:p w14:paraId="27D7586E" w14:textId="77777777" w:rsidR="005233FC" w:rsidRDefault="00000000">
            <w:pPr>
              <w:pStyle w:val="ListParagraph"/>
              <w:numPr>
                <w:ilvl w:val="0"/>
                <w:numId w:val="2"/>
              </w:numPr>
              <w:spacing w:after="60"/>
            </w:pPr>
            <w:r>
              <w:rPr>
                <w:color w:val="2C2C2C"/>
                <w:sz w:val="19"/>
                <w:szCs w:val="19"/>
              </w:rPr>
              <w:t>Confidentiality: Alex's status and history were disclosed by Anita — Alex's own wishes and rights must be respected if he becomes a patient.</w:t>
            </w:r>
          </w:p>
        </w:tc>
      </w:tr>
    </w:tbl>
    <w:p w14:paraId="388C6507" w14:textId="77777777" w:rsidR="005233FC" w:rsidRDefault="005233FC">
      <w:pPr>
        <w:pBdr>
          <w:bottom w:val="single" w:sz="2" w:space="0" w:color="D0D0D0"/>
        </w:pBdr>
        <w:spacing w:before="120" w:after="120"/>
      </w:pPr>
    </w:p>
    <w:p w14:paraId="7D0C9C79" w14:textId="77777777" w:rsidR="005233FC" w:rsidRDefault="005233FC">
      <w:pPr>
        <w:spacing w:before="16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5BC1CE0B" w14:textId="77777777">
        <w:tblPrEx>
          <w:tblCellMar>
            <w:top w:w="0" w:type="dxa"/>
            <w:bottom w:w="0" w:type="dxa"/>
          </w:tblCellMar>
        </w:tblPrEx>
        <w:tc>
          <w:tcPr>
            <w:tcW w:w="9506" w:type="dxa"/>
            <w:tcBorders>
              <w:top w:val="single" w:sz="1" w:space="0" w:color="1A5C8F"/>
              <w:left w:val="single" w:sz="16" w:space="0" w:color="E8600A"/>
              <w:bottom w:val="single" w:sz="1" w:space="0" w:color="1A5C8F"/>
              <w:right w:val="single" w:sz="1" w:space="0" w:color="1A5C8F"/>
            </w:tcBorders>
            <w:shd w:val="clear" w:color="auto" w:fill="EBF2F8"/>
            <w:tcMar>
              <w:top w:w="120" w:type="dxa"/>
              <w:left w:w="200" w:type="dxa"/>
              <w:bottom w:w="120" w:type="dxa"/>
              <w:right w:w="160" w:type="dxa"/>
            </w:tcMar>
          </w:tcPr>
          <w:p w14:paraId="67DBD37A" w14:textId="77777777" w:rsidR="005233FC" w:rsidRDefault="00000000">
            <w:pPr>
              <w:spacing w:after="40"/>
            </w:pPr>
            <w:r>
              <w:rPr>
                <w:b/>
                <w:bCs/>
                <w:color w:val="E8600A"/>
                <w:sz w:val="18"/>
                <w:szCs w:val="18"/>
              </w:rPr>
              <w:t>SCENARIO 5</w:t>
            </w:r>
          </w:p>
          <w:p w14:paraId="774CE388" w14:textId="77777777" w:rsidR="005233FC" w:rsidRDefault="00000000">
            <w:r>
              <w:rPr>
                <w:b/>
                <w:bCs/>
                <w:color w:val="1A5C8F"/>
                <w:sz w:val="26"/>
                <w:szCs w:val="26"/>
              </w:rPr>
              <w:t>Erectile Dysfunction — The Psychosocial Story</w:t>
            </w:r>
          </w:p>
        </w:tc>
      </w:tr>
    </w:tbl>
    <w:p w14:paraId="350A5CBB" w14:textId="77777777" w:rsidR="005233FC" w:rsidRDefault="005233FC">
      <w:pPr>
        <w:spacing w:before="80" w:after="60"/>
      </w:pPr>
    </w:p>
    <w:p w14:paraId="69943884" w14:textId="77777777" w:rsidR="005233FC" w:rsidRDefault="00000000">
      <w:pPr>
        <w:spacing w:after="100"/>
      </w:pPr>
      <w:r>
        <w:rPr>
          <w:color w:val="2C2C2C"/>
        </w:rPr>
        <w:t>Chris, 45, attends with increasing difficulty achieving and maintaining an erection. He wants a quick fix. The doctor suspects a psychosocial cause.</w:t>
      </w:r>
    </w:p>
    <w:p w14:paraId="7648FDD6"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1B66F679"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D7A6E"/>
            <w:tcMar>
              <w:top w:w="100" w:type="dxa"/>
              <w:left w:w="140" w:type="dxa"/>
              <w:bottom w:w="100" w:type="dxa"/>
              <w:right w:w="140" w:type="dxa"/>
            </w:tcMar>
            <w:vAlign w:val="center"/>
          </w:tcPr>
          <w:p w14:paraId="693EEB6F" w14:textId="77777777" w:rsidR="005233FC" w:rsidRDefault="00000000">
            <w:pPr>
              <w:jc w:val="center"/>
            </w:pPr>
            <w:r>
              <w:rPr>
                <w:b/>
                <w:bCs/>
                <w:color w:val="FFFFFF"/>
                <w:sz w:val="19"/>
                <w:szCs w:val="19"/>
              </w:rPr>
              <w:t>PATIENT</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2DDAE25C" w14:textId="77777777" w:rsidR="005233FC" w:rsidRDefault="00000000">
            <w:pPr>
              <w:spacing w:after="80"/>
            </w:pPr>
            <w:r>
              <w:rPr>
                <w:b/>
                <w:bCs/>
                <w:color w:val="2C2C2C"/>
              </w:rPr>
              <w:t>Chris — your perspective</w:t>
            </w:r>
          </w:p>
          <w:p w14:paraId="412A9F84" w14:textId="77777777" w:rsidR="005233FC" w:rsidRDefault="00000000">
            <w:pPr>
              <w:pStyle w:val="ListParagraph"/>
              <w:numPr>
                <w:ilvl w:val="0"/>
                <w:numId w:val="2"/>
              </w:numPr>
              <w:spacing w:after="60"/>
            </w:pPr>
            <w:r>
              <w:rPr>
                <w:color w:val="4A4A4A"/>
                <w:sz w:val="19"/>
                <w:szCs w:val="19"/>
              </w:rPr>
              <w:t>You are a married man in your mid-40s. You come for help with erectile difficulties that have been gradually worsening.</w:t>
            </w:r>
          </w:p>
          <w:p w14:paraId="1B36585B" w14:textId="77777777" w:rsidR="005233FC" w:rsidRDefault="00000000">
            <w:pPr>
              <w:pStyle w:val="ListParagraph"/>
              <w:numPr>
                <w:ilvl w:val="0"/>
                <w:numId w:val="2"/>
              </w:numPr>
              <w:spacing w:after="60"/>
            </w:pPr>
            <w:r>
              <w:rPr>
                <w:color w:val="4A4A4A"/>
                <w:sz w:val="19"/>
                <w:szCs w:val="19"/>
              </w:rPr>
              <w:t>You are in a middle management role that feels stagnant and unfulfilling. Your two adult children have left home.</w:t>
            </w:r>
          </w:p>
          <w:p w14:paraId="0EE866E4" w14:textId="77777777" w:rsidR="005233FC" w:rsidRDefault="00000000">
            <w:pPr>
              <w:pStyle w:val="ListParagraph"/>
              <w:numPr>
                <w:ilvl w:val="0"/>
                <w:numId w:val="2"/>
              </w:numPr>
              <w:spacing w:after="60"/>
            </w:pPr>
            <w:r>
              <w:rPr>
                <w:color w:val="4A4A4A"/>
                <w:sz w:val="19"/>
                <w:szCs w:val="19"/>
              </w:rPr>
              <w:t>Your wife Janet recently completed a teaching degree and started a new, energising career. You feel left behind.</w:t>
            </w:r>
          </w:p>
          <w:p w14:paraId="04BFE56A" w14:textId="77777777" w:rsidR="005233FC" w:rsidRDefault="00000000">
            <w:pPr>
              <w:pStyle w:val="ListParagraph"/>
              <w:numPr>
                <w:ilvl w:val="0"/>
                <w:numId w:val="2"/>
              </w:numPr>
              <w:spacing w:after="60"/>
            </w:pPr>
            <w:r>
              <w:rPr>
                <w:color w:val="4A4A4A"/>
                <w:sz w:val="19"/>
                <w:szCs w:val="19"/>
              </w:rPr>
              <w:t>Your mother died last year. You have not processed your grief — you "got on with it."</w:t>
            </w:r>
          </w:p>
          <w:p w14:paraId="50D0C9E8" w14:textId="77777777" w:rsidR="005233FC" w:rsidRDefault="00000000">
            <w:pPr>
              <w:pStyle w:val="ListParagraph"/>
              <w:numPr>
                <w:ilvl w:val="0"/>
                <w:numId w:val="2"/>
              </w:numPr>
              <w:spacing w:after="60"/>
            </w:pPr>
            <w:r>
              <w:rPr>
                <w:color w:val="4A4A4A"/>
                <w:sz w:val="19"/>
                <w:szCs w:val="19"/>
              </w:rPr>
              <w:t>You are not emotionally articulate and feel uncomfortable discussing personal or sexual issues. You have not connected these life events to your sexual difficulties.</w:t>
            </w:r>
          </w:p>
          <w:p w14:paraId="74DE9E2C" w14:textId="77777777" w:rsidR="005233FC" w:rsidRDefault="00000000">
            <w:pPr>
              <w:pStyle w:val="ListParagraph"/>
              <w:numPr>
                <w:ilvl w:val="0"/>
                <w:numId w:val="2"/>
              </w:numPr>
              <w:spacing w:after="60"/>
            </w:pPr>
            <w:r>
              <w:rPr>
                <w:color w:val="4A4A4A"/>
                <w:sz w:val="19"/>
                <w:szCs w:val="19"/>
              </w:rPr>
              <w:t>What you want: a tablet or injection. You do not want a long discussion.</w:t>
            </w:r>
          </w:p>
        </w:tc>
      </w:tr>
    </w:tbl>
    <w:p w14:paraId="580A366E"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906"/>
      </w:tblGrid>
      <w:tr w:rsidR="005233FC" w14:paraId="08F5AD26"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shd w:val="clear" w:color="auto" w:fill="1A5C8F"/>
            <w:tcMar>
              <w:top w:w="100" w:type="dxa"/>
              <w:left w:w="140" w:type="dxa"/>
              <w:bottom w:w="100" w:type="dxa"/>
              <w:right w:w="140" w:type="dxa"/>
            </w:tcMar>
            <w:vAlign w:val="center"/>
          </w:tcPr>
          <w:p w14:paraId="1AD6F5D3" w14:textId="77777777" w:rsidR="005233FC" w:rsidRDefault="00000000">
            <w:pPr>
              <w:jc w:val="center"/>
            </w:pPr>
            <w:r>
              <w:rPr>
                <w:b/>
                <w:bCs/>
                <w:color w:val="FFFFFF"/>
                <w:sz w:val="19"/>
                <w:szCs w:val="19"/>
              </w:rPr>
              <w:t>DOCTOR</w:t>
            </w:r>
          </w:p>
        </w:tc>
        <w:tc>
          <w:tcPr>
            <w:tcW w:w="7906" w:type="dxa"/>
            <w:tcBorders>
              <w:top w:val="none" w:sz="0" w:space="0" w:color="FFFFFF"/>
              <w:left w:val="none" w:sz="0" w:space="0" w:color="FFFFFF"/>
              <w:bottom w:val="none" w:sz="0" w:space="0" w:color="FFFFFF"/>
              <w:right w:val="none" w:sz="0" w:space="0" w:color="FFFFFF"/>
            </w:tcBorders>
            <w:shd w:val="clear" w:color="auto" w:fill="F7F7F7"/>
            <w:tcMar>
              <w:top w:w="100" w:type="dxa"/>
              <w:left w:w="160" w:type="dxa"/>
              <w:bottom w:w="100" w:type="dxa"/>
              <w:right w:w="120" w:type="dxa"/>
            </w:tcMar>
          </w:tcPr>
          <w:p w14:paraId="43A16DA7" w14:textId="77777777" w:rsidR="005233FC" w:rsidRDefault="00000000">
            <w:pPr>
              <w:spacing w:after="80"/>
            </w:pPr>
            <w:r>
              <w:rPr>
                <w:b/>
                <w:bCs/>
                <w:color w:val="2C2C2C"/>
              </w:rPr>
              <w:t>Doctor — your background</w:t>
            </w:r>
          </w:p>
          <w:p w14:paraId="22F87CE2" w14:textId="77777777" w:rsidR="005233FC" w:rsidRDefault="00000000">
            <w:pPr>
              <w:pStyle w:val="ListParagraph"/>
              <w:numPr>
                <w:ilvl w:val="0"/>
                <w:numId w:val="2"/>
              </w:numPr>
              <w:spacing w:after="60"/>
            </w:pPr>
            <w:r>
              <w:rPr>
                <w:color w:val="4A4A4A"/>
                <w:sz w:val="19"/>
                <w:szCs w:val="19"/>
              </w:rPr>
              <w:t>You know Chris's family well. You were closely involved with his mother Ivy's terminal illness last year.</w:t>
            </w:r>
          </w:p>
          <w:p w14:paraId="31DB9C14" w14:textId="77777777" w:rsidR="005233FC" w:rsidRDefault="00000000">
            <w:pPr>
              <w:pStyle w:val="ListParagraph"/>
              <w:numPr>
                <w:ilvl w:val="0"/>
                <w:numId w:val="2"/>
              </w:numPr>
              <w:spacing w:after="60"/>
            </w:pPr>
            <w:r>
              <w:rPr>
                <w:color w:val="4A4A4A"/>
                <w:sz w:val="19"/>
                <w:szCs w:val="19"/>
              </w:rPr>
              <w:t>You know Janet has recently started a new career, and that both children have become independent.</w:t>
            </w:r>
          </w:p>
          <w:p w14:paraId="50FF8B06" w14:textId="77777777" w:rsidR="005233FC" w:rsidRDefault="00000000">
            <w:pPr>
              <w:pStyle w:val="ListParagraph"/>
              <w:numPr>
                <w:ilvl w:val="0"/>
                <w:numId w:val="2"/>
              </w:numPr>
              <w:spacing w:after="60"/>
            </w:pPr>
            <w:r>
              <w:rPr>
                <w:color w:val="4A4A4A"/>
                <w:sz w:val="19"/>
                <w:szCs w:val="19"/>
              </w:rPr>
              <w:t>Chris rarely attends — this consultation tells you something.</w:t>
            </w:r>
          </w:p>
          <w:p w14:paraId="76854443" w14:textId="77777777" w:rsidR="005233FC" w:rsidRDefault="00000000">
            <w:pPr>
              <w:pStyle w:val="ListParagraph"/>
              <w:numPr>
                <w:ilvl w:val="0"/>
                <w:numId w:val="2"/>
              </w:numPr>
              <w:spacing w:after="60"/>
            </w:pPr>
            <w:r>
              <w:rPr>
                <w:color w:val="4A4A4A"/>
                <w:sz w:val="19"/>
                <w:szCs w:val="19"/>
              </w:rPr>
              <w:t>Your clinical impression: this is likely a psychosocial (not organic) cause for his ED. The challenge is to help Chris see this connection without alienating him.</w:t>
            </w:r>
          </w:p>
          <w:p w14:paraId="7198AB6F" w14:textId="77777777" w:rsidR="005233FC" w:rsidRDefault="00000000">
            <w:pPr>
              <w:pStyle w:val="ListParagraph"/>
              <w:numPr>
                <w:ilvl w:val="0"/>
                <w:numId w:val="2"/>
              </w:numPr>
              <w:spacing w:after="60"/>
            </w:pPr>
            <w:r>
              <w:rPr>
                <w:color w:val="4A4A4A"/>
                <w:sz w:val="19"/>
                <w:szCs w:val="19"/>
              </w:rPr>
              <w:t>You must still exclude organic causes before concluding psychosocial aetiology — do not dismiss the physical.</w:t>
            </w:r>
          </w:p>
        </w:tc>
      </w:tr>
    </w:tbl>
    <w:p w14:paraId="54004CF7"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01EE3385" w14:textId="77777777">
        <w:tblPrEx>
          <w:tblCellMar>
            <w:top w:w="0" w:type="dxa"/>
            <w:bottom w:w="0" w:type="dxa"/>
          </w:tblCellMar>
        </w:tblPrEx>
        <w:tc>
          <w:tcPr>
            <w:tcW w:w="9506" w:type="dxa"/>
            <w:tcBorders>
              <w:top w:val="single" w:sz="1" w:space="0" w:color="1A5C8F"/>
              <w:left w:val="single" w:sz="10" w:space="0" w:color="1A5C8F"/>
              <w:bottom w:val="single" w:sz="1" w:space="0" w:color="1A5C8F"/>
              <w:right w:val="single" w:sz="1" w:space="0" w:color="D0D0D0"/>
            </w:tcBorders>
            <w:shd w:val="clear" w:color="auto" w:fill="EFF4FB"/>
            <w:tcMar>
              <w:top w:w="120" w:type="dxa"/>
              <w:left w:w="160" w:type="dxa"/>
              <w:bottom w:w="120" w:type="dxa"/>
              <w:right w:w="160" w:type="dxa"/>
            </w:tcMar>
          </w:tcPr>
          <w:p w14:paraId="2A95887B" w14:textId="77777777" w:rsidR="005233FC" w:rsidRDefault="00000000">
            <w:pPr>
              <w:spacing w:after="80"/>
            </w:pPr>
            <w:r>
              <w:rPr>
                <w:b/>
                <w:bCs/>
                <w:color w:val="1A5C8F"/>
              </w:rPr>
              <w:t>Clinical Teaching Points — ED Assessment &amp; Psychosocial Causes</w:t>
            </w:r>
          </w:p>
          <w:p w14:paraId="45A1ADFA" w14:textId="77777777" w:rsidR="005233FC" w:rsidRDefault="00000000">
            <w:pPr>
              <w:pStyle w:val="ListParagraph"/>
              <w:numPr>
                <w:ilvl w:val="0"/>
                <w:numId w:val="2"/>
              </w:numPr>
              <w:spacing w:after="60"/>
            </w:pPr>
            <w:r>
              <w:rPr>
                <w:color w:val="2C2C2C"/>
                <w:sz w:val="19"/>
                <w:szCs w:val="19"/>
              </w:rPr>
              <w:t>A comprehensive assessment is required for all presentations of ED — do not prescribe PDE-5 inhibitors without first assessing for organic and psychosocial causes.</w:t>
            </w:r>
          </w:p>
          <w:p w14:paraId="669C1ABF" w14:textId="77777777" w:rsidR="005233FC" w:rsidRDefault="00000000">
            <w:pPr>
              <w:pStyle w:val="ListParagraph"/>
              <w:numPr>
                <w:ilvl w:val="0"/>
                <w:numId w:val="2"/>
              </w:numPr>
              <w:spacing w:after="60"/>
            </w:pPr>
            <w:r>
              <w:rPr>
                <w:color w:val="2C2C2C"/>
                <w:sz w:val="19"/>
                <w:szCs w:val="19"/>
              </w:rPr>
              <w:t xml:space="preserve">Organic causes to </w:t>
            </w:r>
            <w:proofErr w:type="gramStart"/>
            <w:r>
              <w:rPr>
                <w:color w:val="2C2C2C"/>
                <w:sz w:val="19"/>
                <w:szCs w:val="19"/>
              </w:rPr>
              <w:t>exclude:</w:t>
            </w:r>
            <w:proofErr w:type="gramEnd"/>
            <w:r>
              <w:rPr>
                <w:color w:val="2C2C2C"/>
                <w:sz w:val="19"/>
                <w:szCs w:val="19"/>
              </w:rPr>
              <w:t xml:space="preserve"> diabetes (HbA1c), dyslipidaemia (fasting lipids), hypogonadism (morning testosterone ± SHBG and albumin in obese men), thyroid dysfunction (TSH if clinically indicated), hypertension, cardiovascular disease, neurological conditions, and medication side-effects.</w:t>
            </w:r>
          </w:p>
          <w:p w14:paraId="0DBB03CE" w14:textId="77777777" w:rsidR="005233FC" w:rsidRDefault="00000000">
            <w:pPr>
              <w:pStyle w:val="ListParagraph"/>
              <w:numPr>
                <w:ilvl w:val="0"/>
                <w:numId w:val="2"/>
              </w:numPr>
              <w:spacing w:after="60"/>
            </w:pPr>
            <w:r>
              <w:rPr>
                <w:color w:val="2C2C2C"/>
                <w:sz w:val="19"/>
                <w:szCs w:val="19"/>
              </w:rPr>
              <w:t>Medications causing ED: antihypertensives (especially beta-blockers and thiazides), antidepressants (especially SSRIs), antipsychotics, opioids, and finasteride. Review and optimise where possible.</w:t>
            </w:r>
          </w:p>
          <w:p w14:paraId="5A8DB752" w14:textId="77777777" w:rsidR="005233FC" w:rsidRDefault="00000000">
            <w:pPr>
              <w:pStyle w:val="ListParagraph"/>
              <w:numPr>
                <w:ilvl w:val="0"/>
                <w:numId w:val="2"/>
              </w:numPr>
              <w:spacing w:after="60"/>
            </w:pPr>
            <w:r>
              <w:rPr>
                <w:color w:val="2C2C2C"/>
                <w:sz w:val="19"/>
                <w:szCs w:val="19"/>
              </w:rPr>
              <w:t>Psychosocial causes: depression, anxiety, bereavement, relationship difficulties, occupational stress, and major life transitions. These are very common in the 40–60 age group.</w:t>
            </w:r>
          </w:p>
          <w:p w14:paraId="09BEBB8E" w14:textId="77777777" w:rsidR="005233FC" w:rsidRDefault="00000000">
            <w:pPr>
              <w:pStyle w:val="ListParagraph"/>
              <w:numPr>
                <w:ilvl w:val="0"/>
                <w:numId w:val="2"/>
              </w:numPr>
              <w:spacing w:after="60"/>
            </w:pPr>
            <w:r>
              <w:rPr>
                <w:color w:val="2C2C2C"/>
                <w:sz w:val="19"/>
                <w:szCs w:val="19"/>
              </w:rPr>
              <w:t>Features suggesting psychosocial aetiology: sudden onset, situational ED (with one partner but not another), preserved morning erections, normal libido, identifiable stressor.</w:t>
            </w:r>
          </w:p>
          <w:p w14:paraId="752DE63D" w14:textId="77777777" w:rsidR="005233FC" w:rsidRDefault="00000000">
            <w:pPr>
              <w:pStyle w:val="ListParagraph"/>
              <w:numPr>
                <w:ilvl w:val="0"/>
                <w:numId w:val="2"/>
              </w:numPr>
              <w:spacing w:after="60"/>
            </w:pPr>
            <w:r>
              <w:rPr>
                <w:color w:val="2C2C2C"/>
                <w:sz w:val="19"/>
                <w:szCs w:val="19"/>
              </w:rPr>
              <w:lastRenderedPageBreak/>
              <w:t xml:space="preserve">Management: lifestyle modification (smoking cessation, alcohol reduction, weight management, exercise) is </w:t>
            </w:r>
            <w:proofErr w:type="gramStart"/>
            <w:r>
              <w:rPr>
                <w:color w:val="2C2C2C"/>
                <w:sz w:val="19"/>
                <w:szCs w:val="19"/>
              </w:rPr>
              <w:t>first-line</w:t>
            </w:r>
            <w:proofErr w:type="gramEnd"/>
            <w:r>
              <w:rPr>
                <w:color w:val="2C2C2C"/>
                <w:sz w:val="19"/>
                <w:szCs w:val="19"/>
              </w:rPr>
              <w:t xml:space="preserve"> regardless of aetiology. PDE-5 inhibitors are appropriate first-line pharmacological treatment. Refer for CBT or psychosexual therapy if psychosocial cause is identified or suspected.</w:t>
            </w:r>
          </w:p>
          <w:p w14:paraId="7CE6A014" w14:textId="77777777" w:rsidR="005233FC" w:rsidRDefault="00000000">
            <w:pPr>
              <w:pStyle w:val="ListParagraph"/>
              <w:numPr>
                <w:ilvl w:val="0"/>
                <w:numId w:val="2"/>
              </w:numPr>
              <w:spacing w:after="60"/>
            </w:pPr>
            <w:r>
              <w:rPr>
                <w:color w:val="2C2C2C"/>
                <w:sz w:val="19"/>
                <w:szCs w:val="19"/>
              </w:rPr>
              <w:t>Do NOT dismiss a patient's request for medication — even if psychosocial, PDE-5 inhibitors may help restore confidence and break the anxiety cycle, used alongside psychological support.</w:t>
            </w:r>
          </w:p>
          <w:p w14:paraId="36980B17" w14:textId="77777777" w:rsidR="005233FC" w:rsidRDefault="00000000">
            <w:pPr>
              <w:pStyle w:val="ListParagraph"/>
              <w:numPr>
                <w:ilvl w:val="0"/>
                <w:numId w:val="2"/>
              </w:numPr>
              <w:spacing w:after="60"/>
            </w:pPr>
            <w:r>
              <w:rPr>
                <w:color w:val="2C2C2C"/>
                <w:sz w:val="19"/>
                <w:szCs w:val="19"/>
              </w:rPr>
              <w:t>Safety-net: ask about mood and suicidal ideation — sexual dysfunction is associated with depression and self-harm in men. Use a validated screen (e.g. PHQ-9) if concerned.</w:t>
            </w:r>
          </w:p>
        </w:tc>
      </w:tr>
    </w:tbl>
    <w:p w14:paraId="2A3B37B4" w14:textId="77777777" w:rsidR="005233FC" w:rsidRDefault="005233FC">
      <w:pPr>
        <w:pBdr>
          <w:bottom w:val="single" w:sz="2" w:space="0" w:color="D0D0D0"/>
        </w:pBdr>
        <w:spacing w:before="120" w:after="120"/>
      </w:pPr>
    </w:p>
    <w:p w14:paraId="3CD4CBAF" w14:textId="2E6859BB" w:rsidR="00737EA8" w:rsidRDefault="00737EA8">
      <w:r>
        <w:br w:type="page"/>
      </w:r>
    </w:p>
    <w:p w14:paraId="74471500" w14:textId="77777777" w:rsidR="005233FC" w:rsidRDefault="005233FC">
      <w:pPr>
        <w:spacing w:before="100" w:after="80"/>
      </w:pPr>
    </w:p>
    <w:p w14:paraId="4A96DA81" w14:textId="77777777" w:rsidR="005233FC" w:rsidRDefault="00000000">
      <w:pPr>
        <w:pBdr>
          <w:bottom w:val="single" w:sz="1" w:space="0" w:color="E8600A"/>
        </w:pBdr>
        <w:shd w:val="clear" w:color="auto" w:fill="E8600A"/>
        <w:spacing w:before="260" w:after="120"/>
      </w:pPr>
      <w:r>
        <w:rPr>
          <w:b/>
          <w:bCs/>
          <w:color w:val="FFFFFF"/>
          <w:sz w:val="28"/>
          <w:szCs w:val="28"/>
        </w:rPr>
        <w:t xml:space="preserve">  Quick Reference: Sexual Health in Primary Care</w:t>
      </w:r>
    </w:p>
    <w:p w14:paraId="18497037" w14:textId="77777777" w:rsidR="005233FC" w:rsidRDefault="005233FC">
      <w:pPr>
        <w:spacing w:before="80"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200"/>
        <w:gridCol w:w="4306"/>
      </w:tblGrid>
      <w:tr w:rsidR="005233FC" w14:paraId="26B2D309" w14:textId="77777777">
        <w:tblPrEx>
          <w:tblCellMar>
            <w:top w:w="0" w:type="dxa"/>
            <w:bottom w:w="0" w:type="dxa"/>
          </w:tblCellMar>
        </w:tblPrEx>
        <w:trPr>
          <w:tblHeader/>
        </w:trPr>
        <w:tc>
          <w:tcPr>
            <w:tcW w:w="2000" w:type="dxa"/>
            <w:tcBorders>
              <w:top w:val="single" w:sz="1" w:space="0" w:color="1A5C8F"/>
              <w:left w:val="single" w:sz="1" w:space="0" w:color="1A5C8F"/>
              <w:bottom w:val="single" w:sz="1" w:space="0" w:color="1A5C8F"/>
              <w:right w:val="single" w:sz="1" w:space="0" w:color="1A5C8F"/>
            </w:tcBorders>
            <w:shd w:val="clear" w:color="auto" w:fill="1A5C8F"/>
            <w:tcMar>
              <w:top w:w="80" w:type="dxa"/>
              <w:left w:w="120" w:type="dxa"/>
              <w:bottom w:w="80" w:type="dxa"/>
              <w:right w:w="80" w:type="dxa"/>
            </w:tcMar>
          </w:tcPr>
          <w:p w14:paraId="5462B04B" w14:textId="77777777" w:rsidR="005233FC" w:rsidRDefault="00000000">
            <w:r>
              <w:rPr>
                <w:b/>
                <w:bCs/>
                <w:color w:val="FFFFFF"/>
                <w:sz w:val="19"/>
                <w:szCs w:val="19"/>
              </w:rPr>
              <w:t>Condition</w:t>
            </w:r>
          </w:p>
        </w:tc>
        <w:tc>
          <w:tcPr>
            <w:tcW w:w="3200" w:type="dxa"/>
            <w:tcBorders>
              <w:top w:val="single" w:sz="1" w:space="0" w:color="1A5C8F"/>
              <w:left w:val="single" w:sz="1" w:space="0" w:color="1A5C8F"/>
              <w:bottom w:val="single" w:sz="1" w:space="0" w:color="1A5C8F"/>
              <w:right w:val="single" w:sz="1" w:space="0" w:color="1A5C8F"/>
            </w:tcBorders>
            <w:shd w:val="clear" w:color="auto" w:fill="1A5C8F"/>
            <w:tcMar>
              <w:top w:w="80" w:type="dxa"/>
              <w:left w:w="120" w:type="dxa"/>
              <w:bottom w:w="80" w:type="dxa"/>
              <w:right w:w="80" w:type="dxa"/>
            </w:tcMar>
          </w:tcPr>
          <w:p w14:paraId="6911FD91" w14:textId="77777777" w:rsidR="005233FC" w:rsidRDefault="00000000">
            <w:r>
              <w:rPr>
                <w:b/>
                <w:bCs/>
                <w:color w:val="FFFFFF"/>
                <w:sz w:val="19"/>
                <w:szCs w:val="19"/>
              </w:rPr>
              <w:t>Key Assessment</w:t>
            </w:r>
          </w:p>
        </w:tc>
        <w:tc>
          <w:tcPr>
            <w:tcW w:w="4306" w:type="dxa"/>
            <w:tcBorders>
              <w:top w:val="single" w:sz="1" w:space="0" w:color="1A5C8F"/>
              <w:left w:val="single" w:sz="1" w:space="0" w:color="1A5C8F"/>
              <w:bottom w:val="single" w:sz="1" w:space="0" w:color="1A5C8F"/>
              <w:right w:val="single" w:sz="1" w:space="0" w:color="1A5C8F"/>
            </w:tcBorders>
            <w:shd w:val="clear" w:color="auto" w:fill="1A5C8F"/>
            <w:tcMar>
              <w:top w:w="80" w:type="dxa"/>
              <w:left w:w="120" w:type="dxa"/>
              <w:bottom w:w="80" w:type="dxa"/>
              <w:right w:w="80" w:type="dxa"/>
            </w:tcMar>
          </w:tcPr>
          <w:p w14:paraId="72399916" w14:textId="77777777" w:rsidR="005233FC" w:rsidRDefault="00000000">
            <w:r>
              <w:rPr>
                <w:b/>
                <w:bCs/>
                <w:color w:val="FFFFFF"/>
                <w:sz w:val="19"/>
                <w:szCs w:val="19"/>
              </w:rPr>
              <w:t>First-Line Management</w:t>
            </w:r>
          </w:p>
        </w:tc>
      </w:tr>
      <w:tr w:rsidR="005233FC" w14:paraId="4212E62F" w14:textId="77777777">
        <w:tblPrEx>
          <w:tblCellMar>
            <w:top w:w="0" w:type="dxa"/>
            <w:bottom w:w="0" w:type="dxa"/>
          </w:tblCellMar>
        </w:tblPrEx>
        <w:tc>
          <w:tcPr>
            <w:tcW w:w="2000"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3556C56E" w14:textId="77777777" w:rsidR="005233FC" w:rsidRDefault="00000000">
            <w:r>
              <w:rPr>
                <w:b/>
                <w:bCs/>
                <w:color w:val="1A5C8F"/>
                <w:sz w:val="18"/>
                <w:szCs w:val="18"/>
              </w:rPr>
              <w:t>Vaginismus</w:t>
            </w:r>
          </w:p>
        </w:tc>
        <w:tc>
          <w:tcPr>
            <w:tcW w:w="3200"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5CE0D989" w14:textId="77777777" w:rsidR="005233FC" w:rsidRDefault="00000000">
            <w:r>
              <w:rPr>
                <w:color w:val="2C2C2C"/>
                <w:sz w:val="18"/>
                <w:szCs w:val="18"/>
              </w:rPr>
              <w:t>Trauma history, psychosexual assessment, exclude organic causes</w:t>
            </w:r>
          </w:p>
        </w:tc>
        <w:tc>
          <w:tcPr>
            <w:tcW w:w="4306"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39064F09" w14:textId="77777777" w:rsidR="005233FC" w:rsidRDefault="00000000">
            <w:r>
              <w:rPr>
                <w:color w:val="2C2C2C"/>
                <w:sz w:val="18"/>
                <w:szCs w:val="18"/>
              </w:rPr>
              <w:t>Psychosexual counselling + CBT; vaginal dilator therapy. Refer to specialist psychosexual service.</w:t>
            </w:r>
          </w:p>
        </w:tc>
      </w:tr>
      <w:tr w:rsidR="005233FC" w14:paraId="247846EE" w14:textId="77777777">
        <w:tblPrEx>
          <w:tblCellMar>
            <w:top w:w="0" w:type="dxa"/>
            <w:bottom w:w="0" w:type="dxa"/>
          </w:tblCellMar>
        </w:tblPrEx>
        <w:tc>
          <w:tcPr>
            <w:tcW w:w="2000"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6A1571B6" w14:textId="77777777" w:rsidR="005233FC" w:rsidRDefault="00000000">
            <w:r>
              <w:rPr>
                <w:b/>
                <w:bCs/>
                <w:color w:val="1A5C8F"/>
                <w:sz w:val="18"/>
                <w:szCs w:val="18"/>
              </w:rPr>
              <w:t>Erectile Dysfunction (organic)</w:t>
            </w:r>
          </w:p>
        </w:tc>
        <w:tc>
          <w:tcPr>
            <w:tcW w:w="3200"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53B84EBF" w14:textId="77777777" w:rsidR="005233FC" w:rsidRDefault="00000000">
            <w:r>
              <w:rPr>
                <w:color w:val="2C2C2C"/>
                <w:sz w:val="18"/>
                <w:szCs w:val="18"/>
              </w:rPr>
              <w:t>HbA1c, fasting lipids, morning testosterone, QRISK3, BP, urinalysis</w:t>
            </w:r>
          </w:p>
        </w:tc>
        <w:tc>
          <w:tcPr>
            <w:tcW w:w="4306"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60B1EA59" w14:textId="77777777" w:rsidR="005233FC" w:rsidRDefault="00000000">
            <w:r>
              <w:rPr>
                <w:color w:val="2C2C2C"/>
                <w:sz w:val="18"/>
                <w:szCs w:val="18"/>
              </w:rPr>
              <w:t xml:space="preserve">Lifestyle advice, manage comorbidities. Generic sildenafil 50 mg PRN </w:t>
            </w:r>
            <w:proofErr w:type="gramStart"/>
            <w:r>
              <w:rPr>
                <w:color w:val="2C2C2C"/>
                <w:sz w:val="18"/>
                <w:szCs w:val="18"/>
              </w:rPr>
              <w:t>first-line</w:t>
            </w:r>
            <w:proofErr w:type="gramEnd"/>
            <w:r>
              <w:rPr>
                <w:color w:val="2C2C2C"/>
                <w:sz w:val="18"/>
                <w:szCs w:val="18"/>
              </w:rPr>
              <w:t>. Contraindicated with nitrates.</w:t>
            </w:r>
          </w:p>
        </w:tc>
      </w:tr>
      <w:tr w:rsidR="005233FC" w14:paraId="6A2E01D4" w14:textId="77777777">
        <w:tblPrEx>
          <w:tblCellMar>
            <w:top w:w="0" w:type="dxa"/>
            <w:bottom w:w="0" w:type="dxa"/>
          </w:tblCellMar>
        </w:tblPrEx>
        <w:tc>
          <w:tcPr>
            <w:tcW w:w="2000"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3545CFD5" w14:textId="77777777" w:rsidR="005233FC" w:rsidRDefault="00000000">
            <w:r>
              <w:rPr>
                <w:b/>
                <w:bCs/>
                <w:color w:val="1A5C8F"/>
                <w:sz w:val="18"/>
                <w:szCs w:val="18"/>
              </w:rPr>
              <w:t>Erectile Dysfunction (psychosocial)</w:t>
            </w:r>
          </w:p>
        </w:tc>
        <w:tc>
          <w:tcPr>
            <w:tcW w:w="3200"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52430122" w14:textId="77777777" w:rsidR="005233FC" w:rsidRDefault="00000000">
            <w:r>
              <w:rPr>
                <w:color w:val="2C2C2C"/>
                <w:sz w:val="18"/>
                <w:szCs w:val="18"/>
              </w:rPr>
              <w:t>Screen for depression, life stressors, relationship issues, bereavement</w:t>
            </w:r>
          </w:p>
        </w:tc>
        <w:tc>
          <w:tcPr>
            <w:tcW w:w="4306"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6F8F5EA0" w14:textId="77777777" w:rsidR="005233FC" w:rsidRDefault="00000000">
            <w:r>
              <w:rPr>
                <w:color w:val="2C2C2C"/>
                <w:sz w:val="18"/>
                <w:szCs w:val="18"/>
              </w:rPr>
              <w:t>CBT / psychosexual therapy. PDE-5 inhibitor can be used alongside to restore confidence.</w:t>
            </w:r>
          </w:p>
        </w:tc>
      </w:tr>
      <w:tr w:rsidR="005233FC" w14:paraId="69C82F18" w14:textId="77777777">
        <w:tblPrEx>
          <w:tblCellMar>
            <w:top w:w="0" w:type="dxa"/>
            <w:bottom w:w="0" w:type="dxa"/>
          </w:tblCellMar>
        </w:tblPrEx>
        <w:tc>
          <w:tcPr>
            <w:tcW w:w="2000"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02091CD4" w14:textId="77777777" w:rsidR="005233FC" w:rsidRDefault="00000000">
            <w:r>
              <w:rPr>
                <w:b/>
                <w:bCs/>
                <w:color w:val="1A5C8F"/>
                <w:sz w:val="18"/>
                <w:szCs w:val="18"/>
              </w:rPr>
              <w:t>Chlamydia</w:t>
            </w:r>
          </w:p>
        </w:tc>
        <w:tc>
          <w:tcPr>
            <w:tcW w:w="3200"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32A39954" w14:textId="77777777" w:rsidR="005233FC" w:rsidRDefault="00000000">
            <w:r>
              <w:rPr>
                <w:color w:val="2C2C2C"/>
                <w:sz w:val="18"/>
                <w:szCs w:val="18"/>
              </w:rPr>
              <w:t>NAAT swab; consider full STI screen; assess partners</w:t>
            </w:r>
          </w:p>
        </w:tc>
        <w:tc>
          <w:tcPr>
            <w:tcW w:w="4306"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493DFAB8" w14:textId="77777777" w:rsidR="005233FC" w:rsidRDefault="00000000">
            <w:r>
              <w:rPr>
                <w:color w:val="2C2C2C"/>
                <w:sz w:val="18"/>
                <w:szCs w:val="18"/>
              </w:rPr>
              <w:t>Doxycycline 100 mg BD × 7 days (first-line). Partner notification essential. TOC not routine.</w:t>
            </w:r>
          </w:p>
        </w:tc>
      </w:tr>
      <w:tr w:rsidR="005233FC" w14:paraId="40B8E7D1" w14:textId="77777777">
        <w:tblPrEx>
          <w:tblCellMar>
            <w:top w:w="0" w:type="dxa"/>
            <w:bottom w:w="0" w:type="dxa"/>
          </w:tblCellMar>
        </w:tblPrEx>
        <w:tc>
          <w:tcPr>
            <w:tcW w:w="2000"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3FC3AC25" w14:textId="77777777" w:rsidR="005233FC" w:rsidRDefault="00000000">
            <w:r>
              <w:rPr>
                <w:b/>
                <w:bCs/>
                <w:color w:val="1A5C8F"/>
                <w:sz w:val="18"/>
                <w:szCs w:val="18"/>
              </w:rPr>
              <w:t>Bacterial Vaginosis</w:t>
            </w:r>
          </w:p>
        </w:tc>
        <w:tc>
          <w:tcPr>
            <w:tcW w:w="3200"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50AFEE04" w14:textId="77777777" w:rsidR="005233FC" w:rsidRDefault="00000000">
            <w:r>
              <w:rPr>
                <w:color w:val="2C2C2C"/>
                <w:sz w:val="18"/>
                <w:szCs w:val="18"/>
              </w:rPr>
              <w:t>Clinical diagnosis; Amsel criteria or Whiff test; pH &gt;4.5</w:t>
            </w:r>
          </w:p>
        </w:tc>
        <w:tc>
          <w:tcPr>
            <w:tcW w:w="4306" w:type="dxa"/>
            <w:tcBorders>
              <w:top w:val="single" w:sz="1" w:space="0" w:color="D0D0D0"/>
              <w:left w:val="single" w:sz="1" w:space="0" w:color="D0D0D0"/>
              <w:bottom w:val="single" w:sz="1" w:space="0" w:color="D0D0D0"/>
              <w:right w:val="single" w:sz="1" w:space="0" w:color="D0D0D0"/>
            </w:tcBorders>
            <w:shd w:val="clear" w:color="auto" w:fill="F7F7F7"/>
            <w:tcMar>
              <w:top w:w="80" w:type="dxa"/>
              <w:left w:w="120" w:type="dxa"/>
              <w:bottom w:w="80" w:type="dxa"/>
              <w:right w:w="80" w:type="dxa"/>
            </w:tcMar>
          </w:tcPr>
          <w:p w14:paraId="084B02D9" w14:textId="77777777" w:rsidR="005233FC" w:rsidRDefault="00000000">
            <w:r>
              <w:rPr>
                <w:color w:val="2C2C2C"/>
                <w:sz w:val="18"/>
                <w:szCs w:val="18"/>
              </w:rPr>
              <w:t>Metronidazole 400 mg BD × 5–7 days. Avoid alcohol during treatment and 48 hrs after.</w:t>
            </w:r>
          </w:p>
        </w:tc>
      </w:tr>
      <w:tr w:rsidR="005233FC" w14:paraId="1A3A228A" w14:textId="77777777">
        <w:tblPrEx>
          <w:tblCellMar>
            <w:top w:w="0" w:type="dxa"/>
            <w:bottom w:w="0" w:type="dxa"/>
          </w:tblCellMar>
        </w:tblPrEx>
        <w:tc>
          <w:tcPr>
            <w:tcW w:w="2000"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10A2247B" w14:textId="77777777" w:rsidR="005233FC" w:rsidRDefault="00000000">
            <w:r>
              <w:rPr>
                <w:b/>
                <w:bCs/>
                <w:color w:val="1A5C8F"/>
                <w:sz w:val="18"/>
                <w:szCs w:val="18"/>
              </w:rPr>
              <w:t>BBV Risk (IV drug use history)</w:t>
            </w:r>
          </w:p>
        </w:tc>
        <w:tc>
          <w:tcPr>
            <w:tcW w:w="3200"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375E3736" w14:textId="77777777" w:rsidR="005233FC" w:rsidRDefault="00000000">
            <w:r>
              <w:rPr>
                <w:color w:val="2C2C2C"/>
                <w:sz w:val="18"/>
                <w:szCs w:val="18"/>
              </w:rPr>
              <w:t xml:space="preserve">HIV, </w:t>
            </w:r>
            <w:proofErr w:type="spellStart"/>
            <w:r>
              <w:rPr>
                <w:color w:val="2C2C2C"/>
                <w:sz w:val="18"/>
                <w:szCs w:val="18"/>
              </w:rPr>
              <w:t>HepB</w:t>
            </w:r>
            <w:proofErr w:type="spellEnd"/>
            <w:r>
              <w:rPr>
                <w:color w:val="2C2C2C"/>
                <w:sz w:val="18"/>
                <w:szCs w:val="18"/>
              </w:rPr>
              <w:t xml:space="preserve">, </w:t>
            </w:r>
            <w:proofErr w:type="spellStart"/>
            <w:r>
              <w:rPr>
                <w:color w:val="2C2C2C"/>
                <w:sz w:val="18"/>
                <w:szCs w:val="18"/>
              </w:rPr>
              <w:t>HepC</w:t>
            </w:r>
            <w:proofErr w:type="spellEnd"/>
            <w:r>
              <w:rPr>
                <w:color w:val="2C2C2C"/>
                <w:sz w:val="18"/>
                <w:szCs w:val="18"/>
              </w:rPr>
              <w:t xml:space="preserve"> serology; STI screen; window period counselling</w:t>
            </w:r>
          </w:p>
        </w:tc>
        <w:tc>
          <w:tcPr>
            <w:tcW w:w="4306" w:type="dxa"/>
            <w:tcBorders>
              <w:top w:val="single" w:sz="1" w:space="0" w:color="D0D0D0"/>
              <w:left w:val="single" w:sz="1" w:space="0" w:color="D0D0D0"/>
              <w:bottom w:val="single" w:sz="1" w:space="0" w:color="D0D0D0"/>
              <w:right w:val="single" w:sz="1" w:space="0" w:color="D0D0D0"/>
            </w:tcBorders>
            <w:shd w:val="clear" w:color="auto" w:fill="FFFFFF"/>
            <w:tcMar>
              <w:top w:w="80" w:type="dxa"/>
              <w:left w:w="120" w:type="dxa"/>
              <w:bottom w:w="80" w:type="dxa"/>
              <w:right w:w="80" w:type="dxa"/>
            </w:tcMar>
          </w:tcPr>
          <w:p w14:paraId="3478D2C2" w14:textId="77777777" w:rsidR="005233FC" w:rsidRDefault="00000000">
            <w:r>
              <w:rPr>
                <w:color w:val="2C2C2C"/>
                <w:sz w:val="18"/>
                <w:szCs w:val="18"/>
              </w:rPr>
              <w:t xml:space="preserve">Condom advice, </w:t>
            </w:r>
            <w:proofErr w:type="spellStart"/>
            <w:r>
              <w:rPr>
                <w:color w:val="2C2C2C"/>
                <w:sz w:val="18"/>
                <w:szCs w:val="18"/>
              </w:rPr>
              <w:t>HepB</w:t>
            </w:r>
            <w:proofErr w:type="spellEnd"/>
            <w:r>
              <w:rPr>
                <w:color w:val="2C2C2C"/>
                <w:sz w:val="18"/>
                <w:szCs w:val="18"/>
              </w:rPr>
              <w:t xml:space="preserve"> vaccination if non-immune. Refer to GUM/ID if positive. Discuss </w:t>
            </w:r>
            <w:proofErr w:type="spellStart"/>
            <w:r>
              <w:rPr>
                <w:color w:val="2C2C2C"/>
                <w:sz w:val="18"/>
                <w:szCs w:val="18"/>
              </w:rPr>
              <w:t>PrEP</w:t>
            </w:r>
            <w:proofErr w:type="spellEnd"/>
            <w:r>
              <w:rPr>
                <w:color w:val="2C2C2C"/>
                <w:sz w:val="18"/>
                <w:szCs w:val="18"/>
              </w:rPr>
              <w:t xml:space="preserve"> if ongoing risk.</w:t>
            </w:r>
          </w:p>
        </w:tc>
      </w:tr>
    </w:tbl>
    <w:p w14:paraId="434BB53D" w14:textId="77777777" w:rsidR="005233FC" w:rsidRDefault="005233FC">
      <w:pPr>
        <w:spacing w:before="12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2A77246A" w14:textId="77777777">
        <w:tblPrEx>
          <w:tblCellMar>
            <w:top w:w="0" w:type="dxa"/>
            <w:bottom w:w="0" w:type="dxa"/>
          </w:tblCellMar>
        </w:tblPrEx>
        <w:tc>
          <w:tcPr>
            <w:tcW w:w="9506" w:type="dxa"/>
            <w:tcBorders>
              <w:top w:val="single" w:sz="1" w:space="0" w:color="A80000"/>
              <w:left w:val="single" w:sz="12" w:space="0" w:color="A80000"/>
              <w:bottom w:val="single" w:sz="1" w:space="0" w:color="A80000"/>
              <w:right w:val="single" w:sz="1" w:space="0" w:color="D0D0D0"/>
            </w:tcBorders>
            <w:shd w:val="clear" w:color="auto" w:fill="FFF0F0"/>
            <w:tcMar>
              <w:top w:w="120" w:type="dxa"/>
              <w:left w:w="160" w:type="dxa"/>
              <w:bottom w:w="120" w:type="dxa"/>
              <w:right w:w="160" w:type="dxa"/>
            </w:tcMar>
          </w:tcPr>
          <w:p w14:paraId="4A74CC56" w14:textId="77777777" w:rsidR="005233FC" w:rsidRDefault="00000000">
            <w:pPr>
              <w:spacing w:after="40"/>
            </w:pPr>
            <w:r>
              <w:rPr>
                <w:b/>
                <w:bCs/>
                <w:color w:val="A80000"/>
              </w:rPr>
              <w:t>🚫</w:t>
            </w:r>
            <w:r>
              <w:rPr>
                <w:b/>
                <w:bCs/>
                <w:color w:val="2C2C2C"/>
              </w:rPr>
              <w:t xml:space="preserve"> ABSOLUTE CONTRAINDICATION: PDE-5 Inhibitors + Nitrates</w:t>
            </w:r>
          </w:p>
          <w:p w14:paraId="7DCFDDA6" w14:textId="77777777" w:rsidR="005233FC" w:rsidRDefault="00000000">
            <w:pPr>
              <w:spacing w:before="40" w:after="40"/>
            </w:pPr>
            <w:r>
              <w:rPr>
                <w:color w:val="2C2C2C"/>
              </w:rPr>
              <w:t xml:space="preserve"> You must NEVER co-prescribe sildenafil, tadalafil, or vardenafil with any nitrate (GTN, isosorbide mononitrate/dinitrate), nicorandil, or nitric oxide donor (including amyl nitrite). This combination causes severe, potentially fatal hypotension. Before prescribing any PDE-5 inhibitor, always check current medication list.</w:t>
            </w:r>
          </w:p>
        </w:tc>
      </w:tr>
    </w:tbl>
    <w:p w14:paraId="37BCBAC5"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1F239AF2" w14:textId="77777777">
        <w:tblPrEx>
          <w:tblCellMar>
            <w:top w:w="0" w:type="dxa"/>
            <w:bottom w:w="0" w:type="dxa"/>
          </w:tblCellMar>
        </w:tblPrEx>
        <w:tc>
          <w:tcPr>
            <w:tcW w:w="9506" w:type="dxa"/>
            <w:tcBorders>
              <w:top w:val="single" w:sz="1" w:space="0" w:color="C75B00"/>
              <w:left w:val="single" w:sz="12" w:space="0" w:color="C75B00"/>
              <w:bottom w:val="single" w:sz="1" w:space="0" w:color="C75B00"/>
              <w:right w:val="single" w:sz="1" w:space="0" w:color="D0D0D0"/>
            </w:tcBorders>
            <w:shd w:val="clear" w:color="auto" w:fill="FFF8F0"/>
            <w:tcMar>
              <w:top w:w="120" w:type="dxa"/>
              <w:left w:w="160" w:type="dxa"/>
              <w:bottom w:w="120" w:type="dxa"/>
              <w:right w:w="160" w:type="dxa"/>
            </w:tcMar>
          </w:tcPr>
          <w:p w14:paraId="5E55DD40" w14:textId="77777777" w:rsidR="005233FC" w:rsidRDefault="00000000">
            <w:pPr>
              <w:spacing w:after="40"/>
            </w:pPr>
            <w:r>
              <w:rPr>
                <w:b/>
                <w:bCs/>
                <w:color w:val="C75B00"/>
              </w:rPr>
              <w:t>⚠</w:t>
            </w:r>
            <w:r>
              <w:rPr>
                <w:b/>
                <w:bCs/>
                <w:color w:val="2C2C2C"/>
              </w:rPr>
              <w:t xml:space="preserve"> Doxycycline in Pregnancy — Absolutely Contraindicated</w:t>
            </w:r>
          </w:p>
          <w:p w14:paraId="1F15B73E" w14:textId="77777777" w:rsidR="005233FC" w:rsidRDefault="00000000">
            <w:pPr>
              <w:spacing w:before="40" w:after="40"/>
            </w:pPr>
            <w:r>
              <w:rPr>
                <w:color w:val="2C2C2C"/>
              </w:rPr>
              <w:t xml:space="preserve"> Do NOT prescribe doxycycline to pregnant or breastfeeding women. For chlamydia in pregnancy, use azithromycin (</w:t>
            </w:r>
            <w:proofErr w:type="gramStart"/>
            <w:r>
              <w:rPr>
                <w:color w:val="2C2C2C"/>
              </w:rPr>
              <w:t>off-label</w:t>
            </w:r>
            <w:proofErr w:type="gramEnd"/>
            <w:r>
              <w:rPr>
                <w:color w:val="2C2C2C"/>
              </w:rPr>
              <w:t>, with caution) or erythromycin. Always check for pregnancy before prescribing.</w:t>
            </w:r>
          </w:p>
        </w:tc>
      </w:tr>
    </w:tbl>
    <w:p w14:paraId="33FBEC17" w14:textId="77777777" w:rsidR="005233FC" w:rsidRDefault="005233FC">
      <w:pPr>
        <w:spacing w:before="80" w:after="8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6"/>
      </w:tblGrid>
      <w:tr w:rsidR="005233FC" w14:paraId="03E76B9F" w14:textId="77777777">
        <w:tblPrEx>
          <w:tblCellMar>
            <w:top w:w="0" w:type="dxa"/>
            <w:bottom w:w="0" w:type="dxa"/>
          </w:tblCellMar>
        </w:tblPrEx>
        <w:tc>
          <w:tcPr>
            <w:tcW w:w="9506" w:type="dxa"/>
            <w:tcBorders>
              <w:top w:val="single" w:sz="1" w:space="0" w:color="1D7A6E"/>
              <w:left w:val="single" w:sz="10" w:space="0" w:color="1D7A6E"/>
              <w:bottom w:val="single" w:sz="1" w:space="0" w:color="1D7A6E"/>
              <w:right w:val="single" w:sz="1" w:space="0" w:color="D0D0D0"/>
            </w:tcBorders>
            <w:shd w:val="clear" w:color="auto" w:fill="F0FAF6"/>
            <w:tcMar>
              <w:top w:w="120" w:type="dxa"/>
              <w:left w:w="160" w:type="dxa"/>
              <w:bottom w:w="120" w:type="dxa"/>
              <w:right w:w="160" w:type="dxa"/>
            </w:tcMar>
          </w:tcPr>
          <w:p w14:paraId="629CEE58" w14:textId="77777777" w:rsidR="005233FC" w:rsidRDefault="00000000">
            <w:pPr>
              <w:spacing w:after="80"/>
            </w:pPr>
            <w:r>
              <w:rPr>
                <w:b/>
                <w:bCs/>
                <w:color w:val="1D7A6E"/>
              </w:rPr>
              <w:t>Key Referral Thresholds</w:t>
            </w:r>
          </w:p>
          <w:p w14:paraId="39708474" w14:textId="77777777" w:rsidR="005233FC" w:rsidRDefault="00000000">
            <w:pPr>
              <w:pStyle w:val="ListParagraph"/>
              <w:numPr>
                <w:ilvl w:val="0"/>
                <w:numId w:val="2"/>
              </w:numPr>
              <w:spacing w:after="60"/>
            </w:pPr>
            <w:r>
              <w:rPr>
                <w:color w:val="2C2C2C"/>
                <w:sz w:val="19"/>
                <w:szCs w:val="19"/>
              </w:rPr>
              <w:t>Vaginismus / Genito-Pelvic Pain Disorder: refer to specialist psychosexual service if not improving with primary care management.</w:t>
            </w:r>
          </w:p>
          <w:p w14:paraId="2C9631DB" w14:textId="77777777" w:rsidR="005233FC" w:rsidRDefault="00000000">
            <w:pPr>
              <w:pStyle w:val="ListParagraph"/>
              <w:numPr>
                <w:ilvl w:val="0"/>
                <w:numId w:val="2"/>
              </w:numPr>
              <w:spacing w:after="60"/>
            </w:pPr>
            <w:r>
              <w:rPr>
                <w:color w:val="2C2C2C"/>
                <w:sz w:val="19"/>
                <w:szCs w:val="19"/>
              </w:rPr>
              <w:t>ED with suspected hypogonadism: refer to endocrinology if testosterone is confirmed low on two separate morning samples.</w:t>
            </w:r>
          </w:p>
          <w:p w14:paraId="19035EA0" w14:textId="77777777" w:rsidR="005233FC" w:rsidRDefault="00000000">
            <w:pPr>
              <w:pStyle w:val="ListParagraph"/>
              <w:numPr>
                <w:ilvl w:val="0"/>
                <w:numId w:val="2"/>
              </w:numPr>
              <w:spacing w:after="60"/>
            </w:pPr>
            <w:r>
              <w:rPr>
                <w:color w:val="2C2C2C"/>
                <w:sz w:val="19"/>
                <w:szCs w:val="19"/>
              </w:rPr>
              <w:t>ED failing two different PDE-5 inhibitors at maximum dose (4–8 adequate attempts with each): refer to urology.</w:t>
            </w:r>
          </w:p>
          <w:p w14:paraId="3151DF37" w14:textId="77777777" w:rsidR="005233FC" w:rsidRDefault="00000000">
            <w:pPr>
              <w:pStyle w:val="ListParagraph"/>
              <w:numPr>
                <w:ilvl w:val="0"/>
                <w:numId w:val="2"/>
              </w:numPr>
              <w:spacing w:after="60"/>
            </w:pPr>
            <w:r>
              <w:rPr>
                <w:color w:val="2C2C2C"/>
                <w:sz w:val="19"/>
                <w:szCs w:val="19"/>
              </w:rPr>
              <w:t xml:space="preserve">Chlamydia with signs of PID (adnexal tenderness, pelvic pain, fever): same-day assessment / GUM referral. Consider in-patient treatment </w:t>
            </w:r>
            <w:proofErr w:type="spellStart"/>
            <w:r>
              <w:rPr>
                <w:color w:val="2C2C2C"/>
                <w:sz w:val="19"/>
                <w:szCs w:val="19"/>
              </w:rPr>
              <w:t>if</w:t>
            </w:r>
            <w:proofErr w:type="spellEnd"/>
            <w:r>
              <w:rPr>
                <w:color w:val="2C2C2C"/>
                <w:sz w:val="19"/>
                <w:szCs w:val="19"/>
              </w:rPr>
              <w:t xml:space="preserve"> severe.</w:t>
            </w:r>
          </w:p>
          <w:p w14:paraId="2CED1893" w14:textId="77777777" w:rsidR="005233FC" w:rsidRDefault="00000000">
            <w:pPr>
              <w:pStyle w:val="ListParagraph"/>
              <w:numPr>
                <w:ilvl w:val="0"/>
                <w:numId w:val="2"/>
              </w:numPr>
              <w:spacing w:after="60"/>
            </w:pPr>
            <w:r>
              <w:rPr>
                <w:color w:val="2C2C2C"/>
                <w:sz w:val="19"/>
                <w:szCs w:val="19"/>
              </w:rPr>
              <w:t>Positive HIV result: refer urgently to GUM / HIV specialist on the same day.</w:t>
            </w:r>
          </w:p>
          <w:p w14:paraId="1ED47FD8" w14:textId="77777777" w:rsidR="005233FC" w:rsidRDefault="00000000">
            <w:pPr>
              <w:pStyle w:val="ListParagraph"/>
              <w:numPr>
                <w:ilvl w:val="0"/>
                <w:numId w:val="2"/>
              </w:numPr>
              <w:spacing w:after="60"/>
            </w:pPr>
            <w:r>
              <w:rPr>
                <w:color w:val="2C2C2C"/>
                <w:sz w:val="19"/>
                <w:szCs w:val="19"/>
              </w:rPr>
              <w:t>Positive hepatitis C: refer to hepatology or specialist GI/ID service for assessment and treatment.</w:t>
            </w:r>
          </w:p>
          <w:p w14:paraId="59393D09" w14:textId="77777777" w:rsidR="005233FC" w:rsidRDefault="00000000">
            <w:pPr>
              <w:pStyle w:val="ListParagraph"/>
              <w:numPr>
                <w:ilvl w:val="0"/>
                <w:numId w:val="2"/>
              </w:numPr>
              <w:spacing w:after="60"/>
            </w:pPr>
            <w:r>
              <w:rPr>
                <w:color w:val="2C2C2C"/>
                <w:sz w:val="19"/>
                <w:szCs w:val="19"/>
              </w:rPr>
              <w:t>Any STI in the context of safeguarding concerns (minors, coercion, trafficking): follow safeguarding procedures immediately.</w:t>
            </w:r>
          </w:p>
        </w:tc>
      </w:tr>
    </w:tbl>
    <w:p w14:paraId="60187512" w14:textId="77777777" w:rsidR="005233FC" w:rsidRDefault="005233FC">
      <w:pPr>
        <w:spacing w:before="60" w:after="80"/>
      </w:pPr>
    </w:p>
    <w:p w14:paraId="25502A3A" w14:textId="77777777" w:rsidR="005233FC" w:rsidRDefault="00000000">
      <w:pPr>
        <w:spacing w:before="120" w:after="60"/>
        <w:jc w:val="center"/>
      </w:pPr>
      <w:r>
        <w:rPr>
          <w:b/>
          <w:bCs/>
          <w:color w:val="1A5C8F"/>
          <w:sz w:val="18"/>
          <w:szCs w:val="18"/>
        </w:rPr>
        <w:t>www.bradfordvts.co.uk</w:t>
      </w:r>
    </w:p>
    <w:p w14:paraId="0F70C21F" w14:textId="77777777" w:rsidR="005233FC" w:rsidRDefault="00000000">
      <w:pPr>
        <w:jc w:val="center"/>
      </w:pPr>
      <w:r>
        <w:rPr>
          <w:i/>
          <w:iCs/>
          <w:color w:val="AAAAAA"/>
          <w:sz w:val="16"/>
          <w:szCs w:val="16"/>
        </w:rPr>
        <w:t>Bradford GP Vocational Training Scheme — Supporting Excellence in GP Education</w:t>
      </w:r>
    </w:p>
    <w:sectPr w:rsidR="005233FC">
      <w:headerReference w:type="default" r:id="rId7"/>
      <w:footerReference w:type="default" r:id="rId8"/>
      <w:pgSz w:w="11906" w:h="16838"/>
      <w:pgMar w:top="1200" w:right="1200" w:bottom="14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CD3E9" w14:textId="77777777" w:rsidR="00CE6151" w:rsidRDefault="00CE6151">
      <w:r>
        <w:separator/>
      </w:r>
    </w:p>
  </w:endnote>
  <w:endnote w:type="continuationSeparator" w:id="0">
    <w:p w14:paraId="0EA1F2BA" w14:textId="77777777" w:rsidR="00CE6151" w:rsidRDefault="00CE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EEE4" w14:textId="77777777" w:rsidR="005233FC" w:rsidRDefault="00000000">
    <w:pPr>
      <w:pBdr>
        <w:top w:val="single" w:sz="4" w:space="4" w:color="D0D0D0"/>
      </w:pBdr>
      <w:spacing w:before="80"/>
    </w:pPr>
    <w:r>
      <w:rPr>
        <w:color w:val="888888"/>
        <w:sz w:val="16"/>
        <w:szCs w:val="16"/>
      </w:rPr>
      <w:t xml:space="preserve">Bradford VTS Teaching </w:t>
    </w:r>
    <w:proofErr w:type="gramStart"/>
    <w:r>
      <w:rPr>
        <w:color w:val="888888"/>
        <w:sz w:val="16"/>
        <w:szCs w:val="16"/>
      </w:rPr>
      <w:t>Aids  |</w:t>
    </w:r>
    <w:proofErr w:type="gramEnd"/>
    <w:r>
      <w:rPr>
        <w:color w:val="888888"/>
        <w:sz w:val="16"/>
        <w:szCs w:val="16"/>
      </w:rPr>
      <w:t xml:space="preserve">  Sexual Health: Role-Play </w:t>
    </w:r>
    <w:proofErr w:type="gramStart"/>
    <w:r>
      <w:rPr>
        <w:color w:val="888888"/>
        <w:sz w:val="16"/>
        <w:szCs w:val="16"/>
      </w:rPr>
      <w:t>Scenarios  |</w:t>
    </w:r>
    <w:proofErr w:type="gramEnd"/>
    <w:r>
      <w:rPr>
        <w:color w:val="888888"/>
        <w:sz w:val="16"/>
        <w:szCs w:val="16"/>
      </w:rPr>
      <w:t xml:space="preserve">  May 2026   Page   </w:t>
    </w:r>
  </w:p>
  <w:p w14:paraId="71CE84A1" w14:textId="77777777" w:rsidR="005233FC" w:rsidRDefault="00000000">
    <w:pPr>
      <w:spacing w:before="40"/>
    </w:pPr>
    <w:r>
      <w:rPr>
        <w:i/>
        <w:iCs/>
        <w:color w:val="AAAAAA"/>
        <w:sz w:val="14"/>
        <w:szCs w:val="14"/>
      </w:rPr>
      <w:t>DISCLAIMER: 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706FD" w14:textId="77777777" w:rsidR="00CE6151" w:rsidRDefault="00CE6151">
      <w:r>
        <w:separator/>
      </w:r>
    </w:p>
  </w:footnote>
  <w:footnote w:type="continuationSeparator" w:id="0">
    <w:p w14:paraId="1012391E" w14:textId="77777777" w:rsidR="00CE6151" w:rsidRDefault="00CE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28E8" w14:textId="77777777" w:rsidR="005233FC" w:rsidRDefault="005233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5CC3"/>
    <w:multiLevelType w:val="hybridMultilevel"/>
    <w:tmpl w:val="F6E69E1E"/>
    <w:lvl w:ilvl="0" w:tplc="634E1728">
      <w:start w:val="1"/>
      <w:numFmt w:val="bullet"/>
      <w:lvlText w:val="•"/>
      <w:lvlJc w:val="left"/>
      <w:pPr>
        <w:ind w:left="540" w:hanging="260"/>
      </w:pPr>
    </w:lvl>
    <w:lvl w:ilvl="1" w:tplc="C7766F88">
      <w:numFmt w:val="decimal"/>
      <w:lvlText w:val=""/>
      <w:lvlJc w:val="left"/>
    </w:lvl>
    <w:lvl w:ilvl="2" w:tplc="0E985E5C">
      <w:numFmt w:val="decimal"/>
      <w:lvlText w:val=""/>
      <w:lvlJc w:val="left"/>
    </w:lvl>
    <w:lvl w:ilvl="3" w:tplc="4FE6B500">
      <w:numFmt w:val="decimal"/>
      <w:lvlText w:val=""/>
      <w:lvlJc w:val="left"/>
    </w:lvl>
    <w:lvl w:ilvl="4" w:tplc="76F89F4E">
      <w:numFmt w:val="decimal"/>
      <w:lvlText w:val=""/>
      <w:lvlJc w:val="left"/>
    </w:lvl>
    <w:lvl w:ilvl="5" w:tplc="21565CD6">
      <w:numFmt w:val="decimal"/>
      <w:lvlText w:val=""/>
      <w:lvlJc w:val="left"/>
    </w:lvl>
    <w:lvl w:ilvl="6" w:tplc="D498555A">
      <w:numFmt w:val="decimal"/>
      <w:lvlText w:val=""/>
      <w:lvlJc w:val="left"/>
    </w:lvl>
    <w:lvl w:ilvl="7" w:tplc="AEA8D8A6">
      <w:numFmt w:val="decimal"/>
      <w:lvlText w:val=""/>
      <w:lvlJc w:val="left"/>
    </w:lvl>
    <w:lvl w:ilvl="8" w:tplc="D8361154">
      <w:numFmt w:val="decimal"/>
      <w:lvlText w:val=""/>
      <w:lvlJc w:val="left"/>
    </w:lvl>
  </w:abstractNum>
  <w:abstractNum w:abstractNumId="1" w15:restartNumberingAfterBreak="0">
    <w:nsid w:val="67DC2705"/>
    <w:multiLevelType w:val="hybridMultilevel"/>
    <w:tmpl w:val="375E8098"/>
    <w:lvl w:ilvl="0" w:tplc="AE56B556">
      <w:start w:val="1"/>
      <w:numFmt w:val="bullet"/>
      <w:lvlText w:val="●"/>
      <w:lvlJc w:val="left"/>
      <w:pPr>
        <w:ind w:left="720" w:hanging="360"/>
      </w:pPr>
    </w:lvl>
    <w:lvl w:ilvl="1" w:tplc="34646A4C">
      <w:start w:val="1"/>
      <w:numFmt w:val="bullet"/>
      <w:lvlText w:val="○"/>
      <w:lvlJc w:val="left"/>
      <w:pPr>
        <w:ind w:left="1440" w:hanging="360"/>
      </w:pPr>
    </w:lvl>
    <w:lvl w:ilvl="2" w:tplc="876EF6F8">
      <w:start w:val="1"/>
      <w:numFmt w:val="bullet"/>
      <w:lvlText w:val="■"/>
      <w:lvlJc w:val="left"/>
      <w:pPr>
        <w:ind w:left="2160" w:hanging="360"/>
      </w:pPr>
    </w:lvl>
    <w:lvl w:ilvl="3" w:tplc="3416A048">
      <w:start w:val="1"/>
      <w:numFmt w:val="bullet"/>
      <w:lvlText w:val="●"/>
      <w:lvlJc w:val="left"/>
      <w:pPr>
        <w:ind w:left="2880" w:hanging="360"/>
      </w:pPr>
    </w:lvl>
    <w:lvl w:ilvl="4" w:tplc="6FA47222">
      <w:start w:val="1"/>
      <w:numFmt w:val="bullet"/>
      <w:lvlText w:val="○"/>
      <w:lvlJc w:val="left"/>
      <w:pPr>
        <w:ind w:left="3600" w:hanging="360"/>
      </w:pPr>
    </w:lvl>
    <w:lvl w:ilvl="5" w:tplc="036A4200">
      <w:start w:val="1"/>
      <w:numFmt w:val="bullet"/>
      <w:lvlText w:val="■"/>
      <w:lvlJc w:val="left"/>
      <w:pPr>
        <w:ind w:left="4320" w:hanging="360"/>
      </w:pPr>
    </w:lvl>
    <w:lvl w:ilvl="6" w:tplc="88406636">
      <w:start w:val="1"/>
      <w:numFmt w:val="bullet"/>
      <w:lvlText w:val="●"/>
      <w:lvlJc w:val="left"/>
      <w:pPr>
        <w:ind w:left="5040" w:hanging="360"/>
      </w:pPr>
    </w:lvl>
    <w:lvl w:ilvl="7" w:tplc="9AE261AA">
      <w:start w:val="1"/>
      <w:numFmt w:val="bullet"/>
      <w:lvlText w:val="●"/>
      <w:lvlJc w:val="left"/>
      <w:pPr>
        <w:ind w:left="5760" w:hanging="360"/>
      </w:pPr>
    </w:lvl>
    <w:lvl w:ilvl="8" w:tplc="0A42FD3A">
      <w:start w:val="1"/>
      <w:numFmt w:val="bullet"/>
      <w:lvlText w:val="●"/>
      <w:lvlJc w:val="left"/>
      <w:pPr>
        <w:ind w:left="6480" w:hanging="360"/>
      </w:pPr>
    </w:lvl>
  </w:abstractNum>
  <w:num w:numId="1" w16cid:durableId="1227958948">
    <w:abstractNumId w:val="1"/>
    <w:lvlOverride w:ilvl="0">
      <w:startOverride w:val="1"/>
    </w:lvlOverride>
  </w:num>
  <w:num w:numId="2" w16cid:durableId="7139623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3FC"/>
    <w:rsid w:val="005233FC"/>
    <w:rsid w:val="00737EA8"/>
    <w:rsid w:val="00BE02D1"/>
    <w:rsid w:val="00CE6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78F46"/>
  <w15:docId w15:val="{C35E9074-8976-4452-9118-F91CD90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2834</Words>
  <Characters>16155</Characters>
  <Application>Microsoft Office Word</Application>
  <DocSecurity>0</DocSecurity>
  <Lines>134</Lines>
  <Paragraphs>37</Paragraphs>
  <ScaleCrop>false</ScaleCrop>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2026-05-25T16:30:00Z</dcterms:created>
  <dcterms:modified xsi:type="dcterms:W3CDTF">2026-05-25T16:30:00Z</dcterms:modified>
</cp:coreProperties>
</file>