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F94DDE" w14:paraId="141D194B" w14:textId="77777777">
        <w:trPr>
          <w:jc w:val="center"/>
        </w:trPr>
        <w:tc>
          <w:tcPr>
            <w:tcW w:w="9360" w:type="dxa"/>
            <w:shd w:val="clear" w:color="auto" w:fill="E0651F"/>
          </w:tcPr>
          <w:p w14:paraId="5A4F9489" w14:textId="77777777" w:rsidR="00F94DDE" w:rsidRDefault="00F94DDE"/>
          <w:p w14:paraId="3A022C21" w14:textId="77777777" w:rsidR="00F94DDE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0063B819" w14:textId="77777777" w:rsidR="00F94DDE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52"/>
              </w:rPr>
              <w:t>Sexual Health: Cases &amp; Tutorial Resources</w:t>
            </w:r>
          </w:p>
          <w:p w14:paraId="0C9A3CD9" w14:textId="77777777" w:rsidR="00F94DDE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</w:rPr>
              <w:t>Case-Based Learning · Bradford VTS · May 2026</w:t>
            </w:r>
          </w:p>
        </w:tc>
      </w:tr>
    </w:tbl>
    <w:p w14:paraId="3B60068A" w14:textId="77777777" w:rsidR="00F94DDE" w:rsidRDefault="00F94DDE"/>
    <w:p w14:paraId="6DE79E7B" w14:textId="77777777" w:rsidR="00F94DDE" w:rsidRDefault="00000000">
      <w:r>
        <w:rPr>
          <w:rFonts w:ascii="Calibri" w:hAnsi="Calibri"/>
          <w:sz w:val="21"/>
        </w:rPr>
        <w:t>This resource provides structured case scenarios for GP trainee tutorials on sexual health. Cases are designed to develop clinical reasoning, consultation skills, and exam readiness (SCA and AKT).</w:t>
      </w:r>
    </w:p>
    <w:p w14:paraId="69B7BBA2" w14:textId="77777777" w:rsidR="00F94DDE" w:rsidRDefault="00000000">
      <w:r>
        <w:rPr>
          <w:rFonts w:ascii="Calibri" w:hAnsi="Calibri"/>
          <w:b/>
          <w:color w:val="1B3C8A"/>
          <w:sz w:val="32"/>
        </w:rPr>
        <w:t>Case 1: Rebecca — Vaginal Discharge in a Young Woman</w:t>
      </w:r>
    </w:p>
    <w:p w14:paraId="48A625DF" w14:textId="77777777" w:rsidR="00F94DDE" w:rsidRDefault="00000000">
      <w:r>
        <w:rPr>
          <w:rFonts w:ascii="Calibri" w:hAnsi="Calibri"/>
          <w:b/>
          <w:sz w:val="21"/>
        </w:rPr>
        <w:t xml:space="preserve">Scenario: </w:t>
      </w:r>
      <w:r>
        <w:rPr>
          <w:rFonts w:ascii="Calibri" w:hAnsi="Calibri"/>
          <w:i/>
          <w:sz w:val="21"/>
        </w:rPr>
        <w:t>Rebecca is 21, a university student. She presents with vaginal discharge for 3 weeks. New partner 6 weeks ago. No contraception. No abdominal pain. No fever.</w:t>
      </w:r>
    </w:p>
    <w:p w14:paraId="2907A4B2" w14:textId="77777777" w:rsidR="00F94DDE" w:rsidRDefault="00000000">
      <w:r>
        <w:rPr>
          <w:rFonts w:ascii="Calibri" w:hAnsi="Calibri"/>
          <w:b/>
        </w:rPr>
        <w:t>Learning points</w:t>
      </w:r>
    </w:p>
    <w:p w14:paraId="2545FB7C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Take full sexual history using the 5 P's framework: Partners, Practices, Protection, Past STIs, Pregnancy</w:t>
      </w:r>
    </w:p>
    <w:p w14:paraId="08CD8E14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Opportunistic chlamydia screening — ALL sexually active women &lt;25 (NCSP)</w:t>
      </w:r>
    </w:p>
    <w:p w14:paraId="50D05A6C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Differential: Chlamydia (70–80% asymptomatic), BV, TV, Candida, physiological discharge</w:t>
      </w:r>
    </w:p>
    <w:p w14:paraId="6429D42C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Investigations: NAAT vulvo-vaginal swab; consider HVS for BV/TV; consider emergency contraception</w:t>
      </w:r>
    </w:p>
    <w:p w14:paraId="33BD8E40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If chlamydia positive: Doxycycline 100mg BD 7 days (FIRST LINE — BASHH 2024); partner notification</w:t>
      </w:r>
    </w:p>
    <w:p w14:paraId="0A07072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SCA: Non-judgemental; inclusive language; address contraception needs; safety-net for PID symptoms</w:t>
      </w:r>
    </w:p>
    <w:p w14:paraId="4AAAAEE6" w14:textId="77777777" w:rsidR="00F94DDE" w:rsidRDefault="00F94DDE"/>
    <w:p w14:paraId="110482D4" w14:textId="77777777" w:rsidR="00F94DDE" w:rsidRDefault="00000000">
      <w:r>
        <w:rPr>
          <w:rFonts w:ascii="Calibri" w:hAnsi="Calibri"/>
          <w:b/>
          <w:color w:val="1B3C8A"/>
          <w:sz w:val="32"/>
        </w:rPr>
        <w:t>Case 2: James — Urethral Discharge in a 28-Year-Old Man</w:t>
      </w:r>
    </w:p>
    <w:p w14:paraId="751BA740" w14:textId="77777777" w:rsidR="00F94DDE" w:rsidRDefault="00000000">
      <w:r>
        <w:rPr>
          <w:rFonts w:ascii="Calibri" w:hAnsi="Calibri"/>
          <w:b/>
          <w:sz w:val="21"/>
        </w:rPr>
        <w:t xml:space="preserve">Scenario: </w:t>
      </w:r>
      <w:r>
        <w:rPr>
          <w:rFonts w:ascii="Calibri" w:hAnsi="Calibri"/>
          <w:i/>
          <w:sz w:val="21"/>
        </w:rPr>
        <w:t>James, 28, presents with urethral discharge and dysuria for 4 days. He discloses he is gay and had a new male partner 2 weeks ago. They had insertive anal sex without a condom.</w:t>
      </w:r>
    </w:p>
    <w:p w14:paraId="40EC30D8" w14:textId="77777777" w:rsidR="00F94DDE" w:rsidRDefault="00000000">
      <w:r>
        <w:rPr>
          <w:rFonts w:ascii="Calibri" w:hAnsi="Calibri"/>
          <w:b/>
        </w:rPr>
        <w:t>Learning points</w:t>
      </w:r>
    </w:p>
    <w:p w14:paraId="401AAC34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MSM sexual health screening (BASHH 2024): urethral + rectal + pharyngeal swabs — ALL three required</w:t>
      </w:r>
    </w:p>
    <w:p w14:paraId="5A4D29A5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Gonorrhoea: urethral discharge + dysuria — presentation in &gt;90% of men with urethral GC</w:t>
      </w:r>
    </w:p>
    <w:p w14:paraId="5D438837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GC treatment (BASHH 2025): Ceftriaxone 1g IM single dose — refer to GUM (needs culture + sensitivity for AMR)</w:t>
      </w:r>
    </w:p>
    <w:p w14:paraId="02CD87B1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HIV test: offer routinely to all MSM; if recent exposure — consider PEPSE assessment</w:t>
      </w:r>
    </w:p>
    <w:p w14:paraId="21DB3F6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Hepatitis A + B vaccination: offer if not immune</w:t>
      </w:r>
    </w:p>
    <w:p w14:paraId="731B6147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PrEP discussion: high-risk MSM — refer to sexual health clinic</w:t>
      </w:r>
    </w:p>
    <w:p w14:paraId="7C6FC6FE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SCA: Inclusive language; avoid assuming heterosexuality; explore emotional response to positive result</w:t>
      </w:r>
    </w:p>
    <w:p w14:paraId="6731F52F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AKT TRAP: Only taking urethral swab in MSM = insufficient — must include rectal and pharyngeal</w:t>
      </w:r>
    </w:p>
    <w:p w14:paraId="0297F01C" w14:textId="77777777" w:rsidR="00F94DDE" w:rsidRDefault="00F94DDE"/>
    <w:p w14:paraId="19E30218" w14:textId="77777777" w:rsidR="00F94DDE" w:rsidRDefault="00000000">
      <w:r>
        <w:rPr>
          <w:rFonts w:ascii="Calibri" w:hAnsi="Calibri"/>
          <w:b/>
          <w:color w:val="1B3C8A"/>
          <w:sz w:val="32"/>
        </w:rPr>
        <w:lastRenderedPageBreak/>
        <w:t>Case 3: Maria — Lower Abdominal Pain and Deep Dyspareunia</w:t>
      </w:r>
    </w:p>
    <w:p w14:paraId="34D414BC" w14:textId="77777777" w:rsidR="00F94DDE" w:rsidRDefault="00000000">
      <w:r>
        <w:rPr>
          <w:rFonts w:ascii="Calibri" w:hAnsi="Calibri"/>
          <w:b/>
          <w:sz w:val="21"/>
        </w:rPr>
        <w:t xml:space="preserve">Scenario: </w:t>
      </w:r>
      <w:r>
        <w:rPr>
          <w:rFonts w:ascii="Calibri" w:hAnsi="Calibri"/>
          <w:i/>
          <w:sz w:val="21"/>
        </w:rPr>
        <w:t>Maria, 26, presents with 2 weeks of bilateral lower abdominal pain, deep dyspareunia, and slightly increased vaginal discharge. She has a regular partner. She has not been tested for STIs before.</w:t>
      </w:r>
    </w:p>
    <w:p w14:paraId="472C3BC0" w14:textId="77777777" w:rsidR="00F94DDE" w:rsidRDefault="00000000">
      <w:r>
        <w:rPr>
          <w:rFonts w:ascii="Calibri" w:hAnsi="Calibri"/>
          <w:b/>
        </w:rPr>
        <w:t>Learning points</w:t>
      </w:r>
    </w:p>
    <w:p w14:paraId="06FD0B39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Pelvic Inflammatory Disease (PID): classic triad = lower abdominal pain + vaginal discharge + dyspareunia</w:t>
      </w:r>
    </w:p>
    <w:p w14:paraId="34A42E59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Examination: cervical excitation (motion tenderness = "chandelier sign"); uterine and adnexal tenderness</w:t>
      </w:r>
    </w:p>
    <w:p w14:paraId="1992DF5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Causative organisms: Chlamydia trachomatis, Neisseria gonorrhoeae, mixed anaerobes</w:t>
      </w:r>
    </w:p>
    <w:p w14:paraId="328F636D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Investigations: NAAT swabs; HVS; FBC; CRP; USS if severe or TOA suspected</w:t>
      </w:r>
    </w:p>
    <w:p w14:paraId="41E61D5F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Treatment (mild-moderate, outpatient — BASHH): Ceftriaxone 1g IM stat + Doxycycline 100mg BD + Metronidazole 400mg BD for 14 days</w:t>
      </w:r>
    </w:p>
    <w:p w14:paraId="3401980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Indications for inpatient treatment: severe, pregnant, failed outpatient, tubo-ovarian abscess</w:t>
      </w:r>
    </w:p>
    <w:p w14:paraId="3C315E0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Complications of untreated PID: ectopic pregnancy, infertility, chronic pelvic pain, Fitz-Hugh-Curtis syndrome</w:t>
      </w:r>
    </w:p>
    <w:p w14:paraId="4CF19341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Partner notification required; abstain until both treated</w:t>
      </w:r>
    </w:p>
    <w:p w14:paraId="6AAAF47C" w14:textId="77777777" w:rsidR="00F94DDE" w:rsidRDefault="00F94DDE"/>
    <w:p w14:paraId="3B722B03" w14:textId="77777777" w:rsidR="00F94DDE" w:rsidRDefault="00000000">
      <w:r>
        <w:rPr>
          <w:rFonts w:ascii="Calibri" w:hAnsi="Calibri"/>
          <w:b/>
          <w:color w:val="1B3C8A"/>
          <w:sz w:val="32"/>
        </w:rPr>
        <w:t>Case 4: Kevin — Post-Exposure (PEPSE) Consultation</w:t>
      </w:r>
    </w:p>
    <w:p w14:paraId="25E8F67F" w14:textId="77777777" w:rsidR="00F94DDE" w:rsidRDefault="00000000">
      <w:r>
        <w:rPr>
          <w:rFonts w:ascii="Calibri" w:hAnsi="Calibri"/>
          <w:b/>
          <w:sz w:val="21"/>
        </w:rPr>
        <w:t xml:space="preserve">Scenario: </w:t>
      </w:r>
      <w:r>
        <w:rPr>
          <w:rFonts w:ascii="Calibri" w:hAnsi="Calibri"/>
          <w:i/>
          <w:sz w:val="21"/>
        </w:rPr>
        <w:t>Kevin, 35, presents at 8pm on a Monday. He had unprotected receptive anal sex with a man of unknown HIV status last night. He is very anxious.</w:t>
      </w:r>
    </w:p>
    <w:p w14:paraId="754528E5" w14:textId="77777777" w:rsidR="00F94DDE" w:rsidRDefault="00000000">
      <w:r>
        <w:rPr>
          <w:rFonts w:ascii="Calibri" w:hAnsi="Calibri"/>
          <w:b/>
        </w:rPr>
        <w:t>Learning points</w:t>
      </w:r>
    </w:p>
    <w:p w14:paraId="793ED35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PEPSE assessment: exposure risk — receptive anal sex with unknown HIV status = HIGH risk; PEPSE indicated</w:t>
      </w:r>
    </w:p>
    <w:p w14:paraId="7A3DF3FC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Time window: must start within 72 hours — IDEALLY within 24 hours (the earlier the better)</w:t>
      </w:r>
    </w:p>
    <w:p w14:paraId="35C60CD9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If &gt;72 hours since exposure: PEPSE NOT effective — explain clearly but compassionately</w:t>
      </w:r>
    </w:p>
    <w:p w14:paraId="09E7B5E1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BASHH 2024 regimen: Truvada (TDF/FTC) 1 tablet OD + Dolutegravir 50mg OD for 28 days</w:t>
      </w:r>
    </w:p>
    <w:p w14:paraId="19393270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Baseline HIV test at start; follow-up test at 45 days post-exposure; repeat at 3 months</w:t>
      </w:r>
    </w:p>
    <w:p w14:paraId="4250A0E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If out of hours: direct to Emergency Department — 24/7 PEPSE access</w:t>
      </w:r>
    </w:p>
    <w:p w14:paraId="2A3A33FC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Counselling: adherence critical; condoms during and after course; not 100% effective</w:t>
      </w:r>
    </w:p>
    <w:p w14:paraId="15E9118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PrEP discussion: if ongoing high risk — refer for PrEP assessment</w:t>
      </w:r>
    </w:p>
    <w:p w14:paraId="29515C3A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SCA: manage anxiety with empathy; provide clear information; do not lecture</w:t>
      </w:r>
    </w:p>
    <w:p w14:paraId="314BF929" w14:textId="77777777" w:rsidR="00F94DDE" w:rsidRDefault="00F94DDE"/>
    <w:p w14:paraId="5998EE84" w14:textId="77777777" w:rsidR="00EE3E91" w:rsidRDefault="00EE3E91">
      <w:pPr>
        <w:rPr>
          <w:rFonts w:ascii="Calibri" w:hAnsi="Calibri"/>
          <w:b/>
          <w:color w:val="1B3C8A"/>
          <w:sz w:val="32"/>
        </w:rPr>
      </w:pPr>
      <w:r>
        <w:rPr>
          <w:rFonts w:ascii="Calibri" w:hAnsi="Calibri"/>
          <w:b/>
          <w:color w:val="1B3C8A"/>
          <w:sz w:val="32"/>
        </w:rPr>
        <w:br w:type="page"/>
      </w:r>
    </w:p>
    <w:p w14:paraId="4AA25670" w14:textId="1DC6402E" w:rsidR="00F94DDE" w:rsidRDefault="00000000">
      <w:r>
        <w:rPr>
          <w:rFonts w:ascii="Calibri" w:hAnsi="Calibri"/>
          <w:b/>
          <w:color w:val="1B3C8A"/>
          <w:sz w:val="32"/>
        </w:rPr>
        <w:lastRenderedPageBreak/>
        <w:t>Case 5: Sarah — Breaking Bad News: Positive HIV Test</w:t>
      </w:r>
    </w:p>
    <w:p w14:paraId="50DAD789" w14:textId="77777777" w:rsidR="00F94DDE" w:rsidRDefault="00000000">
      <w:r>
        <w:rPr>
          <w:rFonts w:ascii="Calibri" w:hAnsi="Calibri"/>
          <w:b/>
          <w:sz w:val="21"/>
        </w:rPr>
        <w:t xml:space="preserve">Scenario: </w:t>
      </w:r>
      <w:r>
        <w:rPr>
          <w:rFonts w:ascii="Calibri" w:hAnsi="Calibri"/>
          <w:i/>
          <w:sz w:val="21"/>
        </w:rPr>
        <w:t>Sarah, 34, comes for HIV test result. She tested following a request from a GUM clinic (her previous partner tested HIV positive). You have been notified the result is HIV positive.</w:t>
      </w:r>
    </w:p>
    <w:p w14:paraId="768B7C3B" w14:textId="77777777" w:rsidR="00F94DDE" w:rsidRDefault="00000000">
      <w:r>
        <w:rPr>
          <w:rFonts w:ascii="Calibri" w:hAnsi="Calibri"/>
          <w:b/>
        </w:rPr>
        <w:t>Learning points</w:t>
      </w:r>
    </w:p>
    <w:p w14:paraId="6029DEFD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Delivering a positive HIV result: use SPIKES approach (Setting, Perception, Invitation, Knowledge, Emotions, Strategy)</w:t>
      </w:r>
    </w:p>
    <w:p w14:paraId="415C7DF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Give the result clearly and directly — at the START of the consultation</w:t>
      </w:r>
    </w:p>
    <w:p w14:paraId="1459D98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At this first consultation: keep information MINIMAL — the patient will be in shock</w:t>
      </w:r>
    </w:p>
    <w:p w14:paraId="55FA031A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Focus on: how to cope in the next 24–48 hours; who has support nearby today?</w:t>
      </w:r>
    </w:p>
    <w:p w14:paraId="7355E318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Key next steps: confirmatory test via GUM/HIV clinic; urgent referral to HIV specialist</w:t>
      </w:r>
    </w:p>
    <w:p w14:paraId="40F60A14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Address immediate concerns: confidentiality, partner notification, fears about prognosis</w:t>
      </w:r>
    </w:p>
    <w:p w14:paraId="39ED6C92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U=U: people on effective ART with undetectable VL cannot transmit HIV — reassuring message for the future</w:t>
      </w:r>
    </w:p>
    <w:p w14:paraId="646AE591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Current ART guidance (BHIVA 2025): ART for ALL patients regardless of CD4 count; near-normal life expectancy</w:t>
      </w:r>
    </w:p>
    <w:p w14:paraId="73F5E548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Safety-net: assess for mental health crisis — suicidal ideation; ensure support is in place before patient leaves</w:t>
      </w:r>
    </w:p>
    <w:p w14:paraId="3B69F3CB" w14:textId="77777777" w:rsidR="00F94DDE" w:rsidRDefault="00000000">
      <w:pPr>
        <w:pStyle w:val="ListBullet"/>
      </w:pPr>
      <w:r>
        <w:rPr>
          <w:rFonts w:ascii="Calibri" w:hAnsi="Calibri"/>
          <w:sz w:val="21"/>
        </w:rPr>
        <w:t>SCA KEY SKILL: Do NOT flood patient with information. Pause, check in, allow silences.</w:t>
      </w:r>
    </w:p>
    <w:p w14:paraId="6ABA774E" w14:textId="77777777" w:rsidR="00F94DDE" w:rsidRDefault="00F94DD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94DDE" w14:paraId="68A030F1" w14:textId="77777777">
        <w:tc>
          <w:tcPr>
            <w:tcW w:w="9972" w:type="dxa"/>
            <w:shd w:val="clear" w:color="auto" w:fill="E8F4FD"/>
          </w:tcPr>
          <w:p w14:paraId="0E7FCCE5" w14:textId="77777777" w:rsidR="00F94DDE" w:rsidRDefault="00F94DDE"/>
          <w:p w14:paraId="57E433B3" w14:textId="77777777" w:rsidR="00F94DDE" w:rsidRDefault="00000000">
            <w:r>
              <w:rPr>
                <w:rFonts w:ascii="Calibri" w:hAnsi="Calibri"/>
                <w:b/>
              </w:rPr>
              <w:t xml:space="preserve">📋 Clinical Currency:  </w:t>
            </w:r>
            <w:r>
              <w:rPr>
                <w:rFonts w:ascii="Calibri" w:hAnsi="Calibri"/>
                <w:sz w:val="20"/>
              </w:rPr>
              <w:t>All clinical content is updated to BASHH 2024/2025, BHIVA 2025, and NICE NG12 (2025) standards. Chlamydia first-line treatment: Doxycycline 100mg BD 7 days. Gonorrhoea: Ceftriaxone 1g IM. PEPSE: TDF/FTC + dolutegravir within 72 hours.</w:t>
            </w:r>
          </w:p>
        </w:tc>
      </w:tr>
    </w:tbl>
    <w:p w14:paraId="6482825D" w14:textId="77777777" w:rsidR="00F94DDE" w:rsidRDefault="00F94DDE"/>
    <w:p w14:paraId="7DD00A70" w14:textId="77777777" w:rsidR="00F94DDE" w:rsidRDefault="00F94DD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94DDE" w14:paraId="7715B00B" w14:textId="77777777">
        <w:tc>
          <w:tcPr>
            <w:tcW w:w="9972" w:type="dxa"/>
            <w:shd w:val="clear" w:color="auto" w:fill="FFF3CD"/>
          </w:tcPr>
          <w:p w14:paraId="312D7708" w14:textId="77777777" w:rsidR="00F94DDE" w:rsidRDefault="00F94DDE"/>
          <w:p w14:paraId="383C29A0" w14:textId="77777777" w:rsidR="00F94DDE" w:rsidRDefault="00000000">
            <w:r>
              <w:rPr>
                <w:rFonts w:ascii="Calibri" w:hAnsi="Calibri"/>
                <w:i/>
                <w:sz w:val="18"/>
              </w:rPr>
              <w:t>⚠ Disclaimer: Always double check this advice and drug doses with the latest NICE/BNF guidance. This document is for educational purposes only.</w:t>
            </w:r>
          </w:p>
        </w:tc>
      </w:tr>
    </w:tbl>
    <w:p w14:paraId="160F9CCC" w14:textId="77777777" w:rsidR="00F94DDE" w:rsidRDefault="00F94DDE"/>
    <w:p w14:paraId="6FFEE8E4" w14:textId="77777777" w:rsidR="00F94DDE" w:rsidRDefault="00000000">
      <w:pPr>
        <w:jc w:val="center"/>
      </w:pPr>
      <w:r>
        <w:rPr>
          <w:rFonts w:ascii="Calibri" w:hAnsi="Calibri"/>
          <w:color w:val="808080"/>
          <w:sz w:val="16"/>
        </w:rPr>
        <w:t>A free resource provided by www.bradfordvts.co.uk, Dr Ramesh Mehay, revised May 2026</w:t>
      </w:r>
    </w:p>
    <w:sectPr w:rsidR="00F94DDE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717965">
    <w:abstractNumId w:val="8"/>
  </w:num>
  <w:num w:numId="2" w16cid:durableId="649405306">
    <w:abstractNumId w:val="6"/>
  </w:num>
  <w:num w:numId="3" w16cid:durableId="445857942">
    <w:abstractNumId w:val="5"/>
  </w:num>
  <w:num w:numId="4" w16cid:durableId="616526000">
    <w:abstractNumId w:val="4"/>
  </w:num>
  <w:num w:numId="5" w16cid:durableId="1853639962">
    <w:abstractNumId w:val="7"/>
  </w:num>
  <w:num w:numId="6" w16cid:durableId="1100879870">
    <w:abstractNumId w:val="3"/>
  </w:num>
  <w:num w:numId="7" w16cid:durableId="946428946">
    <w:abstractNumId w:val="2"/>
  </w:num>
  <w:num w:numId="8" w16cid:durableId="746421202">
    <w:abstractNumId w:val="1"/>
  </w:num>
  <w:num w:numId="9" w16cid:durableId="178292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9122E"/>
    <w:rsid w:val="00AA1D8D"/>
    <w:rsid w:val="00B47730"/>
    <w:rsid w:val="00CB0664"/>
    <w:rsid w:val="00EE3E91"/>
    <w:rsid w:val="00F94D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162124"/>
  <w14:defaultImageDpi w14:val="300"/>
  <w15:docId w15:val="{634053B7-C6DD-458F-85A7-17FF77F6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4942</Characters>
  <Application>Microsoft Office Word</Application>
  <DocSecurity>0</DocSecurity>
  <Lines>88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2026-05-24T15:39:00Z</dcterms:modified>
  <cp:category/>
</cp:coreProperties>
</file>