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ook w:val="04A0" w:firstRow="1" w:lastRow="0" w:firstColumn="1" w:lastColumn="0" w:noHBand="0" w:noVBand="1"/>
      </w:tblPr>
      <w:tblGrid>
        <w:gridCol w:w="9360"/>
      </w:tblGrid>
      <w:tr w:rsidR="00985F75" w14:paraId="18E431B3" w14:textId="77777777">
        <w:trPr>
          <w:jc w:val="center"/>
        </w:trPr>
        <w:tc>
          <w:tcPr>
            <w:tcW w:w="9360" w:type="dxa"/>
            <w:shd w:val="clear" w:color="auto" w:fill="E0651F"/>
          </w:tcPr>
          <w:p w14:paraId="46CCBC44" w14:textId="77777777" w:rsidR="00985F75" w:rsidRDefault="00985F75"/>
          <w:p w14:paraId="375F5B7D" w14:textId="77777777" w:rsidR="00985F75" w:rsidRDefault="00000000">
            <w:pPr>
              <w:jc w:val="center"/>
            </w:pPr>
            <w:r>
              <w:rPr>
                <w:rFonts w:ascii="Calibri" w:hAnsi="Calibri"/>
                <w:b/>
                <w:color w:val="FFFFFF"/>
              </w:rPr>
              <w:t>BRADFORD VTS TEACHING AIDS</w:t>
            </w:r>
          </w:p>
          <w:p w14:paraId="60459BA1" w14:textId="77777777" w:rsidR="00985F75" w:rsidRDefault="00000000">
            <w:pPr>
              <w:jc w:val="center"/>
            </w:pPr>
            <w:r>
              <w:rPr>
                <w:rFonts w:ascii="Calibri" w:hAnsi="Calibri"/>
                <w:b/>
                <w:color w:val="FFFFFF"/>
                <w:sz w:val="52"/>
              </w:rPr>
              <w:t>Sexual &amp; Psychosexual Problems in GP</w:t>
            </w:r>
          </w:p>
          <w:p w14:paraId="69706BCB" w14:textId="77777777" w:rsidR="00985F75" w:rsidRDefault="00000000">
            <w:pPr>
              <w:jc w:val="center"/>
            </w:pPr>
            <w:r>
              <w:rPr>
                <w:rFonts w:ascii="Calibri" w:hAnsi="Calibri"/>
                <w:i/>
                <w:color w:val="FFFFFF"/>
              </w:rPr>
              <w:t>Tutorial Plan · Bradford VTS · May 2026</w:t>
            </w:r>
          </w:p>
        </w:tc>
      </w:tr>
    </w:tbl>
    <w:p w14:paraId="05536989" w14:textId="77777777" w:rsidR="00985F75" w:rsidRDefault="00985F75"/>
    <w:p w14:paraId="6C046783" w14:textId="77777777" w:rsidR="00985F75" w:rsidRDefault="00000000">
      <w:pPr>
        <w:rPr>
          <w:rFonts w:ascii="Calibri" w:hAnsi="Calibri"/>
          <w:sz w:val="21"/>
        </w:rPr>
      </w:pPr>
      <w:r>
        <w:rPr>
          <w:rFonts w:ascii="Calibri" w:hAnsi="Calibri"/>
          <w:sz w:val="21"/>
        </w:rPr>
        <w:t>Sexual and psychosexual problems are common in general practice yet often go unaddressed due to clinician discomfort or time constraints. This tutorial plan covers key psychosexual presentations and the GP's role in assessment and management. Masters and Johnson's foundational work on human sexual response remains a key reference; pharmacological advances (including PDE5 inhibitors for erectile dysfunction) have significantly evolved management.</w:t>
      </w:r>
    </w:p>
    <w:p w14:paraId="46334AF0" w14:textId="77777777" w:rsidR="006F1F52" w:rsidRDefault="006F1F52"/>
    <w:p w14:paraId="0003F605" w14:textId="77777777" w:rsidR="00985F75" w:rsidRDefault="00000000">
      <w:r>
        <w:rPr>
          <w:rFonts w:ascii="Calibri" w:hAnsi="Calibri"/>
          <w:b/>
          <w:color w:val="1B3C8A"/>
          <w:sz w:val="32"/>
        </w:rPr>
        <w:t>Learning Objectives</w:t>
      </w:r>
    </w:p>
    <w:p w14:paraId="3301C0CF" w14:textId="77777777" w:rsidR="00985F75" w:rsidRDefault="00000000">
      <w:pPr>
        <w:pStyle w:val="ListBullet"/>
      </w:pPr>
      <w:r>
        <w:rPr>
          <w:rFonts w:ascii="Calibri" w:hAnsi="Calibri"/>
          <w:sz w:val="21"/>
        </w:rPr>
        <w:t>Identify physical and psychological causes of sexual dysfunction</w:t>
      </w:r>
    </w:p>
    <w:p w14:paraId="654E985E" w14:textId="77777777" w:rsidR="00985F75" w:rsidRDefault="00000000">
      <w:pPr>
        <w:pStyle w:val="ListBullet"/>
      </w:pPr>
      <w:r>
        <w:rPr>
          <w:rFonts w:ascii="Calibri" w:hAnsi="Calibri"/>
          <w:sz w:val="21"/>
        </w:rPr>
        <w:t>Take a sensitive psychosexual history using a structured framework</w:t>
      </w:r>
    </w:p>
    <w:p w14:paraId="13384DA4" w14:textId="77777777" w:rsidR="00985F75" w:rsidRDefault="00000000">
      <w:pPr>
        <w:pStyle w:val="ListBullet"/>
      </w:pPr>
      <w:r>
        <w:rPr>
          <w:rFonts w:ascii="Calibri" w:hAnsi="Calibri"/>
          <w:sz w:val="21"/>
        </w:rPr>
        <w:t>Know evidence-based management options for common sexual problems</w:t>
      </w:r>
    </w:p>
    <w:p w14:paraId="7207558E" w14:textId="77777777" w:rsidR="00985F75" w:rsidRDefault="00000000">
      <w:pPr>
        <w:pStyle w:val="ListBullet"/>
      </w:pPr>
      <w:r>
        <w:rPr>
          <w:rFonts w:ascii="Calibri" w:hAnsi="Calibri"/>
          <w:sz w:val="21"/>
        </w:rPr>
        <w:t>Know when and where to refer (psychosexual therapist, urology, endocrinology)</w:t>
      </w:r>
    </w:p>
    <w:p w14:paraId="1E6A25A5" w14:textId="77777777" w:rsidR="00985F75" w:rsidRDefault="00000000">
      <w:pPr>
        <w:pStyle w:val="ListBullet"/>
      </w:pPr>
      <w:r>
        <w:rPr>
          <w:rFonts w:ascii="Calibri" w:hAnsi="Calibri"/>
          <w:sz w:val="21"/>
        </w:rPr>
        <w:t>Apply consultation skills appropriate to sensitive psychosexual disclosures (SCA readiness)</w:t>
      </w:r>
    </w:p>
    <w:p w14:paraId="6932E48F" w14:textId="77777777" w:rsidR="00985F75" w:rsidRPr="006F1F52" w:rsidRDefault="00000000">
      <w:pPr>
        <w:pStyle w:val="ListBullet"/>
      </w:pPr>
      <w:r>
        <w:rPr>
          <w:rFonts w:ascii="Calibri" w:hAnsi="Calibri"/>
          <w:sz w:val="21"/>
        </w:rPr>
        <w:t>Understand the impact of medical conditions on sexual function</w:t>
      </w:r>
    </w:p>
    <w:p w14:paraId="6CAB65BB" w14:textId="77777777" w:rsidR="006F1F52" w:rsidRDefault="006F1F52" w:rsidP="006F1F52">
      <w:pPr>
        <w:pStyle w:val="ListBullet"/>
        <w:numPr>
          <w:ilvl w:val="0"/>
          <w:numId w:val="0"/>
        </w:numPr>
        <w:ind w:left="360" w:hanging="360"/>
      </w:pPr>
    </w:p>
    <w:p w14:paraId="607735F0" w14:textId="77777777" w:rsidR="00985F75" w:rsidRDefault="00000000">
      <w:r>
        <w:rPr>
          <w:rFonts w:ascii="Calibri" w:hAnsi="Calibri"/>
          <w:b/>
          <w:color w:val="1B3C8A"/>
          <w:sz w:val="32"/>
        </w:rPr>
        <w:t>Physical Causes of Sexual Dysfunction</w:t>
      </w:r>
    </w:p>
    <w:tbl>
      <w:tblPr>
        <w:tblStyle w:val="TableGrid"/>
        <w:tblW w:w="0" w:type="auto"/>
        <w:tblLook w:val="04A0" w:firstRow="1" w:lastRow="0" w:firstColumn="1" w:lastColumn="0" w:noHBand="0" w:noVBand="1"/>
      </w:tblPr>
      <w:tblGrid>
        <w:gridCol w:w="4986"/>
        <w:gridCol w:w="4986"/>
      </w:tblGrid>
      <w:tr w:rsidR="00985F75" w14:paraId="24BDED50" w14:textId="77777777">
        <w:tc>
          <w:tcPr>
            <w:tcW w:w="4986" w:type="dxa"/>
            <w:shd w:val="clear" w:color="auto" w:fill="1B3C8A"/>
          </w:tcPr>
          <w:p w14:paraId="585D18EB" w14:textId="77777777" w:rsidR="00985F75" w:rsidRDefault="00000000">
            <w:r>
              <w:rPr>
                <w:rFonts w:ascii="Calibri" w:hAnsi="Calibri"/>
                <w:b/>
                <w:color w:val="FFFFFF"/>
                <w:sz w:val="20"/>
              </w:rPr>
              <w:t>System</w:t>
            </w:r>
          </w:p>
        </w:tc>
        <w:tc>
          <w:tcPr>
            <w:tcW w:w="4986" w:type="dxa"/>
            <w:shd w:val="clear" w:color="auto" w:fill="1B3C8A"/>
          </w:tcPr>
          <w:p w14:paraId="0691DC52" w14:textId="77777777" w:rsidR="00985F75" w:rsidRDefault="00000000">
            <w:r>
              <w:rPr>
                <w:rFonts w:ascii="Calibri" w:hAnsi="Calibri"/>
                <w:b/>
                <w:color w:val="FFFFFF"/>
                <w:sz w:val="20"/>
              </w:rPr>
              <w:t>Examples</w:t>
            </w:r>
          </w:p>
        </w:tc>
      </w:tr>
      <w:tr w:rsidR="00985F75" w14:paraId="1144D4E1" w14:textId="77777777">
        <w:tc>
          <w:tcPr>
            <w:tcW w:w="4986" w:type="dxa"/>
          </w:tcPr>
          <w:p w14:paraId="2545E065" w14:textId="77777777" w:rsidR="00985F75" w:rsidRDefault="00000000">
            <w:r>
              <w:rPr>
                <w:rFonts w:ascii="Calibri" w:hAnsi="Calibri"/>
                <w:sz w:val="20"/>
              </w:rPr>
              <w:t>Vascular</w:t>
            </w:r>
          </w:p>
        </w:tc>
        <w:tc>
          <w:tcPr>
            <w:tcW w:w="4986" w:type="dxa"/>
          </w:tcPr>
          <w:p w14:paraId="04BE3D5D" w14:textId="77777777" w:rsidR="00985F75" w:rsidRDefault="00000000">
            <w:r>
              <w:rPr>
                <w:rFonts w:ascii="Calibri" w:hAnsi="Calibri"/>
                <w:sz w:val="20"/>
              </w:rPr>
              <w:t>Atherosclerosis, hypertension, diabetes mellitus — erectile dysfunction (ED) as marker of CV disease</w:t>
            </w:r>
          </w:p>
        </w:tc>
      </w:tr>
      <w:tr w:rsidR="00985F75" w14:paraId="669A983A" w14:textId="77777777">
        <w:tc>
          <w:tcPr>
            <w:tcW w:w="4986" w:type="dxa"/>
          </w:tcPr>
          <w:p w14:paraId="18A78924" w14:textId="77777777" w:rsidR="00985F75" w:rsidRDefault="00000000">
            <w:r>
              <w:rPr>
                <w:rFonts w:ascii="Calibri" w:hAnsi="Calibri"/>
                <w:sz w:val="20"/>
              </w:rPr>
              <w:t>Neurological</w:t>
            </w:r>
          </w:p>
        </w:tc>
        <w:tc>
          <w:tcPr>
            <w:tcW w:w="4986" w:type="dxa"/>
          </w:tcPr>
          <w:p w14:paraId="6E44F5E7" w14:textId="77777777" w:rsidR="00985F75" w:rsidRDefault="00000000">
            <w:r>
              <w:rPr>
                <w:rFonts w:ascii="Calibri" w:hAnsi="Calibri"/>
                <w:sz w:val="20"/>
              </w:rPr>
              <w:t>Multiple sclerosis, spinal cord injury, diabetes (autonomic neuropathy), pelvic surgery</w:t>
            </w:r>
          </w:p>
        </w:tc>
      </w:tr>
      <w:tr w:rsidR="00985F75" w14:paraId="7CE92670" w14:textId="77777777">
        <w:tc>
          <w:tcPr>
            <w:tcW w:w="4986" w:type="dxa"/>
          </w:tcPr>
          <w:p w14:paraId="53CEC5E8" w14:textId="77777777" w:rsidR="00985F75" w:rsidRDefault="00000000">
            <w:r>
              <w:rPr>
                <w:rFonts w:ascii="Calibri" w:hAnsi="Calibri"/>
                <w:sz w:val="20"/>
              </w:rPr>
              <w:t>Endocrine</w:t>
            </w:r>
          </w:p>
        </w:tc>
        <w:tc>
          <w:tcPr>
            <w:tcW w:w="4986" w:type="dxa"/>
          </w:tcPr>
          <w:p w14:paraId="3E8B3125" w14:textId="77777777" w:rsidR="00985F75" w:rsidRDefault="00000000">
            <w:r>
              <w:rPr>
                <w:rFonts w:ascii="Calibri" w:hAnsi="Calibri"/>
                <w:sz w:val="20"/>
              </w:rPr>
              <w:t>Hypogonadism (low testosterone), hyperprolactinaemia, thyroid disease, diabetes</w:t>
            </w:r>
          </w:p>
        </w:tc>
      </w:tr>
      <w:tr w:rsidR="00985F75" w14:paraId="3E41F6F8" w14:textId="77777777">
        <w:tc>
          <w:tcPr>
            <w:tcW w:w="4986" w:type="dxa"/>
          </w:tcPr>
          <w:p w14:paraId="17749A44" w14:textId="77777777" w:rsidR="00985F75" w:rsidRDefault="00000000">
            <w:r>
              <w:rPr>
                <w:rFonts w:ascii="Calibri" w:hAnsi="Calibri"/>
                <w:sz w:val="20"/>
              </w:rPr>
              <w:t>Medications</w:t>
            </w:r>
          </w:p>
        </w:tc>
        <w:tc>
          <w:tcPr>
            <w:tcW w:w="4986" w:type="dxa"/>
          </w:tcPr>
          <w:p w14:paraId="6F4ED4AE" w14:textId="77777777" w:rsidR="00985F75" w:rsidRDefault="00000000">
            <w:r>
              <w:rPr>
                <w:rFonts w:ascii="Calibri" w:hAnsi="Calibri"/>
                <w:sz w:val="20"/>
              </w:rPr>
              <w:t>Antihypertensives (especially beta-blockers), antidepressants (SSRIs), antipsychotics, alcohol</w:t>
            </w:r>
          </w:p>
        </w:tc>
      </w:tr>
      <w:tr w:rsidR="00985F75" w14:paraId="3C99ACA8" w14:textId="77777777">
        <w:tc>
          <w:tcPr>
            <w:tcW w:w="4986" w:type="dxa"/>
          </w:tcPr>
          <w:p w14:paraId="03AC6755" w14:textId="77777777" w:rsidR="00985F75" w:rsidRDefault="00000000">
            <w:r>
              <w:rPr>
                <w:rFonts w:ascii="Calibri" w:hAnsi="Calibri"/>
                <w:sz w:val="20"/>
              </w:rPr>
              <w:t>Other</w:t>
            </w:r>
          </w:p>
        </w:tc>
        <w:tc>
          <w:tcPr>
            <w:tcW w:w="4986" w:type="dxa"/>
          </w:tcPr>
          <w:p w14:paraId="0804D630" w14:textId="77777777" w:rsidR="00985F75" w:rsidRDefault="00000000">
            <w:r>
              <w:rPr>
                <w:rFonts w:ascii="Calibri" w:hAnsi="Calibri"/>
                <w:sz w:val="20"/>
              </w:rPr>
              <w:t>Chronic illness (cancer, cardiac disease, COPD), post-surgical (prostatectomy, hysterectomy), menopause</w:t>
            </w:r>
          </w:p>
        </w:tc>
      </w:tr>
    </w:tbl>
    <w:p w14:paraId="6E816BDD" w14:textId="77777777" w:rsidR="00985F75" w:rsidRDefault="00985F75"/>
    <w:p w14:paraId="1457064E" w14:textId="77777777" w:rsidR="006F1F52" w:rsidRDefault="006F1F52">
      <w:pPr>
        <w:rPr>
          <w:rFonts w:ascii="Calibri" w:hAnsi="Calibri"/>
          <w:b/>
          <w:color w:val="1B3C8A"/>
          <w:sz w:val="32"/>
        </w:rPr>
      </w:pPr>
      <w:r>
        <w:rPr>
          <w:rFonts w:ascii="Calibri" w:hAnsi="Calibri"/>
          <w:b/>
          <w:color w:val="1B3C8A"/>
          <w:sz w:val="32"/>
        </w:rPr>
        <w:br w:type="page"/>
      </w:r>
    </w:p>
    <w:p w14:paraId="7613FE62" w14:textId="2895C298" w:rsidR="00985F75" w:rsidRDefault="00000000">
      <w:r>
        <w:rPr>
          <w:rFonts w:ascii="Calibri" w:hAnsi="Calibri"/>
          <w:b/>
          <w:color w:val="1B3C8A"/>
          <w:sz w:val="32"/>
        </w:rPr>
        <w:lastRenderedPageBreak/>
        <w:t>Case Scenarios for Tutorial Discussion</w:t>
      </w:r>
    </w:p>
    <w:p w14:paraId="7812F49A" w14:textId="77777777" w:rsidR="00985F75" w:rsidRDefault="00000000">
      <w:r>
        <w:rPr>
          <w:rFonts w:ascii="Calibri" w:hAnsi="Calibri"/>
          <w:b/>
          <w:sz w:val="26"/>
        </w:rPr>
        <w:t>Case A: "I can't bear my husband to touch me" — 28-year-old married woman, 2 children</w:t>
      </w:r>
    </w:p>
    <w:p w14:paraId="0A3EB3A8" w14:textId="77777777" w:rsidR="00985F75" w:rsidRDefault="00000000">
      <w:pPr>
        <w:pStyle w:val="ListBullet"/>
      </w:pPr>
      <w:r>
        <w:rPr>
          <w:rFonts w:ascii="Calibri" w:hAnsi="Calibri"/>
          <w:sz w:val="21"/>
        </w:rPr>
        <w:t>Explore: onset, context, relationship dynamics, past trauma (abuse, assault), postnatal depression, body image</w:t>
      </w:r>
    </w:p>
    <w:p w14:paraId="227EE350" w14:textId="77777777" w:rsidR="00985F75" w:rsidRDefault="00000000">
      <w:pPr>
        <w:pStyle w:val="ListBullet"/>
      </w:pPr>
      <w:r>
        <w:rPr>
          <w:rFonts w:ascii="Calibri" w:hAnsi="Calibri"/>
          <w:sz w:val="21"/>
        </w:rPr>
        <w:t>Physical: exclude dyspareunia, vaginismus, pelvic pathology</w:t>
      </w:r>
    </w:p>
    <w:p w14:paraId="78E33F23" w14:textId="77777777" w:rsidR="00985F75" w:rsidRDefault="00000000">
      <w:pPr>
        <w:pStyle w:val="ListBullet"/>
      </w:pPr>
      <w:r>
        <w:rPr>
          <w:rFonts w:ascii="Calibri" w:hAnsi="Calibri"/>
          <w:sz w:val="21"/>
        </w:rPr>
        <w:t>Psychosexual causes: relationship conflict, loss of intimacy, sexual trauma history, fear of pregnancy</w:t>
      </w:r>
    </w:p>
    <w:p w14:paraId="40FA2211" w14:textId="77777777" w:rsidR="00985F75" w:rsidRDefault="00000000">
      <w:pPr>
        <w:pStyle w:val="ListBullet"/>
      </w:pPr>
      <w:r>
        <w:rPr>
          <w:rFonts w:ascii="Calibri" w:hAnsi="Calibri"/>
          <w:sz w:val="21"/>
        </w:rPr>
        <w:t>Management: brief psychosexual counselling; Relate for couple therapy; EMDR/trauma-focused CBT if trauma history</w:t>
      </w:r>
    </w:p>
    <w:p w14:paraId="56F9C5DC" w14:textId="77777777" w:rsidR="00985F75" w:rsidRDefault="00000000">
      <w:pPr>
        <w:pStyle w:val="ListBullet"/>
      </w:pPr>
      <w:r>
        <w:rPr>
          <w:rFonts w:ascii="Calibri" w:hAnsi="Calibri"/>
          <w:sz w:val="21"/>
        </w:rPr>
        <w:t>Medication review: SSRIs and hormonal contraception both reduce libido — consider switch</w:t>
      </w:r>
    </w:p>
    <w:p w14:paraId="4728610A" w14:textId="77777777" w:rsidR="00985F75" w:rsidRDefault="00000000">
      <w:r>
        <w:rPr>
          <w:rFonts w:ascii="Calibri" w:hAnsi="Calibri"/>
          <w:b/>
          <w:sz w:val="26"/>
        </w:rPr>
        <w:t>Case B: Erectile dysfunction — 60-year-old married man</w:t>
      </w:r>
    </w:p>
    <w:p w14:paraId="731F877C" w14:textId="77777777" w:rsidR="00985F75" w:rsidRDefault="00000000">
      <w:pPr>
        <w:pStyle w:val="ListBullet"/>
      </w:pPr>
      <w:r>
        <w:rPr>
          <w:rFonts w:ascii="Calibri" w:hAnsi="Calibri"/>
          <w:sz w:val="21"/>
        </w:rPr>
        <w:t>ED as marker of cardiovascular disease — assess CV risk (lipids, BP, diabetes screen)</w:t>
      </w:r>
    </w:p>
    <w:p w14:paraId="1B9D8B7F" w14:textId="77777777" w:rsidR="00985F75" w:rsidRDefault="00000000">
      <w:pPr>
        <w:pStyle w:val="ListBullet"/>
      </w:pPr>
      <w:r>
        <w:rPr>
          <w:rFonts w:ascii="Calibri" w:hAnsi="Calibri"/>
          <w:sz w:val="21"/>
        </w:rPr>
        <w:t>History: onset (sudden vs. gradual), morning erections (present = psychogenic component), relationship context</w:t>
      </w:r>
    </w:p>
    <w:p w14:paraId="05FD4CE6" w14:textId="77777777" w:rsidR="00985F75" w:rsidRDefault="00000000">
      <w:pPr>
        <w:pStyle w:val="ListBullet"/>
      </w:pPr>
      <w:r>
        <w:rPr>
          <w:rFonts w:ascii="Calibri" w:hAnsi="Calibri"/>
          <w:sz w:val="21"/>
        </w:rPr>
        <w:t>Investigations: fasting glucose, lipids, testosterone, prolactin, LFTs (alcohol); consider thyroid</w:t>
      </w:r>
    </w:p>
    <w:p w14:paraId="617BCB26" w14:textId="77777777" w:rsidR="00985F75" w:rsidRDefault="00000000">
      <w:pPr>
        <w:pStyle w:val="ListBullet"/>
      </w:pPr>
      <w:r>
        <w:rPr>
          <w:rFonts w:ascii="Calibri" w:hAnsi="Calibri"/>
          <w:sz w:val="21"/>
        </w:rPr>
        <w:t>First line (NICE): PDE5 inhibitor — Sildenafil 50mg (Viagra) or Tadalafil 10mg; start with sildenafil</w:t>
      </w:r>
    </w:p>
    <w:p w14:paraId="652D6877" w14:textId="77777777" w:rsidR="00985F75" w:rsidRDefault="00000000">
      <w:pPr>
        <w:pStyle w:val="ListBullet"/>
      </w:pPr>
      <w:r>
        <w:rPr>
          <w:rFonts w:ascii="Calibri" w:hAnsi="Calibri"/>
          <w:sz w:val="21"/>
        </w:rPr>
        <w:t>Contraindications to PDE5 inhibitors: concurrent nitrates (absolute CI); recent stroke/MI; severe hypotension</w:t>
      </w:r>
    </w:p>
    <w:p w14:paraId="1A0D7A25" w14:textId="77777777" w:rsidR="00985F75" w:rsidRDefault="00000000">
      <w:pPr>
        <w:pStyle w:val="ListBullet"/>
      </w:pPr>
      <w:r>
        <w:rPr>
          <w:rFonts w:ascii="Calibri" w:hAnsi="Calibri"/>
          <w:sz w:val="21"/>
        </w:rPr>
        <w:t>Referral: urology/andrology if suspected organic cause not responding to PDE5 inhibitors</w:t>
      </w:r>
    </w:p>
    <w:p w14:paraId="121399E9" w14:textId="77777777" w:rsidR="00985F75" w:rsidRDefault="00000000">
      <w:pPr>
        <w:pStyle w:val="ListBullet"/>
      </w:pPr>
      <w:r>
        <w:rPr>
          <w:rFonts w:ascii="Calibri" w:hAnsi="Calibri"/>
          <w:sz w:val="21"/>
        </w:rPr>
        <w:t>SCA: explore psychological impact; include partner in discussion if appropriate</w:t>
      </w:r>
    </w:p>
    <w:p w14:paraId="15044987" w14:textId="77777777" w:rsidR="00985F75" w:rsidRDefault="00000000">
      <w:r>
        <w:rPr>
          <w:rFonts w:ascii="Calibri" w:hAnsi="Calibri"/>
          <w:b/>
          <w:sz w:val="26"/>
        </w:rPr>
        <w:t>Case C: Premature ejaculation — 25-year-old man</w:t>
      </w:r>
    </w:p>
    <w:p w14:paraId="60857743" w14:textId="77777777" w:rsidR="00985F75" w:rsidRDefault="00000000">
      <w:pPr>
        <w:pStyle w:val="ListBullet"/>
      </w:pPr>
      <w:r>
        <w:rPr>
          <w:rFonts w:ascii="Calibri" w:hAnsi="Calibri"/>
          <w:sz w:val="21"/>
        </w:rPr>
        <w:t>Most common male sexual dysfunction; distressing for patient and relationship</w:t>
      </w:r>
    </w:p>
    <w:p w14:paraId="7B3D4085" w14:textId="77777777" w:rsidR="00985F75" w:rsidRDefault="00000000">
      <w:pPr>
        <w:pStyle w:val="ListBullet"/>
      </w:pPr>
      <w:r>
        <w:rPr>
          <w:rFonts w:ascii="Calibri" w:hAnsi="Calibri"/>
          <w:sz w:val="21"/>
        </w:rPr>
        <w:t>Assessment: duration, circumstances, partner response, previous relationships</w:t>
      </w:r>
    </w:p>
    <w:p w14:paraId="77E11FD4" w14:textId="77777777" w:rsidR="00985F75" w:rsidRDefault="00000000">
      <w:pPr>
        <w:pStyle w:val="ListBullet"/>
      </w:pPr>
      <w:r>
        <w:rPr>
          <w:rFonts w:ascii="Calibri" w:hAnsi="Calibri"/>
          <w:sz w:val="21"/>
        </w:rPr>
        <w:t>First line: psychological — Stop-Start technique (Semans) or Squeeze technique; CBT</w:t>
      </w:r>
    </w:p>
    <w:p w14:paraId="128F0F6A" w14:textId="77777777" w:rsidR="00985F75" w:rsidRDefault="00000000">
      <w:pPr>
        <w:pStyle w:val="ListBullet"/>
      </w:pPr>
      <w:r>
        <w:rPr>
          <w:rFonts w:ascii="Calibri" w:hAnsi="Calibri"/>
          <w:sz w:val="21"/>
        </w:rPr>
        <w:t>Pharmacological: SSRIs (dapoxetine — licensed for PE; or off-label sertraline, paroxetine)</w:t>
      </w:r>
    </w:p>
    <w:p w14:paraId="154F11AE" w14:textId="77777777" w:rsidR="00985F75" w:rsidRDefault="00000000">
      <w:pPr>
        <w:pStyle w:val="ListBullet"/>
      </w:pPr>
      <w:r>
        <w:rPr>
          <w:rFonts w:ascii="Calibri" w:hAnsi="Calibri"/>
          <w:sz w:val="21"/>
        </w:rPr>
        <w:t>Topical: anaesthetic cream/spray (applied 20–30 minutes before intercourse)</w:t>
      </w:r>
    </w:p>
    <w:p w14:paraId="1565EE38" w14:textId="77777777" w:rsidR="00985F75" w:rsidRDefault="00000000">
      <w:pPr>
        <w:pStyle w:val="ListBullet"/>
      </w:pPr>
      <w:r>
        <w:rPr>
          <w:rFonts w:ascii="Calibri" w:hAnsi="Calibri"/>
          <w:sz w:val="21"/>
        </w:rPr>
        <w:t>SCA: normalise — very common; explore impact on relationship; avoid shame-based language</w:t>
      </w:r>
    </w:p>
    <w:p w14:paraId="0270A20E" w14:textId="77777777" w:rsidR="00985F75" w:rsidRDefault="00000000">
      <w:r>
        <w:rPr>
          <w:rFonts w:ascii="Calibri" w:hAnsi="Calibri"/>
          <w:b/>
          <w:sz w:val="26"/>
        </w:rPr>
        <w:t>Case D: Vaginismus — 23-year-old newlywed cannot achieve penetration</w:t>
      </w:r>
    </w:p>
    <w:p w14:paraId="3605A00B" w14:textId="77777777" w:rsidR="00985F75" w:rsidRDefault="00000000">
      <w:pPr>
        <w:pStyle w:val="ListBullet"/>
      </w:pPr>
      <w:r>
        <w:rPr>
          <w:rFonts w:ascii="Calibri" w:hAnsi="Calibri"/>
          <w:sz w:val="21"/>
        </w:rPr>
        <w:t>Vaginismus: involuntary spasm of pelvic floor muscles causing painful/impossible penetration</w:t>
      </w:r>
    </w:p>
    <w:p w14:paraId="10D99F3E" w14:textId="77777777" w:rsidR="00985F75" w:rsidRDefault="00000000">
      <w:pPr>
        <w:pStyle w:val="ListBullet"/>
      </w:pPr>
      <w:r>
        <w:rPr>
          <w:rFonts w:ascii="Calibri" w:hAnsi="Calibri"/>
          <w:sz w:val="21"/>
        </w:rPr>
        <w:t>Take sensitive, patient history — this may be highly distressing; validate her experience</w:t>
      </w:r>
    </w:p>
    <w:p w14:paraId="07BEBE75" w14:textId="77777777" w:rsidR="00985F75" w:rsidRDefault="00000000">
      <w:pPr>
        <w:pStyle w:val="ListBullet"/>
      </w:pPr>
      <w:r>
        <w:rPr>
          <w:rFonts w:ascii="Calibri" w:hAnsi="Calibri"/>
          <w:sz w:val="21"/>
        </w:rPr>
        <w:t>Exclude: vulvodynia, lichen sclerosus, vaginal anatomical anomalies, genital herpes</w:t>
      </w:r>
    </w:p>
    <w:p w14:paraId="3B9D3312" w14:textId="77777777" w:rsidR="00985F75" w:rsidRDefault="00000000">
      <w:pPr>
        <w:pStyle w:val="ListBullet"/>
      </w:pPr>
      <w:r>
        <w:rPr>
          <w:rFonts w:ascii="Calibri" w:hAnsi="Calibri"/>
          <w:sz w:val="21"/>
        </w:rPr>
        <w:t>Psychosexual referral: graded dilator therapy + psychosexual counselling — effective and evidence-based</w:t>
      </w:r>
    </w:p>
    <w:p w14:paraId="18BD0598" w14:textId="77777777" w:rsidR="00985F75" w:rsidRDefault="00000000">
      <w:pPr>
        <w:pStyle w:val="ListBullet"/>
      </w:pPr>
      <w:r>
        <w:rPr>
          <w:rFonts w:ascii="Calibri" w:hAnsi="Calibri"/>
          <w:sz w:val="21"/>
        </w:rPr>
        <w:t>Couple therapy: partner engagement is important for recovery</w:t>
      </w:r>
    </w:p>
    <w:p w14:paraId="268C59B5" w14:textId="77777777" w:rsidR="00985F75" w:rsidRDefault="00000000">
      <w:pPr>
        <w:pStyle w:val="ListBullet"/>
      </w:pPr>
      <w:r>
        <w:rPr>
          <w:rFonts w:ascii="Calibri" w:hAnsi="Calibri"/>
          <w:sz w:val="21"/>
        </w:rPr>
        <w:t>SCA: reassurance that vaginismus is treatable; explore her understanding and concerns; establish safety</w:t>
      </w:r>
    </w:p>
    <w:p w14:paraId="715A4526" w14:textId="77777777" w:rsidR="00985F75" w:rsidRDefault="00000000">
      <w:r>
        <w:rPr>
          <w:rFonts w:ascii="Calibri" w:hAnsi="Calibri"/>
          <w:b/>
          <w:sz w:val="26"/>
        </w:rPr>
        <w:t>Case E: Anorgasmia — 30-year-old woman who has never had an orgasm</w:t>
      </w:r>
    </w:p>
    <w:p w14:paraId="2F1BBF30" w14:textId="77777777" w:rsidR="00985F75" w:rsidRDefault="00000000">
      <w:pPr>
        <w:pStyle w:val="ListBullet"/>
      </w:pPr>
      <w:r>
        <w:rPr>
          <w:rFonts w:ascii="Calibri" w:hAnsi="Calibri"/>
          <w:sz w:val="21"/>
        </w:rPr>
        <w:t>Primary anorgasmia: most commonly psychogenic; reassurance that orgasm is highly variable</w:t>
      </w:r>
    </w:p>
    <w:p w14:paraId="56825BFE" w14:textId="77777777" w:rsidR="00985F75" w:rsidRDefault="00000000">
      <w:pPr>
        <w:pStyle w:val="ListBullet"/>
      </w:pPr>
      <w:r>
        <w:rPr>
          <w:rFonts w:ascii="Calibri" w:hAnsi="Calibri"/>
          <w:sz w:val="21"/>
        </w:rPr>
        <w:t>Education: anatomy; self-exploration; communication with partner</w:t>
      </w:r>
    </w:p>
    <w:p w14:paraId="62100B05" w14:textId="77777777" w:rsidR="00985F75" w:rsidRDefault="00000000">
      <w:pPr>
        <w:pStyle w:val="ListBullet"/>
      </w:pPr>
      <w:r>
        <w:rPr>
          <w:rFonts w:ascii="Calibri" w:hAnsi="Calibri"/>
          <w:sz w:val="21"/>
        </w:rPr>
        <w:t>Psychosexual therapy: directed masturbation programme; sensate focus</w:t>
      </w:r>
    </w:p>
    <w:p w14:paraId="1C83A04D" w14:textId="77777777" w:rsidR="00985F75" w:rsidRDefault="00000000">
      <w:pPr>
        <w:pStyle w:val="ListBullet"/>
      </w:pPr>
      <w:r>
        <w:rPr>
          <w:rFonts w:ascii="Calibri" w:hAnsi="Calibri"/>
          <w:sz w:val="21"/>
        </w:rPr>
        <w:t>Exclude medication causes: SSRIs are a common cause; consider drug review if recently started</w:t>
      </w:r>
    </w:p>
    <w:p w14:paraId="00A96984" w14:textId="77777777" w:rsidR="00985F75" w:rsidRDefault="00000000">
      <w:pPr>
        <w:pStyle w:val="ListBullet"/>
      </w:pPr>
      <w:r>
        <w:rPr>
          <w:rFonts w:ascii="Calibri" w:hAnsi="Calibri"/>
          <w:sz w:val="21"/>
        </w:rPr>
        <w:t>SCA: non-judgemental; normalise; explore expectations; partner communication skills</w:t>
      </w:r>
    </w:p>
    <w:p w14:paraId="7E41A1A0" w14:textId="77777777" w:rsidR="00985F75" w:rsidRDefault="00000000">
      <w:r>
        <w:rPr>
          <w:rFonts w:ascii="Calibri" w:hAnsi="Calibri"/>
          <w:b/>
          <w:sz w:val="26"/>
        </w:rPr>
        <w:lastRenderedPageBreak/>
        <w:t>Case F: Medical conditions affecting sexual function</w:t>
      </w:r>
    </w:p>
    <w:p w14:paraId="36E26B91" w14:textId="77777777" w:rsidR="00985F75" w:rsidRDefault="00000000">
      <w:pPr>
        <w:pStyle w:val="ListBullet"/>
      </w:pPr>
      <w:r>
        <w:rPr>
          <w:rFonts w:ascii="Calibri" w:hAnsi="Calibri"/>
          <w:sz w:val="21"/>
        </w:rPr>
        <w:t>Post-MI: common fear of sexual activity triggering further cardiac event — evidence supports gradual return to sex when able to climb 2 flights of stairs</w:t>
      </w:r>
    </w:p>
    <w:p w14:paraId="27456308" w14:textId="77777777" w:rsidR="00985F75" w:rsidRDefault="00000000">
      <w:pPr>
        <w:pStyle w:val="ListBullet"/>
      </w:pPr>
      <w:r>
        <w:rPr>
          <w:rFonts w:ascii="Calibri" w:hAnsi="Calibri"/>
          <w:sz w:val="21"/>
        </w:rPr>
        <w:t>Diabetes: ED is very common (3x higher risk); screen for it; manage CV risk factors</w:t>
      </w:r>
    </w:p>
    <w:p w14:paraId="2BF4FD14" w14:textId="77777777" w:rsidR="00985F75" w:rsidRDefault="00000000">
      <w:pPr>
        <w:pStyle w:val="ListBullet"/>
      </w:pPr>
      <w:r>
        <w:rPr>
          <w:rFonts w:ascii="Calibri" w:hAnsi="Calibri"/>
          <w:sz w:val="21"/>
        </w:rPr>
        <w:t>Cancer treatment: chemotherapy, surgery, radiotherapy all affect sexual function; refer to specialist nurse/psychosexual therapist</w:t>
      </w:r>
    </w:p>
    <w:p w14:paraId="709DB391" w14:textId="77777777" w:rsidR="00985F75" w:rsidRDefault="00000000">
      <w:pPr>
        <w:pStyle w:val="ListBullet"/>
      </w:pPr>
      <w:r>
        <w:rPr>
          <w:rFonts w:ascii="Calibri" w:hAnsi="Calibri"/>
          <w:sz w:val="21"/>
        </w:rPr>
        <w:t>Depression: reduced libido is a core symptom AND a side effect of antidepressants; discuss openly</w:t>
      </w:r>
    </w:p>
    <w:p w14:paraId="6CFEB091" w14:textId="77777777" w:rsidR="00985F75" w:rsidRDefault="00000000">
      <w:pPr>
        <w:pStyle w:val="ListBullet"/>
      </w:pPr>
      <w:r>
        <w:rPr>
          <w:rFonts w:ascii="Calibri" w:hAnsi="Calibri"/>
          <w:sz w:val="21"/>
        </w:rPr>
        <w:t>Post-prostatectomy: incontinence + ED common; refer to urology/prostate cancer nurse specialist</w:t>
      </w:r>
    </w:p>
    <w:p w14:paraId="01C8A44A" w14:textId="77777777" w:rsidR="00985F75" w:rsidRDefault="00000000">
      <w:pPr>
        <w:pStyle w:val="ListBullet"/>
      </w:pPr>
      <w:r>
        <w:rPr>
          <w:rFonts w:ascii="Calibri" w:hAnsi="Calibri"/>
          <w:sz w:val="21"/>
        </w:rPr>
        <w:t>Menopause: vaginal atrophy, reduced libido — genitourinary syndrome of menopause (GSM); topical oestrogen effective and safe</w:t>
      </w:r>
    </w:p>
    <w:p w14:paraId="095356DF" w14:textId="77777777" w:rsidR="00985F75" w:rsidRDefault="00000000">
      <w:r>
        <w:rPr>
          <w:rFonts w:ascii="Calibri" w:hAnsi="Calibri"/>
          <w:b/>
          <w:sz w:val="26"/>
        </w:rPr>
        <w:t>Referral Pathways</w:t>
      </w:r>
    </w:p>
    <w:p w14:paraId="5D384E07" w14:textId="77777777" w:rsidR="00985F75" w:rsidRDefault="00000000">
      <w:r>
        <w:rPr>
          <w:rFonts w:ascii="Calibri" w:hAnsi="Calibri"/>
          <w:b/>
          <w:sz w:val="21"/>
        </w:rPr>
        <w:t xml:space="preserve">▶ Psychosexual counsellor/therapist: </w:t>
      </w:r>
      <w:r>
        <w:rPr>
          <w:rFonts w:ascii="Calibri" w:hAnsi="Calibri"/>
          <w:sz w:val="21"/>
        </w:rPr>
        <w:t>Primary referral for most psychosexual problems (RELATE, NHS psychosexual services, COSRT-accredited therapists)</w:t>
      </w:r>
    </w:p>
    <w:p w14:paraId="54164909" w14:textId="77777777" w:rsidR="00985F75" w:rsidRDefault="00000000">
      <w:r>
        <w:rPr>
          <w:rFonts w:ascii="Calibri" w:hAnsi="Calibri"/>
          <w:b/>
          <w:sz w:val="21"/>
        </w:rPr>
        <w:t xml:space="preserve">▶ Urology: </w:t>
      </w:r>
      <w:r>
        <w:rPr>
          <w:rFonts w:ascii="Calibri" w:hAnsi="Calibri"/>
          <w:sz w:val="21"/>
        </w:rPr>
        <w:t>ED not responding to PDE5 inhibitors; suspected Peyronie's disease; post-surgical issues</w:t>
      </w:r>
    </w:p>
    <w:p w14:paraId="75FCBB67" w14:textId="77777777" w:rsidR="00985F75" w:rsidRDefault="00000000">
      <w:r>
        <w:rPr>
          <w:rFonts w:ascii="Calibri" w:hAnsi="Calibri"/>
          <w:b/>
          <w:sz w:val="21"/>
        </w:rPr>
        <w:t xml:space="preserve">▶ Endocrinology/Andrology: </w:t>
      </w:r>
      <w:r>
        <w:rPr>
          <w:rFonts w:ascii="Calibri" w:hAnsi="Calibri"/>
          <w:sz w:val="21"/>
        </w:rPr>
        <w:t>Hypogonadism; hyperprolactinaemia; testosterone management</w:t>
      </w:r>
    </w:p>
    <w:p w14:paraId="7BAE5626" w14:textId="77777777" w:rsidR="00985F75" w:rsidRDefault="00000000">
      <w:r>
        <w:rPr>
          <w:rFonts w:ascii="Calibri" w:hAnsi="Calibri"/>
          <w:b/>
          <w:sz w:val="21"/>
        </w:rPr>
        <w:t xml:space="preserve">▶ Gynaecology: </w:t>
      </w:r>
      <w:r>
        <w:rPr>
          <w:rFonts w:ascii="Calibri" w:hAnsi="Calibri"/>
          <w:sz w:val="21"/>
        </w:rPr>
        <w:t>Structural causes of dyspareunia; vaginismus not responding to primary care treatment; lichen sclerosus</w:t>
      </w:r>
    </w:p>
    <w:p w14:paraId="6A2BFA32" w14:textId="77777777" w:rsidR="00985F75" w:rsidRDefault="00000000">
      <w:r>
        <w:rPr>
          <w:rFonts w:ascii="Calibri" w:hAnsi="Calibri"/>
          <w:b/>
          <w:sz w:val="21"/>
        </w:rPr>
        <w:t xml:space="preserve">▶ Clinical psychology: </w:t>
      </w:r>
      <w:r>
        <w:rPr>
          <w:rFonts w:ascii="Calibri" w:hAnsi="Calibri"/>
          <w:sz w:val="21"/>
        </w:rPr>
        <w:t>Trauma history underlying sexual dysfunction; CBT for performance anxiety</w:t>
      </w:r>
    </w:p>
    <w:tbl>
      <w:tblPr>
        <w:tblW w:w="0" w:type="auto"/>
        <w:tblLook w:val="04A0" w:firstRow="1" w:lastRow="0" w:firstColumn="1" w:lastColumn="0" w:noHBand="0" w:noVBand="1"/>
      </w:tblPr>
      <w:tblGrid>
        <w:gridCol w:w="9972"/>
      </w:tblGrid>
      <w:tr w:rsidR="00985F75" w14:paraId="5501811B" w14:textId="77777777">
        <w:tc>
          <w:tcPr>
            <w:tcW w:w="9972" w:type="dxa"/>
            <w:shd w:val="clear" w:color="auto" w:fill="DDEEFF"/>
          </w:tcPr>
          <w:p w14:paraId="342A3CE3" w14:textId="77777777" w:rsidR="00985F75" w:rsidRDefault="00985F75"/>
          <w:p w14:paraId="536E9972" w14:textId="77777777" w:rsidR="00985F75" w:rsidRDefault="00000000">
            <w:r>
              <w:rPr>
                <w:rFonts w:ascii="Calibri" w:hAnsi="Calibri"/>
                <w:b/>
              </w:rPr>
              <w:t xml:space="preserve">🟦 SCA KEY SKILL:  </w:t>
            </w:r>
            <w:r>
              <w:rPr>
                <w:rFonts w:ascii="Calibri" w:hAnsi="Calibri"/>
                <w:sz w:val="20"/>
              </w:rPr>
              <w:t>SCA TIP: The key skill in psychosexual consultations is patient-centred listening and non-judgemental exploration. Avoid rushing to a diagnosis or treatment. Explore the patient's ICE (Ideas, Concerns, Expectations). Acknowledge the emotional impact. The SCA examiner will be assessing empathy and communication far more than pharmacological knowledge.</w:t>
            </w:r>
          </w:p>
        </w:tc>
      </w:tr>
    </w:tbl>
    <w:p w14:paraId="35C2C8B8" w14:textId="77777777" w:rsidR="00985F75" w:rsidRDefault="00985F75"/>
    <w:p w14:paraId="0C9B0181" w14:textId="77777777" w:rsidR="00985F75" w:rsidRDefault="00985F75"/>
    <w:tbl>
      <w:tblPr>
        <w:tblW w:w="0" w:type="auto"/>
        <w:tblLook w:val="04A0" w:firstRow="1" w:lastRow="0" w:firstColumn="1" w:lastColumn="0" w:noHBand="0" w:noVBand="1"/>
      </w:tblPr>
      <w:tblGrid>
        <w:gridCol w:w="9972"/>
      </w:tblGrid>
      <w:tr w:rsidR="00985F75" w14:paraId="314A271C" w14:textId="77777777">
        <w:tc>
          <w:tcPr>
            <w:tcW w:w="9972" w:type="dxa"/>
            <w:shd w:val="clear" w:color="auto" w:fill="FFF3CD"/>
          </w:tcPr>
          <w:p w14:paraId="3195705B" w14:textId="77777777" w:rsidR="00985F75" w:rsidRDefault="00985F75"/>
          <w:p w14:paraId="4D041944" w14:textId="77777777" w:rsidR="00985F75" w:rsidRDefault="00000000">
            <w:r>
              <w:rPr>
                <w:rFonts w:ascii="Calibri" w:hAnsi="Calibri"/>
                <w:i/>
                <w:sz w:val="18"/>
              </w:rPr>
              <w:t>⚠ Disclaimer: Always double check this advice and drug doses with the latest NICE/BNF guidance. This document is for educational purposes only.</w:t>
            </w:r>
          </w:p>
        </w:tc>
      </w:tr>
    </w:tbl>
    <w:p w14:paraId="04CB3C1C" w14:textId="77777777" w:rsidR="00985F75" w:rsidRDefault="00985F75"/>
    <w:p w14:paraId="03CDB6F9" w14:textId="77777777" w:rsidR="00985F75" w:rsidRDefault="00000000">
      <w:pPr>
        <w:jc w:val="center"/>
      </w:pPr>
      <w:r>
        <w:rPr>
          <w:rFonts w:ascii="Calibri" w:hAnsi="Calibri"/>
          <w:color w:val="808080"/>
          <w:sz w:val="16"/>
        </w:rPr>
        <w:t>A free resource provided by www.bradfordvts.co.uk, Dr Ramesh Mehay, revised May 2026</w:t>
      </w:r>
    </w:p>
    <w:sectPr w:rsidR="00985F75"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608387457">
    <w:abstractNumId w:val="8"/>
  </w:num>
  <w:num w:numId="2" w16cid:durableId="1425568385">
    <w:abstractNumId w:val="6"/>
  </w:num>
  <w:num w:numId="3" w16cid:durableId="274950835">
    <w:abstractNumId w:val="5"/>
  </w:num>
  <w:num w:numId="4" w16cid:durableId="1378628864">
    <w:abstractNumId w:val="4"/>
  </w:num>
  <w:num w:numId="5" w16cid:durableId="631205874">
    <w:abstractNumId w:val="7"/>
  </w:num>
  <w:num w:numId="6" w16cid:durableId="1758401931">
    <w:abstractNumId w:val="3"/>
  </w:num>
  <w:num w:numId="7" w16cid:durableId="1866138247">
    <w:abstractNumId w:val="2"/>
  </w:num>
  <w:num w:numId="8" w16cid:durableId="1879003875">
    <w:abstractNumId w:val="1"/>
  </w:num>
  <w:num w:numId="9" w16cid:durableId="15138324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461C1C"/>
    <w:rsid w:val="006F1F52"/>
    <w:rsid w:val="00985F75"/>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C17DC6B"/>
  <w14:defaultImageDpi w14:val="300"/>
  <w15:docId w15:val="{19A5CF75-E7CA-499A-8379-91D96A69D9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964</Words>
  <Characters>5497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Ramesh Mehay</cp:lastModifiedBy>
  <cp:revision>3</cp:revision>
  <dcterms:created xsi:type="dcterms:W3CDTF">2013-12-23T23:15:00Z</dcterms:created>
  <dcterms:modified xsi:type="dcterms:W3CDTF">2026-05-24T15:40:00Z</dcterms:modified>
  <cp:category/>
</cp:coreProperties>
</file>