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9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E20B95" w14:paraId="629777BD" w14:textId="77777777" w:rsidTr="00DB7485">
        <w:trPr>
          <w:trHeight w:val="2694"/>
        </w:trPr>
        <w:tc>
          <w:tcPr>
            <w:tcW w:w="9690" w:type="dxa"/>
            <w:tcBorders>
              <w:top w:val="none" w:sz="0" w:space="0" w:color="FFFFFF"/>
              <w:left w:val="none" w:sz="0" w:space="0" w:color="FFFFFF"/>
              <w:bottom w:val="none" w:sz="0" w:space="0" w:color="FFFFFF"/>
              <w:right w:val="none" w:sz="0" w:space="0" w:color="FFFFFF"/>
            </w:tcBorders>
            <w:shd w:val="clear" w:color="auto" w:fill="1B3A6B"/>
            <w:tcMar>
              <w:top w:w="400" w:type="dxa"/>
              <w:left w:w="400" w:type="dxa"/>
              <w:bottom w:w="400" w:type="dxa"/>
              <w:right w:w="400" w:type="dxa"/>
            </w:tcMar>
          </w:tcPr>
          <w:p w14:paraId="7833581C" w14:textId="77777777" w:rsidR="00A57505" w:rsidRPr="00A57505" w:rsidRDefault="00A57505">
            <w:pPr>
              <w:spacing w:after="80"/>
              <w:rPr>
                <w:rFonts w:ascii="Cambria" w:eastAsia="Cambria" w:hAnsi="Cambria" w:cs="Cambria"/>
                <w:b/>
                <w:bCs/>
                <w:caps/>
                <w:color w:val="E97132" w:themeColor="accent2"/>
                <w:spacing w:val="80"/>
              </w:rPr>
            </w:pPr>
            <w:r w:rsidRPr="00A57505">
              <w:rPr>
                <w:rFonts w:ascii="Cambria" w:eastAsia="Cambria" w:hAnsi="Cambria" w:cs="Cambria"/>
                <w:b/>
                <w:bCs/>
                <w:caps/>
                <w:color w:val="E97132" w:themeColor="accent2"/>
                <w:spacing w:val="80"/>
              </w:rPr>
              <w:t>BRADFORD VTS TEACHING AIDS</w:t>
            </w:r>
          </w:p>
          <w:p w14:paraId="5600F7A9" w14:textId="1428B1A2" w:rsidR="00E20B95" w:rsidRDefault="00000000">
            <w:pPr>
              <w:spacing w:after="80"/>
            </w:pPr>
            <w:r>
              <w:rPr>
                <w:rFonts w:ascii="Cambria" w:eastAsia="Cambria" w:hAnsi="Cambria" w:cs="Cambria"/>
                <w:b/>
                <w:bCs/>
                <w:caps/>
                <w:color w:val="8BBFD4"/>
                <w:spacing w:val="80"/>
              </w:rPr>
              <w:t>GP TEACHING PLAN</w:t>
            </w:r>
          </w:p>
          <w:p w14:paraId="7E29F8A4" w14:textId="77777777" w:rsidR="00E20B95" w:rsidRDefault="00000000">
            <w:pPr>
              <w:spacing w:after="120"/>
            </w:pPr>
            <w:r>
              <w:rPr>
                <w:rFonts w:ascii="Cambria" w:eastAsia="Cambria" w:hAnsi="Cambria" w:cs="Cambria"/>
                <w:b/>
                <w:bCs/>
                <w:color w:val="FFFFFF"/>
                <w:sz w:val="64"/>
                <w:szCs w:val="64"/>
              </w:rPr>
              <w:t>Sexual Health for Gay Men</w:t>
            </w:r>
          </w:p>
          <w:p w14:paraId="2B34B227" w14:textId="77777777" w:rsidR="00E20B95" w:rsidRDefault="00000000">
            <w:pPr>
              <w:spacing w:after="160"/>
            </w:pPr>
            <w:r>
              <w:rPr>
                <w:i/>
                <w:iCs/>
                <w:color w:val="9ECFDF"/>
                <w:sz w:val="28"/>
                <w:szCs w:val="28"/>
              </w:rPr>
              <w:t>Men Who Have Sex with Men (MSM) — A Primary Care Perspective</w:t>
            </w:r>
          </w:p>
          <w:p w14:paraId="1FA33E56" w14:textId="2A45F18A" w:rsidR="00E20B95" w:rsidRDefault="00000000">
            <w:pPr>
              <w:spacing w:after="60"/>
            </w:pPr>
            <w:r>
              <w:rPr>
                <w:b/>
                <w:bCs/>
                <w:color w:val="CCE8EE"/>
              </w:rPr>
              <w:t xml:space="preserve">Duration: </w:t>
            </w:r>
            <w:r w:rsidR="00DB7485">
              <w:rPr>
                <w:color w:val="9ECFDF"/>
              </w:rPr>
              <w:t>30</w:t>
            </w:r>
            <w:r>
              <w:rPr>
                <w:color w:val="9ECFDF"/>
              </w:rPr>
              <w:t xml:space="preserve"> minutes     |     </w:t>
            </w:r>
            <w:r>
              <w:rPr>
                <w:b/>
                <w:bCs/>
                <w:color w:val="CCE8EE"/>
              </w:rPr>
              <w:t xml:space="preserve">Format: </w:t>
            </w:r>
            <w:r>
              <w:rPr>
                <w:color w:val="9ECFDF"/>
              </w:rPr>
              <w:t>Small-group tutorial with facilitated discussion</w:t>
            </w:r>
          </w:p>
          <w:p w14:paraId="549B3D9C" w14:textId="039E5512" w:rsidR="00E20B95" w:rsidRDefault="00000000">
            <w:r>
              <w:rPr>
                <w:b/>
                <w:bCs/>
                <w:color w:val="CCE8EE"/>
              </w:rPr>
              <w:t xml:space="preserve">Level: </w:t>
            </w:r>
            <w:r>
              <w:rPr>
                <w:color w:val="9ECFDF"/>
              </w:rPr>
              <w:t>GP Registrar / Foundation Doctor</w:t>
            </w:r>
            <w:r w:rsidR="00694FCD">
              <w:rPr>
                <w:color w:val="9ECFDF"/>
              </w:rPr>
              <w:t xml:space="preserve">    May 2026</w:t>
            </w:r>
          </w:p>
        </w:tc>
      </w:tr>
    </w:tbl>
    <w:p w14:paraId="67D98757" w14:textId="77777777" w:rsidR="00E20B95" w:rsidRDefault="00E20B95">
      <w:pPr>
        <w:spacing w:after="80"/>
      </w:pPr>
    </w:p>
    <w:p w14:paraId="1F2A1436" w14:textId="77777777" w:rsidR="00E20B95" w:rsidRDefault="00000000">
      <w:pPr>
        <w:pStyle w:val="Heading1"/>
        <w:pBdr>
          <w:bottom w:val="single" w:sz="8" w:space="6" w:color="1B3A6B"/>
        </w:pBdr>
      </w:pPr>
      <w:r>
        <w:t>Learning Objectives</w:t>
      </w:r>
    </w:p>
    <w:p w14:paraId="2C561BE8" w14:textId="77777777" w:rsidR="00E20B95" w:rsidRDefault="00000000">
      <w:pPr>
        <w:spacing w:before="60" w:after="100"/>
      </w:pPr>
      <w:r>
        <w:t>By the end of this session, participants will be able to:</w:t>
      </w:r>
    </w:p>
    <w:p w14:paraId="7E796746" w14:textId="77777777" w:rsidR="00E20B95" w:rsidRDefault="00000000">
      <w:pPr>
        <w:pStyle w:val="ListParagraph"/>
        <w:numPr>
          <w:ilvl w:val="0"/>
          <w:numId w:val="2"/>
        </w:numPr>
        <w:spacing w:before="40" w:after="60"/>
      </w:pPr>
      <w:r>
        <w:t>Explain the distinction between 'gay' and 'men who have sex with men' (MSM), and understand why this matters clinically</w:t>
      </w:r>
    </w:p>
    <w:p w14:paraId="127BDA06" w14:textId="77777777" w:rsidR="00E20B95" w:rsidRDefault="00000000">
      <w:pPr>
        <w:pStyle w:val="ListParagraph"/>
        <w:numPr>
          <w:ilvl w:val="0"/>
          <w:numId w:val="2"/>
        </w:numPr>
        <w:spacing w:before="40" w:after="60"/>
      </w:pPr>
      <w:r>
        <w:t>Identify the barriers that prevent MSM from accessing primary care — and describe practical steps to reduce them</w:t>
      </w:r>
    </w:p>
    <w:p w14:paraId="3467D9BE" w14:textId="77777777" w:rsidR="00E20B95" w:rsidRDefault="00000000">
      <w:pPr>
        <w:pStyle w:val="ListParagraph"/>
        <w:numPr>
          <w:ilvl w:val="0"/>
          <w:numId w:val="2"/>
        </w:numPr>
        <w:spacing w:before="40" w:after="60"/>
      </w:pPr>
      <w:r>
        <w:t>Recognise the specific physical and mental health needs of MSM, beyond HIV</w:t>
      </w:r>
    </w:p>
    <w:p w14:paraId="0F192565" w14:textId="77777777" w:rsidR="00E20B95" w:rsidRDefault="00000000">
      <w:pPr>
        <w:pStyle w:val="ListParagraph"/>
        <w:numPr>
          <w:ilvl w:val="0"/>
          <w:numId w:val="2"/>
        </w:numPr>
        <w:spacing w:before="40" w:after="60"/>
      </w:pPr>
      <w:r>
        <w:t>Take a sensitive, inclusive sexual history and demonstrate non-judgemental communication skills</w:t>
      </w:r>
    </w:p>
    <w:p w14:paraId="52BC3F39" w14:textId="77777777" w:rsidR="00E20B95" w:rsidRDefault="00000000">
      <w:pPr>
        <w:pStyle w:val="ListParagraph"/>
        <w:numPr>
          <w:ilvl w:val="0"/>
          <w:numId w:val="2"/>
        </w:numPr>
        <w:spacing w:before="40" w:after="60"/>
      </w:pPr>
      <w:r>
        <w:t>Advise on appropriate STI screening, vaccination, and HIV prevention strategies for MSM</w:t>
      </w:r>
    </w:p>
    <w:p w14:paraId="1AD25C01" w14:textId="77777777" w:rsidR="00E20B95" w:rsidRDefault="00E20B95">
      <w:pPr>
        <w:spacing w:after="80"/>
      </w:pPr>
    </w:p>
    <w:p w14:paraId="1320543A" w14:textId="44854A7A" w:rsidR="00932D60" w:rsidRDefault="00932D60">
      <w:r>
        <w:br w:type="page"/>
      </w:r>
    </w:p>
    <w:p w14:paraId="4887031C" w14:textId="77777777" w:rsidR="00E20B95" w:rsidRDefault="00E20B95">
      <w:pPr>
        <w:pBdr>
          <w:bottom w:val="single" w:sz="4" w:space="0" w:color="1E7F8E"/>
        </w:pBdr>
        <w:spacing w:before="120" w:after="120"/>
      </w:pPr>
    </w:p>
    <w:p w14:paraId="5A4C01F2" w14:textId="77777777" w:rsidR="00E20B95" w:rsidRDefault="00E20B95">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00C85B14"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80" w:type="dxa"/>
              <w:left w:w="300" w:type="dxa"/>
              <w:bottom w:w="180" w:type="dxa"/>
              <w:right w:w="300" w:type="dxa"/>
            </w:tcMar>
          </w:tcPr>
          <w:p w14:paraId="30F388B1" w14:textId="77777777" w:rsidR="00E20B95" w:rsidRDefault="00000000">
            <w:pPr>
              <w:spacing w:after="60"/>
            </w:pPr>
            <w:r>
              <w:rPr>
                <w:rFonts w:ascii="Cambria" w:eastAsia="Cambria" w:hAnsi="Cambria" w:cs="Cambria"/>
                <w:b/>
                <w:bCs/>
                <w:color w:val="FFFFFF"/>
                <w:sz w:val="36"/>
                <w:szCs w:val="36"/>
              </w:rPr>
              <w:t>Section 1: Facilitated Discussion Plan</w:t>
            </w:r>
          </w:p>
          <w:p w14:paraId="09CFB7BC" w14:textId="77777777" w:rsidR="00E20B95" w:rsidRDefault="00000000">
            <w:r>
              <w:rPr>
                <w:i/>
                <w:iCs/>
                <w:color w:val="CCE8EE"/>
                <w:sz w:val="20"/>
                <w:szCs w:val="20"/>
              </w:rPr>
              <w:t>Teaching sequence with facilitator notes</w:t>
            </w:r>
          </w:p>
        </w:tc>
      </w:tr>
    </w:tbl>
    <w:p w14:paraId="215AAF16" w14:textId="77777777" w:rsidR="00E20B95" w:rsidRDefault="00E20B95">
      <w:pPr>
        <w:spacing w:after="80"/>
      </w:pPr>
    </w:p>
    <w:p w14:paraId="2EFBA7E6" w14:textId="77777777" w:rsidR="00E20B95" w:rsidRDefault="00000000">
      <w:pPr>
        <w:pStyle w:val="Heading2"/>
      </w:pPr>
      <w:proofErr w:type="gramStart"/>
      <w:r>
        <w:t>1.1  Challenging</w:t>
      </w:r>
      <w:proofErr w:type="gramEnd"/>
      <w:r>
        <w:t xml:space="preserve"> Assumptions — HIV and Gay Men</w:t>
      </w: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2097DD4A" w14:textId="77777777">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0764FDC9" w14:textId="77777777" w:rsidR="00E20B95" w:rsidRDefault="00000000">
            <w:pPr>
              <w:spacing w:after="60"/>
            </w:pPr>
            <w:r>
              <w:rPr>
                <w:rFonts w:ascii="Cambria" w:eastAsia="Cambria" w:hAnsi="Cambria" w:cs="Cambria"/>
                <w:b/>
                <w:bCs/>
                <w:caps/>
                <w:color w:val="E8892A"/>
                <w:sz w:val="20"/>
                <w:szCs w:val="20"/>
              </w:rPr>
              <w:t>Facilitator Activity</w:t>
            </w:r>
          </w:p>
          <w:p w14:paraId="4868ADF8" w14:textId="77777777" w:rsidR="00E20B95" w:rsidRDefault="00000000">
            <w:pPr>
              <w:spacing w:after="40"/>
            </w:pPr>
            <w:r>
              <w:rPr>
                <w:sz w:val="21"/>
                <w:szCs w:val="21"/>
              </w:rPr>
              <w:t>Ask the group: 'When you hear the words HIV and AIDS, what comes to mind first?'</w:t>
            </w:r>
          </w:p>
          <w:p w14:paraId="72E6F026" w14:textId="77777777" w:rsidR="00E20B95" w:rsidRDefault="00000000">
            <w:pPr>
              <w:spacing w:after="40"/>
            </w:pPr>
            <w:r>
              <w:rPr>
                <w:sz w:val="21"/>
                <w:szCs w:val="21"/>
              </w:rPr>
              <w:t>Write responses on a flip chart. This surfaces implicit associations.</w:t>
            </w:r>
          </w:p>
        </w:tc>
      </w:tr>
    </w:tbl>
    <w:p w14:paraId="7D11208B" w14:textId="77777777" w:rsidR="00E20B95" w:rsidRDefault="00E20B95">
      <w:pPr>
        <w:spacing w:after="80"/>
      </w:pPr>
    </w:p>
    <w:p w14:paraId="151A6B56" w14:textId="77777777" w:rsidR="00E20B95" w:rsidRDefault="00000000">
      <w:pPr>
        <w:spacing w:before="60" w:after="100"/>
      </w:pPr>
      <w:r>
        <w:t>Many participants — and many patients — still associate HIV primarily with gay men. This is worth challenging from the outset.</w:t>
      </w:r>
    </w:p>
    <w:p w14:paraId="31947904" w14:textId="77777777" w:rsidR="00E20B95" w:rsidRDefault="00000000">
      <w:pPr>
        <w:spacing w:before="60" w:after="100"/>
      </w:pPr>
      <w:r>
        <w:t xml:space="preserve">HIV affects people of all sexualities. </w:t>
      </w:r>
      <w:proofErr w:type="gramStart"/>
      <w:r>
        <w:t>The majority of</w:t>
      </w:r>
      <w:proofErr w:type="gramEnd"/>
      <w:r>
        <w:t xml:space="preserve"> gay men do not have HIV. Globally, heterosexual transmission accounts for the largest share of infections.</w:t>
      </w:r>
    </w:p>
    <w:p w14:paraId="27F35FD4" w14:textId="77777777" w:rsidR="00E20B95" w:rsidRDefault="00E20B95">
      <w:pPr>
        <w:spacing w:after="80"/>
      </w:pPr>
    </w:p>
    <w:tbl>
      <w:tblPr>
        <w:tblW w:w="9360" w:type="dxa"/>
        <w:tblBorders>
          <w:top w:val="single" w:sz="4" w:space="0" w:color="1E7F8E"/>
          <w:left w:val="single" w:sz="12" w:space="0" w:color="1E7F8E"/>
          <w:bottom w:val="single" w:sz="4" w:space="0" w:color="1E7F8E"/>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76E3903B" w14:textId="77777777">
        <w:tc>
          <w:tcPr>
            <w:tcW w:w="9360" w:type="dxa"/>
            <w:tcBorders>
              <w:top w:val="single" w:sz="4" w:space="0" w:color="1E7F8E"/>
              <w:left w:val="single" w:sz="12" w:space="0" w:color="1E7F8E"/>
              <w:bottom w:val="single" w:sz="4" w:space="0" w:color="1E7F8E"/>
              <w:right w:val="none" w:sz="0" w:space="0" w:color="FFFFFF"/>
            </w:tcBorders>
            <w:shd w:val="clear" w:color="auto" w:fill="D6EEF2"/>
            <w:tcMar>
              <w:top w:w="160" w:type="dxa"/>
              <w:left w:w="240" w:type="dxa"/>
              <w:bottom w:w="160" w:type="dxa"/>
              <w:right w:w="200" w:type="dxa"/>
            </w:tcMar>
          </w:tcPr>
          <w:p w14:paraId="3EB00588" w14:textId="77777777" w:rsidR="00E20B95" w:rsidRDefault="00000000">
            <w:pPr>
              <w:spacing w:after="60"/>
            </w:pPr>
            <w:r>
              <w:rPr>
                <w:rFonts w:ascii="Cambria" w:eastAsia="Cambria" w:hAnsi="Cambria" w:cs="Cambria"/>
                <w:b/>
                <w:bCs/>
                <w:caps/>
                <w:color w:val="1E7F8E"/>
                <w:sz w:val="20"/>
                <w:szCs w:val="20"/>
              </w:rPr>
              <w:t>Key Teaching Point</w:t>
            </w:r>
          </w:p>
          <w:p w14:paraId="01D1111F" w14:textId="77777777" w:rsidR="00E20B95" w:rsidRDefault="00000000">
            <w:pPr>
              <w:spacing w:after="40"/>
            </w:pPr>
            <w:r>
              <w:rPr>
                <w:sz w:val="21"/>
                <w:szCs w:val="21"/>
              </w:rPr>
              <w:t>HIV does not define male homosexuality — yet this association shapes how patients perceive healthcare, and how healthcare professionals ask questions.</w:t>
            </w:r>
          </w:p>
          <w:p w14:paraId="4C8A7627" w14:textId="77777777" w:rsidR="00E20B95" w:rsidRDefault="00000000">
            <w:pPr>
              <w:spacing w:after="40"/>
            </w:pPr>
            <w:r>
              <w:rPr>
                <w:sz w:val="21"/>
                <w:szCs w:val="21"/>
              </w:rPr>
              <w:t>However, MSM remain disproportionately affected by HIV in the UK. The most recent UKHSA data (2024) shows over 111,800 people living with HIV in the UK, of whom over 5,200 remain undiagnosed. A substantial proportion of new diagnoses continue to occur in gay and bisexual men.</w:t>
            </w:r>
          </w:p>
        </w:tc>
      </w:tr>
    </w:tbl>
    <w:p w14:paraId="13212504" w14:textId="77777777" w:rsidR="00E20B95" w:rsidRDefault="00E20B95">
      <w:pPr>
        <w:spacing w:after="160"/>
      </w:pPr>
    </w:p>
    <w:p w14:paraId="7995CE69" w14:textId="7E8F2C60" w:rsidR="00932D60" w:rsidRDefault="00932D60">
      <w:r>
        <w:br w:type="page"/>
      </w:r>
    </w:p>
    <w:p w14:paraId="55A64B98" w14:textId="77777777" w:rsidR="00E20B95" w:rsidRDefault="00E20B95">
      <w:pPr>
        <w:pBdr>
          <w:bottom w:val="single" w:sz="4" w:space="0" w:color="D0D5DE"/>
        </w:pBdr>
        <w:spacing w:before="120" w:after="120"/>
      </w:pPr>
    </w:p>
    <w:p w14:paraId="657298E9" w14:textId="2302B7FC" w:rsidR="00694FCD" w:rsidRDefault="00000000" w:rsidP="00694FCD">
      <w:pPr>
        <w:pStyle w:val="Heading2"/>
      </w:pPr>
      <w:proofErr w:type="gramStart"/>
      <w:r>
        <w:t>1.2  Definitions</w:t>
      </w:r>
      <w:proofErr w:type="gramEnd"/>
      <w:r>
        <w:t xml:space="preserve"> — The Sexual Spectrum</w:t>
      </w: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94FCD" w14:paraId="7CE24A63" w14:textId="77777777" w:rsidTr="00644105">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78611A3A" w14:textId="77777777" w:rsidR="00694FCD" w:rsidRDefault="00694FCD" w:rsidP="00644105">
            <w:pPr>
              <w:spacing w:after="60"/>
            </w:pPr>
            <w:r>
              <w:rPr>
                <w:rFonts w:ascii="Cambria" w:eastAsia="Cambria" w:hAnsi="Cambria" w:cs="Cambria"/>
                <w:b/>
                <w:bCs/>
                <w:caps/>
                <w:color w:val="E8892A"/>
                <w:sz w:val="20"/>
                <w:szCs w:val="20"/>
              </w:rPr>
              <w:t>Facilitator Activity</w:t>
            </w:r>
          </w:p>
          <w:p w14:paraId="099F9C82" w14:textId="77777777" w:rsidR="00694FCD" w:rsidRPr="003A1C78" w:rsidRDefault="00694FCD" w:rsidP="00694FCD">
            <w:pPr>
              <w:rPr>
                <w:rFonts w:ascii="Trebuchet MS" w:hAnsi="Trebuchet MS"/>
                <w:sz w:val="18"/>
                <w:szCs w:val="18"/>
              </w:rPr>
            </w:pPr>
            <w:r w:rsidRPr="003A1C78">
              <w:rPr>
                <w:rFonts w:ascii="Trebuchet MS" w:hAnsi="Trebuchet MS"/>
                <w:sz w:val="18"/>
                <w:szCs w:val="18"/>
              </w:rPr>
              <w:t>Discuss the sexual spectrum</w:t>
            </w:r>
          </w:p>
          <w:p w14:paraId="44188CE7" w14:textId="6441FA14" w:rsidR="00694FCD" w:rsidRDefault="00694FCD" w:rsidP="00694FCD">
            <w:pPr>
              <w:spacing w:after="40"/>
            </w:pPr>
            <w:r w:rsidRPr="003A1C78">
              <w:rPr>
                <w:rFonts w:ascii="Trebuchet MS" w:hAnsi="Trebuchet MS"/>
                <w:sz w:val="18"/>
                <w:szCs w:val="18"/>
              </w:rPr>
              <w:t xml:space="preserve">Gay – Lesbian </w:t>
            </w:r>
            <w:r w:rsidR="008C46F5">
              <w:rPr>
                <w:rFonts w:ascii="Trebuchet MS" w:hAnsi="Trebuchet MS"/>
                <w:sz w:val="18"/>
                <w:szCs w:val="18"/>
              </w:rPr>
              <w:t>–</w:t>
            </w:r>
            <w:r w:rsidRPr="003A1C78">
              <w:rPr>
                <w:rFonts w:ascii="Trebuchet MS" w:hAnsi="Trebuchet MS"/>
                <w:sz w:val="18"/>
                <w:szCs w:val="18"/>
              </w:rPr>
              <w:t xml:space="preserve"> </w:t>
            </w:r>
            <w:r w:rsidR="008C46F5">
              <w:rPr>
                <w:rFonts w:ascii="Trebuchet MS" w:hAnsi="Trebuchet MS"/>
                <w:sz w:val="18"/>
                <w:szCs w:val="18"/>
              </w:rPr>
              <w:t xml:space="preserve">Bisexual - </w:t>
            </w:r>
            <w:r w:rsidRPr="003A1C78">
              <w:rPr>
                <w:rFonts w:ascii="Trebuchet MS" w:hAnsi="Trebuchet MS"/>
                <w:sz w:val="18"/>
                <w:szCs w:val="18"/>
              </w:rPr>
              <w:t xml:space="preserve">Men who have </w:t>
            </w:r>
            <w:r w:rsidR="008C46F5">
              <w:rPr>
                <w:rFonts w:ascii="Trebuchet MS" w:hAnsi="Trebuchet MS"/>
                <w:sz w:val="18"/>
                <w:szCs w:val="18"/>
              </w:rPr>
              <w:t>S</w:t>
            </w:r>
            <w:r w:rsidRPr="003A1C78">
              <w:rPr>
                <w:rFonts w:ascii="Trebuchet MS" w:hAnsi="Trebuchet MS"/>
                <w:sz w:val="18"/>
                <w:szCs w:val="18"/>
              </w:rPr>
              <w:t xml:space="preserve">ex with other </w:t>
            </w:r>
            <w:r w:rsidR="008C46F5">
              <w:rPr>
                <w:rFonts w:ascii="Trebuchet MS" w:hAnsi="Trebuchet MS"/>
                <w:sz w:val="18"/>
                <w:szCs w:val="18"/>
              </w:rPr>
              <w:t>M</w:t>
            </w:r>
            <w:r w:rsidRPr="003A1C78">
              <w:rPr>
                <w:rFonts w:ascii="Trebuchet MS" w:hAnsi="Trebuchet MS"/>
                <w:sz w:val="18"/>
                <w:szCs w:val="18"/>
              </w:rPr>
              <w:t>en (MSM)</w:t>
            </w:r>
          </w:p>
        </w:tc>
      </w:tr>
    </w:tbl>
    <w:p w14:paraId="01D5B983" w14:textId="77777777" w:rsidR="00955106" w:rsidRDefault="00955106" w:rsidP="00955106">
      <w:pPr>
        <w:spacing w:after="80"/>
      </w:pP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55106" w14:paraId="48DF0B7B" w14:textId="77777777" w:rsidTr="00644105">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7F3A78C1" w14:textId="77777777" w:rsidR="00955106" w:rsidRDefault="00955106" w:rsidP="00644105">
            <w:pPr>
              <w:spacing w:after="60"/>
            </w:pPr>
            <w:r>
              <w:rPr>
                <w:rFonts w:ascii="Cambria" w:eastAsia="Cambria" w:hAnsi="Cambria" w:cs="Cambria"/>
                <w:b/>
                <w:bCs/>
                <w:caps/>
                <w:color w:val="5B4A8A"/>
                <w:sz w:val="20"/>
                <w:szCs w:val="20"/>
              </w:rPr>
              <w:t>Discussion Prompt</w:t>
            </w:r>
          </w:p>
          <w:p w14:paraId="01377DBA" w14:textId="77777777" w:rsidR="00955106" w:rsidRDefault="00955106" w:rsidP="00644105">
            <w:pPr>
              <w:spacing w:after="40"/>
            </w:pPr>
            <w:r>
              <w:rPr>
                <w:sz w:val="21"/>
                <w:szCs w:val="21"/>
              </w:rPr>
              <w:t>Why might it matter whether a patient identifies as gay versus simply having sex with men? How might this affect the questions you ask — and how you ask them?</w:t>
            </w:r>
          </w:p>
        </w:tc>
      </w:tr>
    </w:tbl>
    <w:p w14:paraId="3B408D9A" w14:textId="67AEF5A3" w:rsidR="00E20B95" w:rsidRDefault="00000000" w:rsidP="00932D60">
      <w:pPr>
        <w:spacing w:before="60" w:after="100"/>
      </w:pPr>
      <w:r>
        <w:t>Begin by normalising the diversity of sexual identity and behaviour. These terms are frequently confused, but the clinical distinction matters.</w:t>
      </w:r>
    </w:p>
    <w:tbl>
      <w:tblPr>
        <w:tblW w:w="9360" w:type="dxa"/>
        <w:tblBorders>
          <w:top w:val="single" w:sz="4" w:space="0" w:color="1B3A6B"/>
          <w:left w:val="single" w:sz="4" w:space="0" w:color="1B3A6B"/>
          <w:bottom w:val="single" w:sz="4" w:space="0" w:color="1B3A6B"/>
          <w:right w:val="single" w:sz="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E20B95" w14:paraId="0A382B89" w14:textId="77777777">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3685200B" w14:textId="77777777" w:rsidR="00E20B95" w:rsidRDefault="00000000">
            <w:r>
              <w:rPr>
                <w:rFonts w:ascii="Cambria" w:eastAsia="Cambria" w:hAnsi="Cambria" w:cs="Cambria"/>
                <w:b/>
                <w:bCs/>
                <w:color w:val="FFFFFF"/>
              </w:rPr>
              <w:t>Term</w:t>
            </w:r>
          </w:p>
        </w:tc>
        <w:tc>
          <w:tcPr>
            <w:tcW w:w="67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2C2B0A55" w14:textId="77777777" w:rsidR="00E20B95" w:rsidRDefault="00000000">
            <w:r>
              <w:rPr>
                <w:rFonts w:ascii="Cambria" w:eastAsia="Cambria" w:hAnsi="Cambria" w:cs="Cambria"/>
                <w:b/>
                <w:bCs/>
                <w:color w:val="FFFFFF"/>
              </w:rPr>
              <w:t>Definition and Clinical Relevance</w:t>
            </w:r>
          </w:p>
        </w:tc>
      </w:tr>
      <w:tr w:rsidR="00E20B95" w14:paraId="10C6F383" w14:textId="77777777">
        <w:tc>
          <w:tcPr>
            <w:tcW w:w="26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27EAD347" w14:textId="77777777" w:rsidR="00E20B95" w:rsidRDefault="00000000">
            <w:r>
              <w:rPr>
                <w:rFonts w:ascii="Cambria" w:eastAsia="Cambria" w:hAnsi="Cambria" w:cs="Cambria"/>
                <w:b/>
                <w:bCs/>
                <w:color w:val="1B3A6B"/>
                <w:sz w:val="21"/>
                <w:szCs w:val="21"/>
              </w:rPr>
              <w:t>Gay</w:t>
            </w:r>
          </w:p>
        </w:tc>
        <w:tc>
          <w:tcPr>
            <w:tcW w:w="67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6B82095" w14:textId="7BDEBE0F" w:rsidR="00E20B95" w:rsidRDefault="00694FCD">
            <w:r>
              <w:rPr>
                <w:sz w:val="21"/>
                <w:szCs w:val="21"/>
              </w:rPr>
              <w:t>Most people think of a gay man as someone sexually attracted to the same sex.  But it is more than that!   There are two parts – yes</w:t>
            </w:r>
            <w:r w:rsidR="00955106">
              <w:rPr>
                <w:sz w:val="21"/>
                <w:szCs w:val="21"/>
              </w:rPr>
              <w:t>,</w:t>
            </w:r>
            <w:r>
              <w:rPr>
                <w:sz w:val="21"/>
                <w:szCs w:val="21"/>
              </w:rPr>
              <w:t xml:space="preserve"> one is the sexual attraction, but the second part is also having an emotional attraction for other men.      In other words, a gay man has a sexual orientation towards another man but also if they were to get into a relationship (i.e. the emotional side), that too would be orientated towards a man.    </w:t>
            </w:r>
            <w:r w:rsidR="00955106">
              <w:rPr>
                <w:sz w:val="21"/>
                <w:szCs w:val="21"/>
              </w:rPr>
              <w:t>So, a gay man is</w:t>
            </w:r>
            <w:r>
              <w:rPr>
                <w:sz w:val="21"/>
                <w:szCs w:val="21"/>
              </w:rPr>
              <w:t xml:space="preserve"> a man with both sexual </w:t>
            </w:r>
            <w:r w:rsidR="00955106">
              <w:rPr>
                <w:sz w:val="21"/>
                <w:szCs w:val="21"/>
              </w:rPr>
              <w:t>AND</w:t>
            </w:r>
            <w:r>
              <w:rPr>
                <w:sz w:val="21"/>
                <w:szCs w:val="21"/>
              </w:rPr>
              <w:t xml:space="preserve"> emotional </w:t>
            </w:r>
            <w:r w:rsidR="00955106">
              <w:rPr>
                <w:sz w:val="21"/>
                <w:szCs w:val="21"/>
              </w:rPr>
              <w:t xml:space="preserve">attraction </w:t>
            </w:r>
            <w:r>
              <w:rPr>
                <w:sz w:val="21"/>
                <w:szCs w:val="21"/>
              </w:rPr>
              <w:t>to other men. Identity and behaviour align.</w:t>
            </w:r>
            <w:r w:rsidR="00955106">
              <w:rPr>
                <w:sz w:val="21"/>
                <w:szCs w:val="21"/>
              </w:rPr>
              <w:t xml:space="preserve">   This emotion + sexual attraction make other sexual orientations easier to define.   </w:t>
            </w:r>
          </w:p>
        </w:tc>
      </w:tr>
      <w:tr w:rsidR="00955106" w14:paraId="2A0B580B" w14:textId="77777777">
        <w:tc>
          <w:tcPr>
            <w:tcW w:w="26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419E1113" w14:textId="51221A5F" w:rsidR="00955106" w:rsidRDefault="00955106" w:rsidP="00955106">
            <w:pPr>
              <w:rPr>
                <w:rFonts w:ascii="Cambria" w:eastAsia="Cambria" w:hAnsi="Cambria" w:cs="Cambria"/>
                <w:b/>
                <w:bCs/>
                <w:color w:val="1B3A6B"/>
                <w:sz w:val="21"/>
                <w:szCs w:val="21"/>
              </w:rPr>
            </w:pPr>
            <w:r>
              <w:rPr>
                <w:rFonts w:ascii="Cambria" w:eastAsia="Cambria" w:hAnsi="Cambria" w:cs="Cambria"/>
                <w:b/>
                <w:bCs/>
                <w:color w:val="1B3A6B"/>
                <w:sz w:val="21"/>
                <w:szCs w:val="21"/>
              </w:rPr>
              <w:t>Heterosexual man</w:t>
            </w:r>
          </w:p>
        </w:tc>
        <w:tc>
          <w:tcPr>
            <w:tcW w:w="67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6801D9BF" w14:textId="5C5FEB7D" w:rsidR="00955106" w:rsidRDefault="00955106">
            <w:pPr>
              <w:rPr>
                <w:sz w:val="21"/>
                <w:szCs w:val="21"/>
              </w:rPr>
            </w:pPr>
            <w:proofErr w:type="gramStart"/>
            <w:r>
              <w:rPr>
                <w:sz w:val="21"/>
                <w:szCs w:val="21"/>
              </w:rPr>
              <w:t>So</w:t>
            </w:r>
            <w:proofErr w:type="gramEnd"/>
            <w:r>
              <w:rPr>
                <w:sz w:val="21"/>
                <w:szCs w:val="21"/>
              </w:rPr>
              <w:t xml:space="preserve"> a heterosexual man, by this definition, is a man who has a sexual and emotional orientation towards women.  In other words, if they were to have sex, it would be with a woman, </w:t>
            </w:r>
            <w:proofErr w:type="gramStart"/>
            <w:r>
              <w:rPr>
                <w:sz w:val="21"/>
                <w:szCs w:val="21"/>
              </w:rPr>
              <w:t>AND  if</w:t>
            </w:r>
            <w:proofErr w:type="gramEnd"/>
            <w:r>
              <w:rPr>
                <w:sz w:val="21"/>
                <w:szCs w:val="21"/>
              </w:rPr>
              <w:t xml:space="preserve"> they were to get in a relationship, it would also be with a woman.  </w:t>
            </w:r>
          </w:p>
        </w:tc>
      </w:tr>
      <w:tr w:rsidR="00E20B95" w14:paraId="52B9F707" w14:textId="77777777">
        <w:tc>
          <w:tcPr>
            <w:tcW w:w="26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3B7893F9" w14:textId="77777777" w:rsidR="00E20B95" w:rsidRDefault="00000000">
            <w:r>
              <w:rPr>
                <w:rFonts w:ascii="Cambria" w:eastAsia="Cambria" w:hAnsi="Cambria" w:cs="Cambria"/>
                <w:b/>
                <w:bCs/>
                <w:color w:val="1B3A6B"/>
                <w:sz w:val="21"/>
                <w:szCs w:val="21"/>
              </w:rPr>
              <w:t>Bisexual</w:t>
            </w:r>
          </w:p>
        </w:tc>
        <w:tc>
          <w:tcPr>
            <w:tcW w:w="67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1BD197D1" w14:textId="218C83AD" w:rsidR="00E20B95" w:rsidRDefault="00955106">
            <w:proofErr w:type="gramStart"/>
            <w:r>
              <w:rPr>
                <w:sz w:val="21"/>
                <w:szCs w:val="21"/>
              </w:rPr>
              <w:t>So</w:t>
            </w:r>
            <w:proofErr w:type="gramEnd"/>
            <w:r>
              <w:rPr>
                <w:sz w:val="21"/>
                <w:szCs w:val="21"/>
              </w:rPr>
              <w:t xml:space="preserve"> a bisexual person, is a person who has a sexual and emotional orientation towards either men or women. Bisexual men are not men who have a sexual orientation towards both men and women but only settle in a relationship with women.   They could settle with men too (but often settle with women more because </w:t>
            </w:r>
            <w:proofErr w:type="gramStart"/>
            <w:r>
              <w:rPr>
                <w:sz w:val="21"/>
                <w:szCs w:val="21"/>
              </w:rPr>
              <w:t>its</w:t>
            </w:r>
            <w:proofErr w:type="gramEnd"/>
            <w:r>
              <w:rPr>
                <w:sz w:val="21"/>
                <w:szCs w:val="21"/>
              </w:rPr>
              <w:t xml:space="preserve"> easier to live that way within the narrow mindedness of our societies).</w:t>
            </w:r>
          </w:p>
        </w:tc>
      </w:tr>
      <w:tr w:rsidR="00E20B95" w14:paraId="580AB2D9" w14:textId="77777777">
        <w:tc>
          <w:tcPr>
            <w:tcW w:w="26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4346BA09" w14:textId="77777777" w:rsidR="00E20B95" w:rsidRDefault="00000000">
            <w:r>
              <w:rPr>
                <w:rFonts w:ascii="Cambria" w:eastAsia="Cambria" w:hAnsi="Cambria" w:cs="Cambria"/>
                <w:b/>
                <w:bCs/>
                <w:color w:val="1B3A6B"/>
                <w:sz w:val="21"/>
                <w:szCs w:val="21"/>
              </w:rPr>
              <w:t>Men who have sex with men (MSM)</w:t>
            </w:r>
          </w:p>
        </w:tc>
        <w:tc>
          <w:tcPr>
            <w:tcW w:w="67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0B5BB3BB" w14:textId="5ADB98EC" w:rsidR="00E20B95" w:rsidRDefault="00000000">
            <w:r>
              <w:rPr>
                <w:sz w:val="21"/>
                <w:szCs w:val="21"/>
              </w:rPr>
              <w:t xml:space="preserve">A behavioural term, not an identity. Includes gay and bisexual men, </w:t>
            </w:r>
            <w:proofErr w:type="gramStart"/>
            <w:r>
              <w:rPr>
                <w:sz w:val="21"/>
                <w:szCs w:val="21"/>
              </w:rPr>
              <w:t>and also</w:t>
            </w:r>
            <w:proofErr w:type="gramEnd"/>
            <w:r>
              <w:rPr>
                <w:sz w:val="21"/>
                <w:szCs w:val="21"/>
              </w:rPr>
              <w:t xml:space="preserve"> men who have sex with men but identify as heterosexual</w:t>
            </w:r>
            <w:r w:rsidR="00955106">
              <w:rPr>
                <w:sz w:val="21"/>
                <w:szCs w:val="21"/>
              </w:rPr>
              <w:t xml:space="preserve"> (see below)</w:t>
            </w:r>
            <w:r>
              <w:rPr>
                <w:sz w:val="21"/>
                <w:szCs w:val="21"/>
              </w:rPr>
              <w:t>. This group may not volunteer their same-sex behaviour — which is why direct, sensitive questioning matters in practice.</w:t>
            </w:r>
          </w:p>
        </w:tc>
      </w:tr>
      <w:tr w:rsidR="00E20B95" w14:paraId="224B50F4" w14:textId="77777777">
        <w:tc>
          <w:tcPr>
            <w:tcW w:w="26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2D7C053A" w14:textId="77777777" w:rsidR="00E20B95" w:rsidRDefault="00000000">
            <w:r>
              <w:rPr>
                <w:rFonts w:ascii="Cambria" w:eastAsia="Cambria" w:hAnsi="Cambria" w:cs="Cambria"/>
                <w:b/>
                <w:bCs/>
                <w:color w:val="1B3A6B"/>
                <w:sz w:val="21"/>
                <w:szCs w:val="21"/>
              </w:rPr>
              <w:t>Heterosexual-identifying MSM</w:t>
            </w:r>
          </w:p>
        </w:tc>
        <w:tc>
          <w:tcPr>
            <w:tcW w:w="67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09E1461C" w14:textId="5CBEF4A1" w:rsidR="00E20B95" w:rsidRDefault="00000000">
            <w:r>
              <w:rPr>
                <w:sz w:val="21"/>
                <w:szCs w:val="21"/>
              </w:rPr>
              <w:t xml:space="preserve">Some men have sex with other men but </w:t>
            </w:r>
            <w:r w:rsidR="00955106">
              <w:rPr>
                <w:sz w:val="21"/>
                <w:szCs w:val="21"/>
              </w:rPr>
              <w:t xml:space="preserve">genuinely have a strong belief in their </w:t>
            </w:r>
            <w:r>
              <w:rPr>
                <w:sz w:val="21"/>
                <w:szCs w:val="21"/>
              </w:rPr>
              <w:t xml:space="preserve">heterosexual identity. They may have female partners. </w:t>
            </w:r>
            <w:r w:rsidR="00955106">
              <w:rPr>
                <w:sz w:val="21"/>
                <w:szCs w:val="21"/>
              </w:rPr>
              <w:t xml:space="preserve">   They like sex with either men or </w:t>
            </w:r>
            <w:proofErr w:type="gramStart"/>
            <w:r w:rsidR="00955106">
              <w:rPr>
                <w:sz w:val="21"/>
                <w:szCs w:val="21"/>
              </w:rPr>
              <w:t>women, but</w:t>
            </w:r>
            <w:proofErr w:type="gramEnd"/>
            <w:r w:rsidR="00955106">
              <w:rPr>
                <w:sz w:val="21"/>
                <w:szCs w:val="21"/>
              </w:rPr>
              <w:t xml:space="preserve"> can only see themselves being in a relationship with and making love to a woman.  It would be wrong to call them gay, gay in denial or bisexual.   They are a unique group of their own.  </w:t>
            </w:r>
            <w:r>
              <w:rPr>
                <w:sz w:val="21"/>
                <w:szCs w:val="21"/>
              </w:rPr>
              <w:t>They are less likely to attend sexual health services and may be a hidden at-risk group.</w:t>
            </w:r>
          </w:p>
        </w:tc>
      </w:tr>
    </w:tbl>
    <w:p w14:paraId="27780DE6" w14:textId="77777777" w:rsidR="00E20B95" w:rsidRDefault="00E20B95">
      <w:pPr>
        <w:pBdr>
          <w:bottom w:val="single" w:sz="4" w:space="0" w:color="D0D5DE"/>
        </w:pBdr>
        <w:spacing w:before="120" w:after="120"/>
      </w:pPr>
    </w:p>
    <w:p w14:paraId="43B9F2CB" w14:textId="77777777" w:rsidR="00E20B95" w:rsidRDefault="00000000">
      <w:pPr>
        <w:pStyle w:val="Heading2"/>
      </w:pPr>
      <w:proofErr w:type="gramStart"/>
      <w:r>
        <w:lastRenderedPageBreak/>
        <w:t>1.3  Access</w:t>
      </w:r>
      <w:proofErr w:type="gramEnd"/>
      <w:r>
        <w:t xml:space="preserve"> to Healthcare — Why MSM Often Stay Away</w:t>
      </w: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46F5" w14:paraId="5A3599C4" w14:textId="77777777" w:rsidTr="00644105">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11967209" w14:textId="77777777" w:rsidR="008C46F5" w:rsidRDefault="008C46F5" w:rsidP="00644105">
            <w:pPr>
              <w:spacing w:after="60"/>
            </w:pPr>
            <w:r>
              <w:rPr>
                <w:rFonts w:ascii="Cambria" w:eastAsia="Cambria" w:hAnsi="Cambria" w:cs="Cambria"/>
                <w:b/>
                <w:bCs/>
                <w:caps/>
                <w:color w:val="E8892A"/>
                <w:sz w:val="20"/>
                <w:szCs w:val="20"/>
              </w:rPr>
              <w:t>Facilitator Activity</w:t>
            </w:r>
          </w:p>
          <w:p w14:paraId="75FBDC0B" w14:textId="1E498EEB" w:rsidR="008C46F5" w:rsidRDefault="008C46F5" w:rsidP="008C46F5">
            <w:r w:rsidRPr="003A1C78">
              <w:rPr>
                <w:rFonts w:ascii="Trebuchet MS" w:hAnsi="Trebuchet MS"/>
                <w:sz w:val="18"/>
                <w:szCs w:val="18"/>
              </w:rPr>
              <w:t xml:space="preserve">Discuss </w:t>
            </w:r>
            <w:r>
              <w:rPr>
                <w:rFonts w:ascii="Trebuchet MS" w:hAnsi="Trebuchet MS"/>
                <w:sz w:val="18"/>
                <w:szCs w:val="18"/>
              </w:rPr>
              <w:t>the possible reasons why MSM men stay away from health services and may be the highest of risk of sexual diseases and spreaders…</w:t>
            </w:r>
          </w:p>
        </w:tc>
      </w:tr>
    </w:tbl>
    <w:p w14:paraId="4FA41F1A" w14:textId="77777777" w:rsidR="00E20B95" w:rsidRDefault="00000000">
      <w:pPr>
        <w:spacing w:before="60" w:after="100"/>
      </w:pPr>
      <w:r>
        <w:t>Men in general consult their GP less than women. MSM consult even less. Understanding why is the first step to reducing barriers.</w:t>
      </w:r>
    </w:p>
    <w:p w14:paraId="6649FB9D" w14:textId="77777777" w:rsidR="00E20B95" w:rsidRDefault="00E20B95">
      <w:pPr>
        <w:spacing w:after="80"/>
      </w:pPr>
    </w:p>
    <w:tbl>
      <w:tblPr>
        <w:tblW w:w="9360" w:type="dxa"/>
        <w:tblBorders>
          <w:top w:val="single" w:sz="4" w:space="0" w:color="3A7D5E"/>
          <w:left w:val="single" w:sz="12" w:space="0" w:color="3A7D5E"/>
          <w:bottom w:val="single" w:sz="4" w:space="0" w:color="3A7D5E"/>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5E98E853" w14:textId="77777777">
        <w:tc>
          <w:tcPr>
            <w:tcW w:w="9360" w:type="dxa"/>
            <w:tcBorders>
              <w:top w:val="single" w:sz="4" w:space="0" w:color="3A7D5E"/>
              <w:left w:val="single" w:sz="12" w:space="0" w:color="3A7D5E"/>
              <w:bottom w:val="single" w:sz="4" w:space="0" w:color="3A7D5E"/>
              <w:right w:val="none" w:sz="0" w:space="0" w:color="FFFFFF"/>
            </w:tcBorders>
            <w:shd w:val="clear" w:color="auto" w:fill="E2F0EC"/>
            <w:tcMar>
              <w:top w:w="160" w:type="dxa"/>
              <w:left w:w="240" w:type="dxa"/>
              <w:bottom w:w="160" w:type="dxa"/>
              <w:right w:w="200" w:type="dxa"/>
            </w:tcMar>
          </w:tcPr>
          <w:p w14:paraId="3F46A7B4" w14:textId="77777777" w:rsidR="00E20B95" w:rsidRDefault="00000000">
            <w:pPr>
              <w:spacing w:after="60"/>
            </w:pPr>
            <w:r>
              <w:rPr>
                <w:rFonts w:ascii="Cambria" w:eastAsia="Cambria" w:hAnsi="Cambria" w:cs="Cambria"/>
                <w:b/>
                <w:bCs/>
                <w:caps/>
                <w:color w:val="3A7D5E"/>
                <w:sz w:val="20"/>
                <w:szCs w:val="20"/>
              </w:rPr>
              <w:t>Reasons MSM May Avoid Primary Care</w:t>
            </w:r>
          </w:p>
          <w:p w14:paraId="149C6CED" w14:textId="77777777" w:rsidR="00E20B95" w:rsidRDefault="00000000">
            <w:pPr>
              <w:pStyle w:val="ListParagraph"/>
              <w:numPr>
                <w:ilvl w:val="0"/>
                <w:numId w:val="3"/>
              </w:numPr>
              <w:spacing w:before="30" w:after="40"/>
            </w:pPr>
            <w:r>
              <w:rPr>
                <w:sz w:val="21"/>
                <w:szCs w:val="21"/>
              </w:rPr>
              <w:t>Fear of a judgemental or hostile response from staff</w:t>
            </w:r>
          </w:p>
          <w:p w14:paraId="500B6CFB" w14:textId="77777777" w:rsidR="00E20B95" w:rsidRDefault="00000000">
            <w:pPr>
              <w:pStyle w:val="ListParagraph"/>
              <w:numPr>
                <w:ilvl w:val="0"/>
                <w:numId w:val="3"/>
              </w:numPr>
              <w:spacing w:before="30" w:after="40"/>
            </w:pPr>
            <w:r>
              <w:rPr>
                <w:sz w:val="21"/>
                <w:szCs w:val="21"/>
              </w:rPr>
              <w:t>Concern about confidentiality — particularly regarding employers, insurers, or family members</w:t>
            </w:r>
          </w:p>
          <w:p w14:paraId="6160AB74" w14:textId="77777777" w:rsidR="00E20B95" w:rsidRDefault="00000000">
            <w:pPr>
              <w:pStyle w:val="ListParagraph"/>
              <w:numPr>
                <w:ilvl w:val="0"/>
                <w:numId w:val="3"/>
              </w:numPr>
              <w:spacing w:before="30" w:after="40"/>
            </w:pPr>
            <w:r>
              <w:rPr>
                <w:sz w:val="21"/>
                <w:szCs w:val="21"/>
              </w:rPr>
              <w:t>Worry about how sexual orientation will be recorded in their notes</w:t>
            </w:r>
          </w:p>
          <w:p w14:paraId="549E6BEA" w14:textId="77777777" w:rsidR="00E20B95" w:rsidRDefault="00000000">
            <w:pPr>
              <w:pStyle w:val="ListParagraph"/>
              <w:numPr>
                <w:ilvl w:val="0"/>
                <w:numId w:val="3"/>
              </w:numPr>
              <w:spacing w:before="30" w:after="40"/>
            </w:pPr>
            <w:r>
              <w:rPr>
                <w:sz w:val="21"/>
                <w:szCs w:val="21"/>
              </w:rPr>
              <w:t>Prior negative experience — being 'outed' by a GP, inappropriate questions, or dismissive attitudes</w:t>
            </w:r>
          </w:p>
          <w:p w14:paraId="5C9EC3A0" w14:textId="77777777" w:rsidR="00E20B95" w:rsidRDefault="00000000">
            <w:pPr>
              <w:pStyle w:val="ListParagraph"/>
              <w:numPr>
                <w:ilvl w:val="0"/>
                <w:numId w:val="3"/>
              </w:numPr>
              <w:spacing w:before="30" w:after="40"/>
            </w:pPr>
            <w:r>
              <w:rPr>
                <w:sz w:val="21"/>
                <w:szCs w:val="21"/>
              </w:rPr>
              <w:t>Fatigue from having to educate healthcare professionals about their own lives</w:t>
            </w:r>
          </w:p>
          <w:p w14:paraId="51C3C63D" w14:textId="77777777" w:rsidR="00E20B95" w:rsidRDefault="00000000">
            <w:pPr>
              <w:pStyle w:val="ListParagraph"/>
              <w:numPr>
                <w:ilvl w:val="0"/>
                <w:numId w:val="3"/>
              </w:numPr>
              <w:spacing w:before="30" w:after="40"/>
            </w:pPr>
            <w:r>
              <w:rPr>
                <w:sz w:val="21"/>
                <w:szCs w:val="21"/>
              </w:rPr>
              <w:t>Assumption that their GP will focus only on HIV</w:t>
            </w:r>
          </w:p>
        </w:tc>
      </w:tr>
    </w:tbl>
    <w:p w14:paraId="2B15B403" w14:textId="77777777" w:rsidR="00E20B95" w:rsidRDefault="00E20B95">
      <w:pPr>
        <w:spacing w:after="80"/>
      </w:pPr>
    </w:p>
    <w:p w14:paraId="7AA7943A" w14:textId="77777777" w:rsidR="00E20B95" w:rsidRDefault="00000000">
      <w:pPr>
        <w:spacing w:before="60" w:after="100"/>
      </w:pPr>
      <w:r>
        <w:t>Paradoxically, research shows that MSM respond positively to GPs who openly acknowledge gaps in their knowledge and express a genuine willingness to learn. Honesty and humility go a long way.</w:t>
      </w:r>
    </w:p>
    <w:p w14:paraId="09EE7DAB" w14:textId="77777777" w:rsidR="00E20B95" w:rsidRDefault="00E20B95">
      <w:pPr>
        <w:spacing w:after="160"/>
      </w:pPr>
    </w:p>
    <w:p w14:paraId="1D57C1B2" w14:textId="77777777" w:rsidR="00E20B95" w:rsidRDefault="00E20B95">
      <w:pPr>
        <w:pBdr>
          <w:bottom w:val="single" w:sz="4" w:space="0" w:color="D0D5DE"/>
        </w:pBdr>
        <w:spacing w:before="120" w:after="120"/>
      </w:pPr>
    </w:p>
    <w:p w14:paraId="23856CDD" w14:textId="77777777" w:rsidR="008C46F5" w:rsidRDefault="008C46F5">
      <w:pPr>
        <w:rPr>
          <w:rFonts w:ascii="Cambria" w:eastAsia="Cambria" w:hAnsi="Cambria" w:cs="Cambria"/>
          <w:b/>
          <w:bCs/>
          <w:color w:val="1E7F8E"/>
          <w:sz w:val="32"/>
          <w:szCs w:val="32"/>
        </w:rPr>
      </w:pPr>
      <w:r>
        <w:br w:type="page"/>
      </w:r>
    </w:p>
    <w:p w14:paraId="4AAE8276" w14:textId="06FC98FA" w:rsidR="00E20B95" w:rsidRDefault="00000000">
      <w:pPr>
        <w:pStyle w:val="Heading2"/>
      </w:pPr>
      <w:proofErr w:type="gramStart"/>
      <w:r>
        <w:lastRenderedPageBreak/>
        <w:t>1.4  Facts</w:t>
      </w:r>
      <w:proofErr w:type="gramEnd"/>
      <w:r>
        <w:t xml:space="preserve"> and Figures</w:t>
      </w: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5C300BB3" w14:textId="77777777">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23CFB692" w14:textId="77777777" w:rsidR="00E20B95" w:rsidRDefault="00000000">
            <w:pPr>
              <w:spacing w:after="60"/>
            </w:pPr>
            <w:r>
              <w:rPr>
                <w:rFonts w:ascii="Cambria" w:eastAsia="Cambria" w:hAnsi="Cambria" w:cs="Cambria"/>
                <w:b/>
                <w:bCs/>
                <w:caps/>
                <w:color w:val="E8892A"/>
                <w:sz w:val="20"/>
                <w:szCs w:val="20"/>
              </w:rPr>
              <w:t>Facilitator Activity</w:t>
            </w:r>
          </w:p>
          <w:p w14:paraId="729BC060" w14:textId="77777777" w:rsidR="00E20B95" w:rsidRDefault="00000000">
            <w:pPr>
              <w:spacing w:after="40"/>
            </w:pPr>
            <w:r>
              <w:rPr>
                <w:sz w:val="21"/>
                <w:szCs w:val="21"/>
              </w:rPr>
              <w:t>Use a flip chart or whiteboard. Draw a blank pie chart. Ask the group to estimate proportions for each question below before revealing the answers.</w:t>
            </w:r>
          </w:p>
        </w:tc>
      </w:tr>
    </w:tbl>
    <w:p w14:paraId="3A3DB05D" w14:textId="77777777" w:rsidR="00E20B95" w:rsidRDefault="00E20B95">
      <w:pPr>
        <w:spacing w:after="80"/>
      </w:pPr>
    </w:p>
    <w:tbl>
      <w:tblPr>
        <w:tblW w:w="9360" w:type="dxa"/>
        <w:tblBorders>
          <w:top w:val="single" w:sz="4" w:space="0" w:color="1B3A6B"/>
          <w:left w:val="single" w:sz="4" w:space="0" w:color="1B3A6B"/>
          <w:bottom w:val="single" w:sz="4" w:space="0" w:color="1B3A6B"/>
          <w:right w:val="single" w:sz="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20B95" w14:paraId="7D83D32C" w14:textId="77777777">
        <w:tc>
          <w:tcPr>
            <w:tcW w:w="4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6BA3AD8F" w14:textId="77777777" w:rsidR="00E20B95" w:rsidRDefault="00000000">
            <w:r>
              <w:rPr>
                <w:rFonts w:ascii="Cambria" w:eastAsia="Cambria" w:hAnsi="Cambria" w:cs="Cambria"/>
                <w:b/>
                <w:bCs/>
                <w:color w:val="FFFFFF"/>
              </w:rPr>
              <w:t>Question</w:t>
            </w:r>
          </w:p>
        </w:tc>
        <w:tc>
          <w:tcPr>
            <w:tcW w:w="4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0146359F" w14:textId="77777777" w:rsidR="00E20B95" w:rsidRDefault="00000000">
            <w:r>
              <w:rPr>
                <w:rFonts w:ascii="Cambria" w:eastAsia="Cambria" w:hAnsi="Cambria" w:cs="Cambria"/>
                <w:b/>
                <w:bCs/>
                <w:color w:val="FFFFFF"/>
              </w:rPr>
              <w:t>Answer</w:t>
            </w:r>
          </w:p>
        </w:tc>
      </w:tr>
      <w:tr w:rsidR="00E20B95" w14:paraId="07B7367C" w14:textId="77777777">
        <w:tc>
          <w:tcPr>
            <w:tcW w:w="468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45494AF4" w14:textId="77777777" w:rsidR="00E20B95" w:rsidRDefault="00000000">
            <w:r>
              <w:rPr>
                <w:color w:val="1B3A6B"/>
                <w:sz w:val="21"/>
                <w:szCs w:val="21"/>
              </w:rPr>
              <w:t>What proportion of men in the UK have sex with other men?</w:t>
            </w:r>
          </w:p>
        </w:tc>
        <w:tc>
          <w:tcPr>
            <w:tcW w:w="46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27CD3D59" w14:textId="77777777" w:rsidR="00E20B95" w:rsidRDefault="00000000">
            <w:r>
              <w:rPr>
                <w:sz w:val="21"/>
                <w:szCs w:val="21"/>
              </w:rPr>
              <w:t>Approximately 3–6%, though this is difficult to measure accurately — many men do not disclose same-sex behaviour.</w:t>
            </w:r>
          </w:p>
        </w:tc>
      </w:tr>
      <w:tr w:rsidR="00E20B95" w14:paraId="52AB4B94" w14:textId="77777777">
        <w:tc>
          <w:tcPr>
            <w:tcW w:w="46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1AB1DA89" w14:textId="77777777" w:rsidR="00E20B95" w:rsidRDefault="00000000">
            <w:r>
              <w:rPr>
                <w:color w:val="1B3A6B"/>
                <w:sz w:val="21"/>
                <w:szCs w:val="21"/>
              </w:rPr>
              <w:t>Of MSM, what proportion also have regular female partners?</w:t>
            </w:r>
          </w:p>
        </w:tc>
        <w:tc>
          <w:tcPr>
            <w:tcW w:w="46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3419890B" w14:textId="77777777" w:rsidR="00E20B95" w:rsidRDefault="00000000">
            <w:r>
              <w:rPr>
                <w:sz w:val="21"/>
                <w:szCs w:val="21"/>
              </w:rPr>
              <w:t>Around 30% — reinforcing why sexual history cannot be taken for granted.</w:t>
            </w:r>
          </w:p>
        </w:tc>
      </w:tr>
      <w:tr w:rsidR="00E20B95" w14:paraId="2E82F608" w14:textId="77777777">
        <w:tc>
          <w:tcPr>
            <w:tcW w:w="468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107F4BC7" w14:textId="77777777" w:rsidR="00E20B95" w:rsidRDefault="00000000">
            <w:r>
              <w:rPr>
                <w:color w:val="1B3A6B"/>
                <w:sz w:val="21"/>
                <w:szCs w:val="21"/>
              </w:rPr>
              <w:t>How many people in the UK are currently living with HIV?</w:t>
            </w:r>
          </w:p>
        </w:tc>
        <w:tc>
          <w:tcPr>
            <w:tcW w:w="46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E8AD10E" w14:textId="77777777" w:rsidR="00E20B95" w:rsidRDefault="00000000">
            <w:r>
              <w:rPr>
                <w:sz w:val="21"/>
                <w:szCs w:val="21"/>
              </w:rPr>
              <w:t>Over 111,800 people (UKHSA 2024). Of these, approximately 5,200 remain undiagnosed.</w:t>
            </w:r>
          </w:p>
        </w:tc>
      </w:tr>
      <w:tr w:rsidR="00E20B95" w14:paraId="538102FA" w14:textId="77777777">
        <w:tc>
          <w:tcPr>
            <w:tcW w:w="46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712552C4" w14:textId="77777777" w:rsidR="00E20B95" w:rsidRDefault="00000000">
            <w:r>
              <w:rPr>
                <w:color w:val="1B3A6B"/>
                <w:sz w:val="21"/>
                <w:szCs w:val="21"/>
              </w:rPr>
              <w:t>How many new HIV diagnoses were recorded in the UK in 2024?</w:t>
            </w:r>
          </w:p>
        </w:tc>
        <w:tc>
          <w:tcPr>
            <w:tcW w:w="46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3FE51C71" w14:textId="77777777" w:rsidR="00E20B95" w:rsidRDefault="00000000">
            <w:r>
              <w:rPr>
                <w:sz w:val="21"/>
                <w:szCs w:val="21"/>
              </w:rPr>
              <w:t>3,043 new diagnoses in 2024 — a 4% decrease from 2023, though still far above elimination targets.</w:t>
            </w:r>
          </w:p>
        </w:tc>
      </w:tr>
    </w:tbl>
    <w:p w14:paraId="175C0831" w14:textId="77777777" w:rsidR="00E20B95" w:rsidRDefault="00E20B95">
      <w:pPr>
        <w:spacing w:after="160"/>
      </w:pPr>
    </w:p>
    <w:p w14:paraId="40B2EB56" w14:textId="77777777" w:rsidR="00E20B95" w:rsidRDefault="00000000">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61A73E7E" w14:textId="77777777">
        <w:tc>
          <w:tcPr>
            <w:tcW w:w="9360" w:type="dxa"/>
            <w:tcBorders>
              <w:top w:val="none" w:sz="0" w:space="0" w:color="FFFFFF"/>
              <w:left w:val="none" w:sz="0" w:space="0" w:color="FFFFFF"/>
              <w:bottom w:val="none" w:sz="0" w:space="0" w:color="FFFFFF"/>
              <w:right w:val="none" w:sz="0" w:space="0" w:color="FFFFFF"/>
            </w:tcBorders>
            <w:shd w:val="clear" w:color="auto" w:fill="1E7F8E"/>
            <w:tcMar>
              <w:top w:w="180" w:type="dxa"/>
              <w:left w:w="300" w:type="dxa"/>
              <w:bottom w:w="180" w:type="dxa"/>
              <w:right w:w="300" w:type="dxa"/>
            </w:tcMar>
          </w:tcPr>
          <w:p w14:paraId="2AFB0A2D" w14:textId="77777777" w:rsidR="00E20B95" w:rsidRDefault="00000000">
            <w:pPr>
              <w:spacing w:after="60"/>
            </w:pPr>
            <w:r>
              <w:rPr>
                <w:rFonts w:ascii="Cambria" w:eastAsia="Cambria" w:hAnsi="Cambria" w:cs="Cambria"/>
                <w:b/>
                <w:bCs/>
                <w:color w:val="FFFFFF"/>
                <w:sz w:val="36"/>
                <w:szCs w:val="36"/>
              </w:rPr>
              <w:lastRenderedPageBreak/>
              <w:t>Section 2: Clinical Teaching Content</w:t>
            </w:r>
          </w:p>
          <w:p w14:paraId="7BC22235" w14:textId="77777777" w:rsidR="00E20B95" w:rsidRDefault="00000000">
            <w:r>
              <w:rPr>
                <w:i/>
                <w:iCs/>
                <w:color w:val="CCE8EE"/>
                <w:sz w:val="20"/>
                <w:szCs w:val="20"/>
              </w:rPr>
              <w:t>STIs, prevention, vaccines and physical health</w:t>
            </w:r>
          </w:p>
        </w:tc>
      </w:tr>
    </w:tbl>
    <w:p w14:paraId="68154FB2" w14:textId="77777777" w:rsidR="00E20B95" w:rsidRDefault="00E20B95">
      <w:pPr>
        <w:spacing w:after="80"/>
      </w:pPr>
    </w:p>
    <w:p w14:paraId="149F5D66" w14:textId="77777777" w:rsidR="00E20B95" w:rsidRDefault="00000000">
      <w:pPr>
        <w:pStyle w:val="Heading2"/>
      </w:pPr>
      <w:proofErr w:type="gramStart"/>
      <w:r>
        <w:t>2.1  Types</w:t>
      </w:r>
      <w:proofErr w:type="gramEnd"/>
      <w:r>
        <w:t xml:space="preserve"> of Sexual Activity — Challenging Stereotypes</w:t>
      </w:r>
    </w:p>
    <w:p w14:paraId="40CEBD97" w14:textId="77777777" w:rsidR="00E20B95" w:rsidRDefault="00000000">
      <w:pPr>
        <w:spacing w:before="60" w:after="100"/>
      </w:pPr>
      <w:r>
        <w:t>A common clinical error is to assume that all MSM engage in anal intercourse, or that they always adopt a single role within it. This is inaccurate and clinically problematic — it can lead to missed swab sites and incomplete STI screening.</w:t>
      </w:r>
    </w:p>
    <w:p w14:paraId="564C11C9" w14:textId="77777777" w:rsidR="00E20B95" w:rsidRDefault="00E20B95">
      <w:pPr>
        <w:spacing w:after="80"/>
      </w:pP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05F0FFE8" w14:textId="77777777">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3F53343F" w14:textId="77777777" w:rsidR="00E20B95" w:rsidRDefault="00000000">
            <w:pPr>
              <w:spacing w:after="60"/>
            </w:pPr>
            <w:r>
              <w:rPr>
                <w:rFonts w:ascii="Cambria" w:eastAsia="Cambria" w:hAnsi="Cambria" w:cs="Cambria"/>
                <w:b/>
                <w:bCs/>
                <w:caps/>
                <w:color w:val="5B4A8A"/>
                <w:sz w:val="20"/>
                <w:szCs w:val="20"/>
              </w:rPr>
              <w:t>Group Discussion Activity</w:t>
            </w:r>
          </w:p>
          <w:p w14:paraId="760821C3" w14:textId="2A5F8175" w:rsidR="00E20B95" w:rsidRDefault="00000000">
            <w:pPr>
              <w:spacing w:after="40"/>
            </w:pPr>
            <w:r>
              <w:rPr>
                <w:sz w:val="21"/>
                <w:szCs w:val="21"/>
              </w:rPr>
              <w:t>Ask: 'What sexual practices do you think MSM might engage in?' Use a brief quiz-style exercise to explore assumptions.</w:t>
            </w:r>
            <w:r w:rsidR="008C46F5">
              <w:rPr>
                <w:sz w:val="21"/>
                <w:szCs w:val="21"/>
              </w:rPr>
              <w:br/>
              <w:t>Talk about “poppers” – amyl nitrate / isobutyl nitrate / pentyl nitrate</w:t>
            </w:r>
          </w:p>
          <w:p w14:paraId="31041D9E" w14:textId="77777777" w:rsidR="00E20B95" w:rsidRDefault="00000000">
            <w:pPr>
              <w:spacing w:after="40"/>
            </w:pPr>
            <w:r>
              <w:rPr>
                <w:sz w:val="21"/>
                <w:szCs w:val="21"/>
              </w:rPr>
              <w:t>Then invite reflection: 'How might incorrect assumptions affect the care you provide?'</w:t>
            </w:r>
          </w:p>
        </w:tc>
      </w:tr>
    </w:tbl>
    <w:p w14:paraId="09962207" w14:textId="77777777" w:rsidR="00E20B95" w:rsidRDefault="00E20B95">
      <w:pPr>
        <w:spacing w:after="80"/>
      </w:pPr>
    </w:p>
    <w:p w14:paraId="5FA4299A" w14:textId="77777777" w:rsidR="00E20B95" w:rsidRDefault="00000000">
      <w:pPr>
        <w:spacing w:before="60" w:after="100"/>
      </w:pPr>
      <w:r>
        <w:t>Sexual practices among MSM may include:</w:t>
      </w:r>
    </w:p>
    <w:p w14:paraId="37DCE897" w14:textId="77777777" w:rsidR="00E20B95" w:rsidRDefault="00000000">
      <w:pPr>
        <w:pStyle w:val="ListParagraph"/>
        <w:numPr>
          <w:ilvl w:val="0"/>
          <w:numId w:val="2"/>
        </w:numPr>
        <w:spacing w:before="40" w:after="60"/>
      </w:pPr>
      <w:r>
        <w:t>Oral sex (fellatio / cunnilingus)</w:t>
      </w:r>
    </w:p>
    <w:p w14:paraId="30D3B50F" w14:textId="77777777" w:rsidR="00E20B95" w:rsidRDefault="00000000">
      <w:pPr>
        <w:pStyle w:val="ListParagraph"/>
        <w:numPr>
          <w:ilvl w:val="0"/>
          <w:numId w:val="2"/>
        </w:numPr>
        <w:spacing w:before="40" w:after="60"/>
      </w:pPr>
      <w:r>
        <w:t>Anal intercourse (</w:t>
      </w:r>
      <w:proofErr w:type="spellStart"/>
      <w:r>
        <w:t>insertive</w:t>
      </w:r>
      <w:proofErr w:type="spellEnd"/>
      <w:r>
        <w:t xml:space="preserve"> and/or receptive)</w:t>
      </w:r>
    </w:p>
    <w:p w14:paraId="44D5CFE0" w14:textId="77777777" w:rsidR="00E20B95" w:rsidRDefault="00000000">
      <w:pPr>
        <w:pStyle w:val="ListParagraph"/>
        <w:numPr>
          <w:ilvl w:val="0"/>
          <w:numId w:val="2"/>
        </w:numPr>
        <w:spacing w:before="40" w:after="60"/>
      </w:pPr>
      <w:r>
        <w:t>Mutual masturbation</w:t>
      </w:r>
    </w:p>
    <w:p w14:paraId="59948C88" w14:textId="77777777" w:rsidR="00E20B95" w:rsidRDefault="00000000">
      <w:pPr>
        <w:pStyle w:val="ListParagraph"/>
        <w:numPr>
          <w:ilvl w:val="0"/>
          <w:numId w:val="2"/>
        </w:numPr>
        <w:spacing w:before="40" w:after="60"/>
      </w:pPr>
      <w:r>
        <w:t>Rimming (oral-anal contact) — relevant for hepatitis A and enteric infections</w:t>
      </w:r>
    </w:p>
    <w:p w14:paraId="32E0142D" w14:textId="77777777" w:rsidR="00E20B95" w:rsidRDefault="00000000">
      <w:pPr>
        <w:pStyle w:val="ListParagraph"/>
        <w:numPr>
          <w:ilvl w:val="0"/>
          <w:numId w:val="2"/>
        </w:numPr>
        <w:spacing w:before="40" w:after="60"/>
      </w:pPr>
      <w:r>
        <w:t>Fisting — relevant for rectal trauma and STI transmission risk</w:t>
      </w:r>
    </w:p>
    <w:p w14:paraId="5972C2DC" w14:textId="77777777" w:rsidR="00E20B95" w:rsidRDefault="00000000">
      <w:pPr>
        <w:pStyle w:val="ListParagraph"/>
        <w:numPr>
          <w:ilvl w:val="0"/>
          <w:numId w:val="2"/>
        </w:numPr>
        <w:spacing w:before="40" w:after="60"/>
      </w:pPr>
      <w:r>
        <w:t>Use of sex toys — shared use carries infection risk</w:t>
      </w:r>
    </w:p>
    <w:p w14:paraId="22AA5AD3" w14:textId="77777777" w:rsidR="00E20B95" w:rsidRDefault="00000000">
      <w:pPr>
        <w:pStyle w:val="ListParagraph"/>
        <w:numPr>
          <w:ilvl w:val="0"/>
          <w:numId w:val="2"/>
        </w:numPr>
        <w:spacing w:before="40" w:after="60"/>
      </w:pPr>
      <w:r>
        <w:t>Use of recreational drugs during sex ('</w:t>
      </w:r>
      <w:proofErr w:type="spellStart"/>
      <w:r>
        <w:t>chemsex</w:t>
      </w:r>
      <w:proofErr w:type="spellEnd"/>
      <w:r>
        <w:t>') — associated with increased STI risk and harm</w:t>
      </w:r>
    </w:p>
    <w:p w14:paraId="429D2921" w14:textId="6B8E8798" w:rsidR="008C46F5" w:rsidRDefault="008C46F5">
      <w:pPr>
        <w:pStyle w:val="ListParagraph"/>
        <w:numPr>
          <w:ilvl w:val="0"/>
          <w:numId w:val="2"/>
        </w:numPr>
        <w:spacing w:before="40" w:after="60"/>
      </w:pPr>
      <w:r>
        <w:t>Use of poppers</w:t>
      </w:r>
    </w:p>
    <w:p w14:paraId="7E4AA03D" w14:textId="77777777" w:rsidR="008C46F5" w:rsidRDefault="008C46F5" w:rsidP="008C46F5">
      <w:pPr>
        <w:spacing w:before="40" w:after="60"/>
      </w:pPr>
    </w:p>
    <w:p w14:paraId="6A793583" w14:textId="43658BC5" w:rsidR="008C46F5" w:rsidRDefault="008C46F5" w:rsidP="008C46F5">
      <w:pPr>
        <w:spacing w:before="40" w:after="60"/>
      </w:pPr>
      <w:r>
        <w:t xml:space="preserve">Don’t automatically assume all gay men just do anal sex.  Many don’t!   Don’t automatically assume in a gay couple that they automatically do anal sex and that one is the receiver and the other the giver.  They might not.  Or if they do, they might be versatile.  And don’t assume, in a gay couple, one is the “female” and the other the “male” – whilst it might look like that with many, there are many others who are simply both more masculine </w:t>
      </w:r>
      <w:proofErr w:type="gramStart"/>
      <w:r>
        <w:t>or</w:t>
      </w:r>
      <w:proofErr w:type="gramEnd"/>
      <w:r>
        <w:t xml:space="preserve"> others where both are feminine.  </w:t>
      </w:r>
    </w:p>
    <w:p w14:paraId="7C6B0F84" w14:textId="77777777" w:rsidR="00E20B95" w:rsidRDefault="00E20B95">
      <w:pPr>
        <w:spacing w:after="80"/>
      </w:pPr>
    </w:p>
    <w:tbl>
      <w:tblPr>
        <w:tblW w:w="9360" w:type="dxa"/>
        <w:tblBorders>
          <w:top w:val="single" w:sz="4" w:space="0" w:color="1E7F8E"/>
          <w:left w:val="single" w:sz="12" w:space="0" w:color="1E7F8E"/>
          <w:bottom w:val="single" w:sz="4" w:space="0" w:color="1E7F8E"/>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480676CE" w14:textId="77777777">
        <w:tc>
          <w:tcPr>
            <w:tcW w:w="9360" w:type="dxa"/>
            <w:tcBorders>
              <w:top w:val="single" w:sz="4" w:space="0" w:color="1E7F8E"/>
              <w:left w:val="single" w:sz="12" w:space="0" w:color="1E7F8E"/>
              <w:bottom w:val="single" w:sz="4" w:space="0" w:color="1E7F8E"/>
              <w:right w:val="none" w:sz="0" w:space="0" w:color="FFFFFF"/>
            </w:tcBorders>
            <w:shd w:val="clear" w:color="auto" w:fill="D6EEF2"/>
            <w:tcMar>
              <w:top w:w="160" w:type="dxa"/>
              <w:left w:w="240" w:type="dxa"/>
              <w:bottom w:w="160" w:type="dxa"/>
              <w:right w:w="200" w:type="dxa"/>
            </w:tcMar>
          </w:tcPr>
          <w:p w14:paraId="323F2401" w14:textId="77777777" w:rsidR="00E20B95" w:rsidRDefault="00000000">
            <w:pPr>
              <w:spacing w:after="60"/>
            </w:pPr>
            <w:r>
              <w:rPr>
                <w:rFonts w:ascii="Cambria" w:eastAsia="Cambria" w:hAnsi="Cambria" w:cs="Cambria"/>
                <w:b/>
                <w:bCs/>
                <w:caps/>
                <w:color w:val="1E7F8E"/>
                <w:sz w:val="20"/>
                <w:szCs w:val="20"/>
              </w:rPr>
              <w:t>Clinical Relevance</w:t>
            </w:r>
          </w:p>
          <w:p w14:paraId="3B550751" w14:textId="77777777" w:rsidR="00E20B95" w:rsidRDefault="00000000">
            <w:pPr>
              <w:spacing w:after="40"/>
            </w:pPr>
            <w:r>
              <w:rPr>
                <w:sz w:val="21"/>
                <w:szCs w:val="21"/>
              </w:rPr>
              <w:t>The anatomical site of infection matters. MSM who have receptive anal sex require pharyngeal AND rectal swabs in addition to urethral testing — these sites will be missed without an accurate and non-judgemental sexual history.</w:t>
            </w:r>
          </w:p>
        </w:tc>
      </w:tr>
    </w:tbl>
    <w:p w14:paraId="3B08A882" w14:textId="017F76E7" w:rsidR="008C46F5" w:rsidRDefault="008C46F5">
      <w:pPr>
        <w:spacing w:after="160"/>
      </w:pPr>
    </w:p>
    <w:p w14:paraId="12013192" w14:textId="77777777" w:rsidR="008C46F5" w:rsidRDefault="008C46F5">
      <w:r>
        <w:br w:type="page"/>
      </w:r>
    </w:p>
    <w:p w14:paraId="5911232E" w14:textId="77777777" w:rsidR="00E20B95" w:rsidRDefault="00E20B95">
      <w:pPr>
        <w:spacing w:after="160"/>
      </w:pPr>
    </w:p>
    <w:p w14:paraId="56355DBD" w14:textId="77777777" w:rsidR="00E20B95" w:rsidRDefault="00E20B95">
      <w:pPr>
        <w:pBdr>
          <w:bottom w:val="single" w:sz="4" w:space="0" w:color="D0D5DE"/>
        </w:pBdr>
        <w:spacing w:before="120" w:after="120"/>
      </w:pPr>
    </w:p>
    <w:p w14:paraId="585A05AF" w14:textId="77777777" w:rsidR="00E20B95" w:rsidRDefault="00000000">
      <w:pPr>
        <w:pStyle w:val="Heading2"/>
      </w:pPr>
      <w:proofErr w:type="gramStart"/>
      <w:r>
        <w:t>2.2  STI</w:t>
      </w:r>
      <w:proofErr w:type="gramEnd"/>
      <w:r>
        <w:t xml:space="preserve"> Screening for MSM</w:t>
      </w:r>
    </w:p>
    <w:p w14:paraId="4175D44A" w14:textId="77777777" w:rsidR="008C46F5" w:rsidRDefault="008C46F5" w:rsidP="008C46F5">
      <w:pPr>
        <w:spacing w:before="60" w:after="100"/>
      </w:pPr>
    </w:p>
    <w:p w14:paraId="605DF326" w14:textId="77777777" w:rsidR="008C46F5" w:rsidRDefault="008C46F5" w:rsidP="008C46F5">
      <w:pPr>
        <w:spacing w:after="80"/>
      </w:pP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46F5" w14:paraId="5AEDDDFC" w14:textId="77777777" w:rsidTr="00644105">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0F45D199" w14:textId="77777777" w:rsidR="008C46F5" w:rsidRDefault="008C46F5" w:rsidP="00644105">
            <w:pPr>
              <w:spacing w:after="60"/>
            </w:pPr>
            <w:r>
              <w:rPr>
                <w:rFonts w:ascii="Cambria" w:eastAsia="Cambria" w:hAnsi="Cambria" w:cs="Cambria"/>
                <w:b/>
                <w:bCs/>
                <w:caps/>
                <w:color w:val="5B4A8A"/>
                <w:sz w:val="20"/>
                <w:szCs w:val="20"/>
              </w:rPr>
              <w:t>Group Discussion Activity</w:t>
            </w:r>
          </w:p>
          <w:p w14:paraId="3A6BF6F5" w14:textId="4E7720DC" w:rsidR="008C46F5" w:rsidRDefault="008C46F5" w:rsidP="00644105">
            <w:pPr>
              <w:spacing w:after="40"/>
            </w:pPr>
            <w:r>
              <w:t>What does comprehensive screening for Gay Men &amp; Bisexual &amp; MSM Include?</w:t>
            </w:r>
          </w:p>
        </w:tc>
      </w:tr>
    </w:tbl>
    <w:p w14:paraId="1098E53E" w14:textId="77777777" w:rsidR="00E20B95" w:rsidRDefault="00000000">
      <w:pPr>
        <w:spacing w:before="60" w:after="100"/>
      </w:pPr>
      <w:r>
        <w:t>BASHH (British Association for Sexual Health and HIV) recommends that sexually active MSM are offered comprehensive screening, which should include all relevant anatomical sites. Consider this the 'screen' — a full set of investigations tailored to behaviour and risk.</w:t>
      </w:r>
    </w:p>
    <w:p w14:paraId="549F26C2" w14:textId="77777777" w:rsidR="00E20B95" w:rsidRDefault="00E20B95">
      <w:pPr>
        <w:spacing w:after="80"/>
      </w:pPr>
    </w:p>
    <w:tbl>
      <w:tblPr>
        <w:tblW w:w="9360" w:type="dxa"/>
        <w:tblBorders>
          <w:top w:val="single" w:sz="4" w:space="0" w:color="1B3A6B"/>
          <w:left w:val="single" w:sz="4" w:space="0" w:color="1B3A6B"/>
          <w:bottom w:val="single" w:sz="4" w:space="0" w:color="1B3A6B"/>
          <w:right w:val="single" w:sz="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1"/>
        <w:gridCol w:w="3124"/>
        <w:gridCol w:w="3115"/>
      </w:tblGrid>
      <w:tr w:rsidR="00E20B95" w14:paraId="4919030E" w14:textId="77777777">
        <w:tc>
          <w:tcPr>
            <w:tcW w:w="3200" w:type="dxa"/>
            <w:tcBorders>
              <w:top w:val="single" w:sz="4" w:space="0" w:color="1B3A6B"/>
              <w:left w:val="single" w:sz="4" w:space="0" w:color="1B3A6B"/>
              <w:bottom w:val="single" w:sz="4" w:space="0" w:color="1B3A6B"/>
              <w:right w:val="single" w:sz="4" w:space="0" w:color="1B3A6B"/>
            </w:tcBorders>
            <w:shd w:val="clear" w:color="auto" w:fill="1E7F8E"/>
            <w:tcMar>
              <w:top w:w="120" w:type="dxa"/>
              <w:left w:w="180" w:type="dxa"/>
              <w:bottom w:w="120" w:type="dxa"/>
              <w:right w:w="180" w:type="dxa"/>
            </w:tcMar>
          </w:tcPr>
          <w:p w14:paraId="789EB2E5" w14:textId="77777777" w:rsidR="00E20B95" w:rsidRDefault="00000000">
            <w:r>
              <w:rPr>
                <w:rFonts w:ascii="Cambria" w:eastAsia="Cambria" w:hAnsi="Cambria" w:cs="Cambria"/>
                <w:b/>
                <w:bCs/>
                <w:color w:val="FFFFFF"/>
                <w:sz w:val="21"/>
                <w:szCs w:val="21"/>
              </w:rPr>
              <w:t>Condition / Investigation</w:t>
            </w:r>
          </w:p>
        </w:tc>
        <w:tc>
          <w:tcPr>
            <w:tcW w:w="3200" w:type="dxa"/>
            <w:tcBorders>
              <w:top w:val="single" w:sz="4" w:space="0" w:color="1B3A6B"/>
              <w:left w:val="single" w:sz="4" w:space="0" w:color="1B3A6B"/>
              <w:bottom w:val="single" w:sz="4" w:space="0" w:color="1B3A6B"/>
              <w:right w:val="single" w:sz="4" w:space="0" w:color="1B3A6B"/>
            </w:tcBorders>
            <w:shd w:val="clear" w:color="auto" w:fill="1E7F8E"/>
            <w:tcMar>
              <w:top w:w="120" w:type="dxa"/>
              <w:left w:w="180" w:type="dxa"/>
              <w:bottom w:w="120" w:type="dxa"/>
              <w:right w:w="180" w:type="dxa"/>
            </w:tcMar>
          </w:tcPr>
          <w:p w14:paraId="7B41F3E6" w14:textId="77777777" w:rsidR="00E20B95" w:rsidRDefault="00000000">
            <w:r>
              <w:rPr>
                <w:rFonts w:ascii="Cambria" w:eastAsia="Cambria" w:hAnsi="Cambria" w:cs="Cambria"/>
                <w:b/>
                <w:bCs/>
                <w:color w:val="FFFFFF"/>
                <w:sz w:val="21"/>
                <w:szCs w:val="21"/>
              </w:rPr>
              <w:t>Route of Transmission or Risk</w:t>
            </w:r>
          </w:p>
        </w:tc>
        <w:tc>
          <w:tcPr>
            <w:tcW w:w="3200" w:type="dxa"/>
            <w:tcBorders>
              <w:top w:val="single" w:sz="4" w:space="0" w:color="1B3A6B"/>
              <w:left w:val="single" w:sz="4" w:space="0" w:color="1B3A6B"/>
              <w:bottom w:val="single" w:sz="4" w:space="0" w:color="1B3A6B"/>
              <w:right w:val="single" w:sz="4" w:space="0" w:color="1B3A6B"/>
            </w:tcBorders>
            <w:shd w:val="clear" w:color="auto" w:fill="1E7F8E"/>
            <w:tcMar>
              <w:top w:w="120" w:type="dxa"/>
              <w:left w:w="180" w:type="dxa"/>
              <w:bottom w:w="120" w:type="dxa"/>
              <w:right w:w="180" w:type="dxa"/>
            </w:tcMar>
          </w:tcPr>
          <w:p w14:paraId="2C36B05F" w14:textId="77777777" w:rsidR="00E20B95" w:rsidRDefault="00000000">
            <w:r>
              <w:rPr>
                <w:rFonts w:ascii="Cambria" w:eastAsia="Cambria" w:hAnsi="Cambria" w:cs="Cambria"/>
                <w:b/>
                <w:bCs/>
                <w:color w:val="FFFFFF"/>
                <w:sz w:val="21"/>
                <w:szCs w:val="21"/>
              </w:rPr>
              <w:t>Key Clinical Notes</w:t>
            </w:r>
          </w:p>
        </w:tc>
      </w:tr>
      <w:tr w:rsidR="00E20B95" w14:paraId="23EBAFF1"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5F97020E" w14:textId="77777777" w:rsidR="00E20B95" w:rsidRDefault="00000000">
            <w:r>
              <w:rPr>
                <w:rFonts w:ascii="Cambria" w:eastAsia="Cambria" w:hAnsi="Cambria" w:cs="Cambria"/>
                <w:b/>
                <w:bCs/>
                <w:color w:val="1B3A6B"/>
                <w:sz w:val="21"/>
                <w:szCs w:val="21"/>
              </w:rPr>
              <w:t>HIV</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3F36C859" w14:textId="77777777" w:rsidR="00E20B95" w:rsidRDefault="00000000">
            <w:r>
              <w:rPr>
                <w:sz w:val="20"/>
                <w:szCs w:val="20"/>
              </w:rPr>
              <w:t>Blood, semen, rectal secretions</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33B0E270" w14:textId="77777777" w:rsidR="00E20B95" w:rsidRDefault="00000000">
            <w:r>
              <w:rPr>
                <w:sz w:val="20"/>
                <w:szCs w:val="20"/>
              </w:rPr>
              <w:t xml:space="preserve">Offer annual testing to all MSM; every 3 months if higher risk. Discuss </w:t>
            </w:r>
            <w:proofErr w:type="spellStart"/>
            <w:r>
              <w:rPr>
                <w:sz w:val="20"/>
                <w:szCs w:val="20"/>
              </w:rPr>
              <w:t>PrEP</w:t>
            </w:r>
            <w:proofErr w:type="spellEnd"/>
            <w:r>
              <w:rPr>
                <w:sz w:val="20"/>
                <w:szCs w:val="20"/>
              </w:rPr>
              <w:t xml:space="preserve"> and PEP eligibility.</w:t>
            </w:r>
          </w:p>
        </w:tc>
      </w:tr>
      <w:tr w:rsidR="00E20B95" w14:paraId="6F7633EC" w14:textId="77777777">
        <w:tc>
          <w:tcPr>
            <w:tcW w:w="320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3C96E72" w14:textId="77777777" w:rsidR="00E20B95" w:rsidRDefault="00000000">
            <w:r>
              <w:rPr>
                <w:rFonts w:ascii="Cambria" w:eastAsia="Cambria" w:hAnsi="Cambria" w:cs="Cambria"/>
                <w:b/>
                <w:bCs/>
                <w:color w:val="1B3A6B"/>
                <w:sz w:val="21"/>
                <w:szCs w:val="21"/>
              </w:rPr>
              <w:t>Syphilis</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019EC03E" w14:textId="77777777" w:rsidR="00E20B95" w:rsidRDefault="00000000">
            <w:r>
              <w:rPr>
                <w:sz w:val="20"/>
                <w:szCs w:val="20"/>
              </w:rPr>
              <w:t>Direct contact — oral, anal, genital</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4241C02C" w14:textId="77777777" w:rsidR="00E20B95" w:rsidRDefault="00000000">
            <w:r>
              <w:rPr>
                <w:sz w:val="20"/>
                <w:szCs w:val="20"/>
              </w:rPr>
              <w:t>Rates continue to rise in the UK (9,535 infectious syphilis diagnoses in England in 2024, UKHSA). Serology + clinical assessment.</w:t>
            </w:r>
          </w:p>
        </w:tc>
      </w:tr>
      <w:tr w:rsidR="00E20B95" w14:paraId="3A38C85B"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24B2C52B" w14:textId="77777777" w:rsidR="00E20B95" w:rsidRDefault="00000000">
            <w:r>
              <w:rPr>
                <w:rFonts w:ascii="Cambria" w:eastAsia="Cambria" w:hAnsi="Cambria" w:cs="Cambria"/>
                <w:b/>
                <w:bCs/>
                <w:color w:val="1B3A6B"/>
                <w:sz w:val="21"/>
                <w:szCs w:val="21"/>
              </w:rPr>
              <w:t>Gonorrhoea</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942D3C4" w14:textId="77777777" w:rsidR="00E20B95" w:rsidRDefault="00000000">
            <w:r>
              <w:rPr>
                <w:sz w:val="20"/>
                <w:szCs w:val="20"/>
              </w:rPr>
              <w:t>Genital, pharyngeal, rectal</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13C2FB8B" w14:textId="77777777" w:rsidR="00E20B95" w:rsidRDefault="00000000">
            <w:r>
              <w:rPr>
                <w:sz w:val="20"/>
                <w:szCs w:val="20"/>
              </w:rPr>
              <w:t>Screen all three sites. Antibiotic resistance is increasing — test before treating. Urethral swab, pharyngeal swab, rectal swab.</w:t>
            </w:r>
          </w:p>
        </w:tc>
      </w:tr>
      <w:tr w:rsidR="00E20B95" w14:paraId="2FA30C97" w14:textId="77777777">
        <w:tc>
          <w:tcPr>
            <w:tcW w:w="320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F6B2220" w14:textId="77777777" w:rsidR="00E20B95" w:rsidRDefault="00000000">
            <w:r>
              <w:rPr>
                <w:rFonts w:ascii="Cambria" w:eastAsia="Cambria" w:hAnsi="Cambria" w:cs="Cambria"/>
                <w:b/>
                <w:bCs/>
                <w:color w:val="1B3A6B"/>
                <w:sz w:val="21"/>
                <w:szCs w:val="21"/>
              </w:rPr>
              <w:t>Chlamydia</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3C090203" w14:textId="77777777" w:rsidR="00E20B95" w:rsidRDefault="00000000">
            <w:r>
              <w:rPr>
                <w:sz w:val="20"/>
                <w:szCs w:val="20"/>
              </w:rPr>
              <w:t>Genital, pharyngeal, rectal</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409F0581" w14:textId="77777777" w:rsidR="00E20B95" w:rsidRDefault="00000000">
            <w:r>
              <w:rPr>
                <w:sz w:val="20"/>
                <w:szCs w:val="20"/>
              </w:rPr>
              <w:t>NAATs from all three sites. Often asymptomatic — do not rely on symptoms alone.</w:t>
            </w:r>
          </w:p>
        </w:tc>
      </w:tr>
      <w:tr w:rsidR="00E20B95" w14:paraId="3DD9301E"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1D26D7D2" w14:textId="77777777" w:rsidR="00E20B95" w:rsidRDefault="00000000">
            <w:r>
              <w:rPr>
                <w:rFonts w:ascii="Cambria" w:eastAsia="Cambria" w:hAnsi="Cambria" w:cs="Cambria"/>
                <w:b/>
                <w:bCs/>
                <w:color w:val="1B3A6B"/>
                <w:sz w:val="21"/>
                <w:szCs w:val="21"/>
              </w:rPr>
              <w:t>Hepatitis A</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6325A65" w14:textId="77777777" w:rsidR="00E20B95" w:rsidRDefault="00000000">
            <w:r>
              <w:rPr>
                <w:sz w:val="20"/>
                <w:szCs w:val="20"/>
              </w:rPr>
              <w:t>Oral-anal contact (rimming)</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04C2BCFF" w14:textId="77777777" w:rsidR="00E20B95" w:rsidRDefault="00000000">
            <w:r>
              <w:rPr>
                <w:sz w:val="20"/>
                <w:szCs w:val="20"/>
              </w:rPr>
              <w:t>Offer vaccination to all MSM without prior immunity (Hep A/B combined vaccine preferred by BASHH). Risk increases with rimming.</w:t>
            </w:r>
          </w:p>
        </w:tc>
      </w:tr>
      <w:tr w:rsidR="00E20B95" w14:paraId="7B4BD9DA" w14:textId="77777777">
        <w:tc>
          <w:tcPr>
            <w:tcW w:w="320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5017D28D" w14:textId="77777777" w:rsidR="00E20B95" w:rsidRDefault="00000000">
            <w:r>
              <w:rPr>
                <w:rFonts w:ascii="Cambria" w:eastAsia="Cambria" w:hAnsi="Cambria" w:cs="Cambria"/>
                <w:b/>
                <w:bCs/>
                <w:color w:val="1B3A6B"/>
                <w:sz w:val="21"/>
                <w:szCs w:val="21"/>
              </w:rPr>
              <w:t>Hepatitis B</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3CF55B64" w14:textId="77777777" w:rsidR="00E20B95" w:rsidRDefault="00000000">
            <w:r>
              <w:rPr>
                <w:sz w:val="20"/>
                <w:szCs w:val="20"/>
              </w:rPr>
              <w:t>Blood, semen, sexual contact</w:t>
            </w:r>
          </w:p>
        </w:tc>
        <w:tc>
          <w:tcPr>
            <w:tcW w:w="30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BBFE1F2" w14:textId="77777777" w:rsidR="00E20B95" w:rsidRDefault="00000000">
            <w:r>
              <w:rPr>
                <w:sz w:val="20"/>
                <w:szCs w:val="20"/>
              </w:rPr>
              <w:t>Offer testing AND vaccination to all MSM who are not already immune (NICE PH43). Check immune status first.</w:t>
            </w:r>
          </w:p>
        </w:tc>
      </w:tr>
      <w:tr w:rsidR="00E20B95" w14:paraId="2BE848C5"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27F17157" w14:textId="77777777" w:rsidR="00E20B95" w:rsidRDefault="00000000">
            <w:r>
              <w:rPr>
                <w:rFonts w:ascii="Cambria" w:eastAsia="Cambria" w:hAnsi="Cambria" w:cs="Cambria"/>
                <w:b/>
                <w:bCs/>
                <w:color w:val="1B3A6B"/>
                <w:sz w:val="21"/>
                <w:szCs w:val="21"/>
              </w:rPr>
              <w:t>HPV / Anal cancer</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495D4DE" w14:textId="77777777" w:rsidR="00E20B95" w:rsidRDefault="00000000">
            <w:r>
              <w:rPr>
                <w:sz w:val="20"/>
                <w:szCs w:val="20"/>
              </w:rPr>
              <w:t>Skin and mucosal contact</w:t>
            </w:r>
          </w:p>
        </w:tc>
        <w:tc>
          <w:tcPr>
            <w:tcW w:w="30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331446AE" w14:textId="77777777" w:rsidR="00E20B95" w:rsidRDefault="00000000">
            <w:r>
              <w:rPr>
                <w:sz w:val="20"/>
                <w:szCs w:val="20"/>
              </w:rPr>
              <w:t>HPV 16 is strongly implicated in anal squamous cell carcinoma. HPV vaccination now offered to MSM up to age 45 via sexual health clinics. Rectal examination if symptoms.</w:t>
            </w:r>
          </w:p>
        </w:tc>
      </w:tr>
    </w:tbl>
    <w:p w14:paraId="093C72F4" w14:textId="77777777" w:rsidR="00E20B95" w:rsidRDefault="00E20B95">
      <w:pPr>
        <w:spacing w:after="80"/>
      </w:pPr>
    </w:p>
    <w:tbl>
      <w:tblPr>
        <w:tblW w:w="9360" w:type="dxa"/>
        <w:tblBorders>
          <w:top w:val="single" w:sz="4" w:space="0" w:color="3A7D5E"/>
          <w:left w:val="single" w:sz="12" w:space="0" w:color="3A7D5E"/>
          <w:bottom w:val="single" w:sz="4" w:space="0" w:color="3A7D5E"/>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38A7D73C" w14:textId="77777777">
        <w:tc>
          <w:tcPr>
            <w:tcW w:w="9360" w:type="dxa"/>
            <w:tcBorders>
              <w:top w:val="single" w:sz="4" w:space="0" w:color="3A7D5E"/>
              <w:left w:val="single" w:sz="12" w:space="0" w:color="3A7D5E"/>
              <w:bottom w:val="single" w:sz="4" w:space="0" w:color="3A7D5E"/>
              <w:right w:val="none" w:sz="0" w:space="0" w:color="FFFFFF"/>
            </w:tcBorders>
            <w:shd w:val="clear" w:color="auto" w:fill="E2F0EC"/>
            <w:tcMar>
              <w:top w:w="160" w:type="dxa"/>
              <w:left w:w="240" w:type="dxa"/>
              <w:bottom w:w="160" w:type="dxa"/>
              <w:right w:w="200" w:type="dxa"/>
            </w:tcMar>
          </w:tcPr>
          <w:p w14:paraId="6F12B5C2" w14:textId="77777777" w:rsidR="00E20B95" w:rsidRDefault="00000000">
            <w:pPr>
              <w:spacing w:after="60"/>
            </w:pPr>
            <w:r>
              <w:rPr>
                <w:rFonts w:ascii="Cambria" w:eastAsia="Cambria" w:hAnsi="Cambria" w:cs="Cambria"/>
                <w:b/>
                <w:bCs/>
                <w:caps/>
                <w:color w:val="3A7D5E"/>
                <w:sz w:val="20"/>
                <w:szCs w:val="20"/>
              </w:rPr>
              <w:t>HIV Prevention — Know Your Options</w:t>
            </w:r>
          </w:p>
          <w:p w14:paraId="3BD3B961" w14:textId="77777777" w:rsidR="00E20B95" w:rsidRDefault="00000000">
            <w:pPr>
              <w:pStyle w:val="ListParagraph"/>
              <w:numPr>
                <w:ilvl w:val="0"/>
                <w:numId w:val="3"/>
              </w:numPr>
              <w:spacing w:before="30" w:after="40"/>
            </w:pPr>
            <w:proofErr w:type="spellStart"/>
            <w:r>
              <w:rPr>
                <w:sz w:val="21"/>
                <w:szCs w:val="21"/>
              </w:rPr>
              <w:t>PrEP</w:t>
            </w:r>
            <w:proofErr w:type="spellEnd"/>
            <w:r>
              <w:rPr>
                <w:sz w:val="21"/>
                <w:szCs w:val="21"/>
              </w:rPr>
              <w:t xml:space="preserve"> (</w:t>
            </w:r>
            <w:proofErr w:type="gramStart"/>
            <w:r>
              <w:rPr>
                <w:sz w:val="21"/>
                <w:szCs w:val="21"/>
              </w:rPr>
              <w:t>Pre-exposure</w:t>
            </w:r>
            <w:proofErr w:type="gramEnd"/>
            <w:r>
              <w:rPr>
                <w:sz w:val="21"/>
                <w:szCs w:val="21"/>
              </w:rPr>
              <w:t xml:space="preserve"> prophylaxis): Oral tenofovir/emtricitabine taken before exposure. Highly effective. Now available via NHS England sexual health services. GPs should be aware and support access.</w:t>
            </w:r>
          </w:p>
          <w:p w14:paraId="447B9947" w14:textId="77777777" w:rsidR="00E20B95" w:rsidRDefault="00000000">
            <w:pPr>
              <w:pStyle w:val="ListParagraph"/>
              <w:numPr>
                <w:ilvl w:val="0"/>
                <w:numId w:val="3"/>
              </w:numPr>
              <w:spacing w:before="30" w:after="40"/>
            </w:pPr>
            <w:r>
              <w:rPr>
                <w:sz w:val="21"/>
                <w:szCs w:val="21"/>
              </w:rPr>
              <w:t>PEP (</w:t>
            </w:r>
            <w:proofErr w:type="gramStart"/>
            <w:r>
              <w:rPr>
                <w:sz w:val="21"/>
                <w:szCs w:val="21"/>
              </w:rPr>
              <w:t>Post-exposure</w:t>
            </w:r>
            <w:proofErr w:type="gramEnd"/>
            <w:r>
              <w:rPr>
                <w:sz w:val="21"/>
                <w:szCs w:val="21"/>
              </w:rPr>
              <w:t xml:space="preserve"> prophylaxis): Antiretroviral treatment taken within 72 hours of potential HIV exposure. Refer urgently to sexual health or A&amp;E if indicated.</w:t>
            </w:r>
          </w:p>
          <w:p w14:paraId="54B406DE" w14:textId="77777777" w:rsidR="00E20B95" w:rsidRDefault="00000000">
            <w:pPr>
              <w:pStyle w:val="ListParagraph"/>
              <w:numPr>
                <w:ilvl w:val="0"/>
                <w:numId w:val="3"/>
              </w:numPr>
              <w:spacing w:before="30" w:after="40"/>
            </w:pPr>
            <w:r>
              <w:rPr>
                <w:sz w:val="21"/>
                <w:szCs w:val="21"/>
              </w:rPr>
              <w:t xml:space="preserve">Condoms: Remain highly effective for multiple STIs — promote alongside </w:t>
            </w:r>
            <w:proofErr w:type="spellStart"/>
            <w:r>
              <w:rPr>
                <w:sz w:val="21"/>
                <w:szCs w:val="21"/>
              </w:rPr>
              <w:t>PrEP</w:t>
            </w:r>
            <w:proofErr w:type="spellEnd"/>
            <w:r>
              <w:rPr>
                <w:sz w:val="21"/>
                <w:szCs w:val="21"/>
              </w:rPr>
              <w:t>, not instead of it.</w:t>
            </w:r>
          </w:p>
          <w:p w14:paraId="197856D5" w14:textId="77777777" w:rsidR="00E20B95" w:rsidRDefault="00000000">
            <w:pPr>
              <w:pStyle w:val="ListParagraph"/>
              <w:numPr>
                <w:ilvl w:val="0"/>
                <w:numId w:val="3"/>
              </w:numPr>
              <w:spacing w:before="30" w:after="40"/>
            </w:pPr>
            <w:r>
              <w:rPr>
                <w:sz w:val="21"/>
                <w:szCs w:val="21"/>
              </w:rPr>
              <w:t xml:space="preserve">U=U (Undetectable = </w:t>
            </w:r>
            <w:proofErr w:type="spellStart"/>
            <w:r>
              <w:rPr>
                <w:sz w:val="21"/>
                <w:szCs w:val="21"/>
              </w:rPr>
              <w:t>Untransmittable</w:t>
            </w:r>
            <w:proofErr w:type="spellEnd"/>
            <w:r>
              <w:rPr>
                <w:sz w:val="21"/>
                <w:szCs w:val="21"/>
              </w:rPr>
              <w:t>): People on effective antiretroviral therapy with undetectable viral load do not transmit HIV sexually. This is clinically established and important for reducing stigma.</w:t>
            </w:r>
          </w:p>
        </w:tc>
      </w:tr>
    </w:tbl>
    <w:p w14:paraId="19F8F8EF" w14:textId="77777777" w:rsidR="00E20B95" w:rsidRDefault="00E20B95">
      <w:pPr>
        <w:spacing w:after="160"/>
      </w:pPr>
    </w:p>
    <w:p w14:paraId="7F729E05" w14:textId="77777777" w:rsidR="00E20B95" w:rsidRDefault="00E20B95">
      <w:pPr>
        <w:pBdr>
          <w:bottom w:val="single" w:sz="4" w:space="0" w:color="D0D5DE"/>
        </w:pBdr>
        <w:spacing w:before="120" w:after="120"/>
      </w:pPr>
    </w:p>
    <w:p w14:paraId="6B2524AB" w14:textId="77777777" w:rsidR="00E20B95" w:rsidRDefault="00000000">
      <w:pPr>
        <w:pStyle w:val="Heading2"/>
      </w:pPr>
      <w:proofErr w:type="gramStart"/>
      <w:r>
        <w:t>2.3  HIV</w:t>
      </w:r>
      <w:proofErr w:type="gramEnd"/>
      <w:r>
        <w:t xml:space="preserve"> — Living Well with a Long-Term Condition</w:t>
      </w:r>
    </w:p>
    <w:p w14:paraId="4B348877" w14:textId="77777777" w:rsidR="008C46F5" w:rsidRDefault="008C46F5" w:rsidP="008C46F5">
      <w:pPr>
        <w:spacing w:before="60" w:after="100"/>
      </w:pPr>
    </w:p>
    <w:p w14:paraId="39641054" w14:textId="77777777" w:rsidR="008C46F5" w:rsidRDefault="008C46F5" w:rsidP="008C46F5">
      <w:pPr>
        <w:spacing w:after="80"/>
      </w:pP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C46F5" w14:paraId="0707AB30" w14:textId="77777777" w:rsidTr="00644105">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4ED32ADA" w14:textId="77777777" w:rsidR="008C46F5" w:rsidRDefault="008C46F5" w:rsidP="00644105">
            <w:pPr>
              <w:spacing w:after="60"/>
            </w:pPr>
            <w:r>
              <w:rPr>
                <w:rFonts w:ascii="Cambria" w:eastAsia="Cambria" w:hAnsi="Cambria" w:cs="Cambria"/>
                <w:b/>
                <w:bCs/>
                <w:caps/>
                <w:color w:val="5B4A8A"/>
                <w:sz w:val="20"/>
                <w:szCs w:val="20"/>
              </w:rPr>
              <w:t>Group Discussion Activity</w:t>
            </w:r>
          </w:p>
          <w:p w14:paraId="1166B3B3" w14:textId="77777777" w:rsidR="008C46F5" w:rsidRPr="00932D60" w:rsidRDefault="008C46F5" w:rsidP="00932D60">
            <w:pPr>
              <w:pStyle w:val="ListParagraph"/>
              <w:numPr>
                <w:ilvl w:val="0"/>
                <w:numId w:val="4"/>
              </w:numPr>
              <w:spacing w:after="40"/>
              <w:rPr>
                <w:sz w:val="21"/>
                <w:szCs w:val="21"/>
              </w:rPr>
            </w:pPr>
            <w:r w:rsidRPr="00932D60">
              <w:rPr>
                <w:sz w:val="21"/>
                <w:szCs w:val="21"/>
              </w:rPr>
              <w:t>How long does a HIV positive man on treatment live these days compared to a HIV negative man?</w:t>
            </w:r>
          </w:p>
          <w:p w14:paraId="3A94BC34" w14:textId="77777777" w:rsidR="008C46F5" w:rsidRDefault="00932D60" w:rsidP="00932D60">
            <w:pPr>
              <w:pStyle w:val="ListParagraph"/>
              <w:numPr>
                <w:ilvl w:val="0"/>
                <w:numId w:val="4"/>
              </w:numPr>
              <w:spacing w:after="40"/>
            </w:pPr>
            <w:r>
              <w:t>Can a HIV positive man on treatment with low viral levels have UNPROTECTED sex with a HIV negative man safely?</w:t>
            </w:r>
          </w:p>
          <w:p w14:paraId="13287A81" w14:textId="77777777" w:rsidR="00932D60" w:rsidRDefault="00932D60" w:rsidP="00932D60">
            <w:pPr>
              <w:pStyle w:val="ListParagraph"/>
              <w:numPr>
                <w:ilvl w:val="0"/>
                <w:numId w:val="4"/>
              </w:numPr>
              <w:spacing w:after="40"/>
            </w:pPr>
            <w:r>
              <w:t>Why is it important to get people tested for HIV if they are at risk, and regularly?</w:t>
            </w:r>
          </w:p>
          <w:p w14:paraId="5A298CB4" w14:textId="7AA6AD92" w:rsidR="00932D60" w:rsidRDefault="00932D60" w:rsidP="00932D60">
            <w:pPr>
              <w:pStyle w:val="ListParagraph"/>
              <w:numPr>
                <w:ilvl w:val="0"/>
                <w:numId w:val="4"/>
              </w:numPr>
              <w:spacing w:after="40"/>
            </w:pPr>
            <w:r>
              <w:t>How regular should that be?</w:t>
            </w:r>
          </w:p>
        </w:tc>
      </w:tr>
    </w:tbl>
    <w:p w14:paraId="0AFCA1E5" w14:textId="77777777" w:rsidR="00E20B95" w:rsidRDefault="00000000">
      <w:pPr>
        <w:spacing w:before="60" w:after="100"/>
      </w:pPr>
      <w:r>
        <w:t>HIV is now a manageable long-term condition for most people on effective treatment. The focus of GP care has shifted significantly.</w:t>
      </w:r>
    </w:p>
    <w:p w14:paraId="18DB85B7" w14:textId="77777777" w:rsidR="00E20B95" w:rsidRDefault="00E20B95">
      <w:pPr>
        <w:spacing w:after="80"/>
      </w:pPr>
    </w:p>
    <w:p w14:paraId="38A587CF" w14:textId="77777777" w:rsidR="00E20B95" w:rsidRDefault="00000000">
      <w:pPr>
        <w:pStyle w:val="ListParagraph"/>
        <w:numPr>
          <w:ilvl w:val="0"/>
          <w:numId w:val="2"/>
        </w:numPr>
        <w:spacing w:before="40" w:after="60"/>
      </w:pPr>
      <w:r>
        <w:t>People with HIV on modern antiretroviral therapy (ART) have a near-normal life expectancy.</w:t>
      </w:r>
    </w:p>
    <w:p w14:paraId="4157F13B" w14:textId="77777777" w:rsidR="00E20B95" w:rsidRDefault="00000000">
      <w:pPr>
        <w:pStyle w:val="ListParagraph"/>
        <w:numPr>
          <w:ilvl w:val="0"/>
          <w:numId w:val="2"/>
        </w:numPr>
        <w:spacing w:before="40" w:after="60"/>
      </w:pPr>
      <w:r>
        <w:t>They are living longer — and therefore developing the same chronic diseases as the general population: cardiovascular disease, diabetes, chronic kidney disease, and cancer.</w:t>
      </w:r>
    </w:p>
    <w:p w14:paraId="65CE46E3" w14:textId="77777777" w:rsidR="00E20B95" w:rsidRDefault="00000000">
      <w:pPr>
        <w:pStyle w:val="ListParagraph"/>
        <w:numPr>
          <w:ilvl w:val="0"/>
          <w:numId w:val="2"/>
        </w:numPr>
        <w:spacing w:before="40" w:after="60"/>
      </w:pPr>
      <w:r>
        <w:t>GPs have an important role in managing these comorbidities and supporting long-term wellbeing.</w:t>
      </w:r>
    </w:p>
    <w:p w14:paraId="3582663B" w14:textId="77777777" w:rsidR="00E20B95" w:rsidRDefault="00E20B95">
      <w:pPr>
        <w:spacing w:after="80"/>
      </w:pP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2EC40F48" w14:textId="77777777">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6698B142" w14:textId="77777777" w:rsidR="00E20B95" w:rsidRDefault="00000000">
            <w:pPr>
              <w:spacing w:after="60"/>
            </w:pPr>
            <w:r>
              <w:rPr>
                <w:rFonts w:ascii="Cambria" w:eastAsia="Cambria" w:hAnsi="Cambria" w:cs="Cambria"/>
                <w:b/>
                <w:bCs/>
                <w:caps/>
                <w:color w:val="E8892A"/>
                <w:sz w:val="20"/>
                <w:szCs w:val="20"/>
              </w:rPr>
              <w:t>Metabolic Effects of Antiretroviral Therapy</w:t>
            </w:r>
          </w:p>
          <w:p w14:paraId="0AD52A4A" w14:textId="77777777" w:rsidR="00E20B95" w:rsidRDefault="00000000">
            <w:pPr>
              <w:spacing w:after="40"/>
            </w:pPr>
            <w:r>
              <w:rPr>
                <w:sz w:val="21"/>
                <w:szCs w:val="21"/>
              </w:rPr>
              <w:t>Some older antiretroviral regimens cause lipodystrophy — abnormal redistribution of body fat, including facial and limb fat loss, and central fat accumulation. This can cause significant psychological distress and body image problems. Modern regimens are better tolerated, but always consider metabolic side effects when reviewing patients on ART.</w:t>
            </w:r>
          </w:p>
        </w:tc>
      </w:tr>
    </w:tbl>
    <w:p w14:paraId="328B120D" w14:textId="77777777" w:rsidR="00E20B95" w:rsidRDefault="00E20B95">
      <w:pPr>
        <w:spacing w:after="160"/>
      </w:pPr>
    </w:p>
    <w:p w14:paraId="1C404ED9" w14:textId="77777777" w:rsidR="00E20B95" w:rsidRDefault="00000000">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6C0B2786" w14:textId="77777777">
        <w:tc>
          <w:tcPr>
            <w:tcW w:w="9360" w:type="dxa"/>
            <w:tcBorders>
              <w:top w:val="none" w:sz="0" w:space="0" w:color="FFFFFF"/>
              <w:left w:val="none" w:sz="0" w:space="0" w:color="FFFFFF"/>
              <w:bottom w:val="none" w:sz="0" w:space="0" w:color="FFFFFF"/>
              <w:right w:val="none" w:sz="0" w:space="0" w:color="FFFFFF"/>
            </w:tcBorders>
            <w:shd w:val="clear" w:color="auto" w:fill="5B4A8A"/>
            <w:tcMar>
              <w:top w:w="180" w:type="dxa"/>
              <w:left w:w="300" w:type="dxa"/>
              <w:bottom w:w="180" w:type="dxa"/>
              <w:right w:w="300" w:type="dxa"/>
            </w:tcMar>
          </w:tcPr>
          <w:p w14:paraId="6A1D914D" w14:textId="77777777" w:rsidR="00E20B95" w:rsidRDefault="00000000">
            <w:pPr>
              <w:spacing w:after="60"/>
            </w:pPr>
            <w:r>
              <w:rPr>
                <w:rFonts w:ascii="Cambria" w:eastAsia="Cambria" w:hAnsi="Cambria" w:cs="Cambria"/>
                <w:b/>
                <w:bCs/>
                <w:color w:val="FFFFFF"/>
                <w:sz w:val="36"/>
                <w:szCs w:val="36"/>
              </w:rPr>
              <w:lastRenderedPageBreak/>
              <w:t>Section 3: Mental Health and Broader Wellbeing</w:t>
            </w:r>
          </w:p>
          <w:p w14:paraId="0B5C3934" w14:textId="77777777" w:rsidR="00E20B95" w:rsidRDefault="00000000">
            <w:r>
              <w:rPr>
                <w:i/>
                <w:iCs/>
                <w:color w:val="CCE8EE"/>
                <w:sz w:val="20"/>
                <w:szCs w:val="20"/>
              </w:rPr>
              <w:t>Beyond HIV — the whole patient</w:t>
            </w:r>
          </w:p>
        </w:tc>
      </w:tr>
    </w:tbl>
    <w:p w14:paraId="02F84342" w14:textId="77777777" w:rsidR="00E20B95" w:rsidRPr="00932D60" w:rsidRDefault="00E20B95">
      <w:pPr>
        <w:spacing w:after="80"/>
        <w:rPr>
          <w:sz w:val="4"/>
          <w:szCs w:val="4"/>
        </w:rPr>
      </w:pPr>
    </w:p>
    <w:p w14:paraId="64282A79" w14:textId="55146E0A" w:rsidR="00932D60" w:rsidRDefault="00000000" w:rsidP="00932D60">
      <w:pPr>
        <w:pStyle w:val="Heading2"/>
      </w:pPr>
      <w:proofErr w:type="gramStart"/>
      <w:r>
        <w:t>3.1  Mental</w:t>
      </w:r>
      <w:proofErr w:type="gramEnd"/>
      <w:r>
        <w:t xml:space="preserve"> Health, Smoking and Alcohol</w:t>
      </w: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32D60" w14:paraId="4679AD99" w14:textId="77777777" w:rsidTr="00644105">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73F26043" w14:textId="77777777" w:rsidR="00932D60" w:rsidRDefault="00932D60" w:rsidP="00644105">
            <w:pPr>
              <w:spacing w:after="60"/>
            </w:pPr>
            <w:r>
              <w:rPr>
                <w:rFonts w:ascii="Cambria" w:eastAsia="Cambria" w:hAnsi="Cambria" w:cs="Cambria"/>
                <w:b/>
                <w:bCs/>
                <w:caps/>
                <w:color w:val="5B4A8A"/>
                <w:sz w:val="20"/>
                <w:szCs w:val="20"/>
              </w:rPr>
              <w:t>Group Discussion Activity</w:t>
            </w:r>
          </w:p>
          <w:p w14:paraId="1B9A9C9D" w14:textId="5B1F267D" w:rsidR="00932D60" w:rsidRDefault="00932D60" w:rsidP="00932D60">
            <w:pPr>
              <w:spacing w:before="60" w:after="100"/>
            </w:pPr>
            <w:r>
              <w:t>The health risks for MSM extend well beyond sexual health. As a GP, you need to know the full picture.   What non-sexual areas should you cover when seeing LGBTQIA+ patients?</w:t>
            </w:r>
          </w:p>
          <w:p w14:paraId="7460F3E6" w14:textId="6A1DFDB3" w:rsidR="00932D60" w:rsidRDefault="00932D60" w:rsidP="00644105">
            <w:pPr>
              <w:spacing w:after="40"/>
            </w:pPr>
          </w:p>
        </w:tc>
      </w:tr>
    </w:tbl>
    <w:p w14:paraId="2A9F3B22" w14:textId="77777777" w:rsidR="00E20B95" w:rsidRDefault="00E20B95">
      <w:pPr>
        <w:spacing w:after="80"/>
      </w:pPr>
    </w:p>
    <w:tbl>
      <w:tblPr>
        <w:tblW w:w="9360" w:type="dxa"/>
        <w:tblBorders>
          <w:top w:val="single" w:sz="4" w:space="0" w:color="5B4A8A"/>
          <w:left w:val="single" w:sz="4" w:space="0" w:color="5B4A8A"/>
          <w:bottom w:val="single" w:sz="4" w:space="0" w:color="5B4A8A"/>
          <w:right w:val="single" w:sz="4" w:space="0" w:color="5B4A8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4"/>
        <w:gridCol w:w="3171"/>
        <w:gridCol w:w="3175"/>
      </w:tblGrid>
      <w:tr w:rsidR="00E20B95" w14:paraId="29971BC5" w14:textId="77777777">
        <w:tc>
          <w:tcPr>
            <w:tcW w:w="3120" w:type="dxa"/>
            <w:tcBorders>
              <w:top w:val="single" w:sz="4" w:space="0" w:color="5B4A8A"/>
              <w:left w:val="single" w:sz="4" w:space="0" w:color="5B4A8A"/>
              <w:bottom w:val="single" w:sz="4" w:space="0" w:color="5B4A8A"/>
              <w:right w:val="single" w:sz="4" w:space="0" w:color="5B4A8A"/>
            </w:tcBorders>
            <w:shd w:val="clear" w:color="auto" w:fill="5B4A8A"/>
            <w:tcMar>
              <w:top w:w="120" w:type="dxa"/>
              <w:left w:w="180" w:type="dxa"/>
              <w:bottom w:w="120" w:type="dxa"/>
              <w:right w:w="180" w:type="dxa"/>
            </w:tcMar>
          </w:tcPr>
          <w:p w14:paraId="39AC5C19" w14:textId="77777777" w:rsidR="00E20B95" w:rsidRDefault="00000000">
            <w:r>
              <w:rPr>
                <w:rFonts w:ascii="Cambria" w:eastAsia="Cambria" w:hAnsi="Cambria" w:cs="Cambria"/>
                <w:b/>
                <w:bCs/>
                <w:color w:val="FFFFFF"/>
                <w:sz w:val="21"/>
                <w:szCs w:val="21"/>
              </w:rPr>
              <w:t>Health Area</w:t>
            </w:r>
          </w:p>
        </w:tc>
        <w:tc>
          <w:tcPr>
            <w:tcW w:w="3120" w:type="dxa"/>
            <w:tcBorders>
              <w:top w:val="single" w:sz="4" w:space="0" w:color="5B4A8A"/>
              <w:left w:val="single" w:sz="4" w:space="0" w:color="5B4A8A"/>
              <w:bottom w:val="single" w:sz="4" w:space="0" w:color="5B4A8A"/>
              <w:right w:val="single" w:sz="4" w:space="0" w:color="5B4A8A"/>
            </w:tcBorders>
            <w:shd w:val="clear" w:color="auto" w:fill="5B4A8A"/>
            <w:tcMar>
              <w:top w:w="120" w:type="dxa"/>
              <w:left w:w="180" w:type="dxa"/>
              <w:bottom w:w="120" w:type="dxa"/>
              <w:right w:w="180" w:type="dxa"/>
            </w:tcMar>
          </w:tcPr>
          <w:p w14:paraId="2455EF45" w14:textId="77777777" w:rsidR="00E20B95" w:rsidRDefault="00000000">
            <w:r>
              <w:rPr>
                <w:rFonts w:ascii="Cambria" w:eastAsia="Cambria" w:hAnsi="Cambria" w:cs="Cambria"/>
                <w:b/>
                <w:bCs/>
                <w:color w:val="FFFFFF"/>
                <w:sz w:val="21"/>
                <w:szCs w:val="21"/>
              </w:rPr>
              <w:t>What the Evidence Shows</w:t>
            </w:r>
          </w:p>
        </w:tc>
        <w:tc>
          <w:tcPr>
            <w:tcW w:w="3120" w:type="dxa"/>
            <w:tcBorders>
              <w:top w:val="single" w:sz="4" w:space="0" w:color="5B4A8A"/>
              <w:left w:val="single" w:sz="4" w:space="0" w:color="5B4A8A"/>
              <w:bottom w:val="single" w:sz="4" w:space="0" w:color="5B4A8A"/>
              <w:right w:val="single" w:sz="4" w:space="0" w:color="5B4A8A"/>
            </w:tcBorders>
            <w:shd w:val="clear" w:color="auto" w:fill="5B4A8A"/>
            <w:tcMar>
              <w:top w:w="120" w:type="dxa"/>
              <w:left w:w="180" w:type="dxa"/>
              <w:bottom w:w="120" w:type="dxa"/>
              <w:right w:w="180" w:type="dxa"/>
            </w:tcMar>
          </w:tcPr>
          <w:p w14:paraId="0FC8E8C9" w14:textId="77777777" w:rsidR="00E20B95" w:rsidRDefault="00000000">
            <w:r>
              <w:rPr>
                <w:rFonts w:ascii="Cambria" w:eastAsia="Cambria" w:hAnsi="Cambria" w:cs="Cambria"/>
                <w:b/>
                <w:bCs/>
                <w:color w:val="FFFFFF"/>
                <w:sz w:val="21"/>
                <w:szCs w:val="21"/>
              </w:rPr>
              <w:t>GP Action Points</w:t>
            </w:r>
          </w:p>
        </w:tc>
      </w:tr>
      <w:tr w:rsidR="00E20B95" w14:paraId="486856A7" w14:textId="77777777">
        <w:tc>
          <w:tcPr>
            <w:tcW w:w="2800" w:type="dxa"/>
            <w:tcBorders>
              <w:top w:val="single" w:sz="4" w:space="0" w:color="D0D5DE"/>
              <w:left w:val="single" w:sz="4" w:space="0" w:color="D0D5DE"/>
              <w:bottom w:val="single" w:sz="4" w:space="0" w:color="D0D5DE"/>
              <w:right w:val="single" w:sz="4" w:space="0" w:color="D0D5DE"/>
            </w:tcBorders>
            <w:shd w:val="clear" w:color="auto" w:fill="EDE9F7"/>
            <w:tcMar>
              <w:top w:w="120" w:type="dxa"/>
              <w:left w:w="180" w:type="dxa"/>
              <w:bottom w:w="120" w:type="dxa"/>
              <w:right w:w="180" w:type="dxa"/>
            </w:tcMar>
          </w:tcPr>
          <w:p w14:paraId="2511299D" w14:textId="77777777" w:rsidR="00E20B95" w:rsidRDefault="00000000">
            <w:r>
              <w:rPr>
                <w:rFonts w:ascii="Cambria" w:eastAsia="Cambria" w:hAnsi="Cambria" w:cs="Cambria"/>
                <w:b/>
                <w:bCs/>
                <w:color w:val="5B4A8A"/>
                <w:sz w:val="21"/>
                <w:szCs w:val="21"/>
              </w:rPr>
              <w:t>Smoking</w:t>
            </w:r>
          </w:p>
        </w:tc>
        <w:tc>
          <w:tcPr>
            <w:tcW w:w="32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1E7625BB" w14:textId="77777777" w:rsidR="00E20B95" w:rsidRDefault="00000000">
            <w:r>
              <w:rPr>
                <w:sz w:val="20"/>
                <w:szCs w:val="20"/>
              </w:rPr>
              <w:t>Gay and lesbian adults have historically had higher smoking rates than the general population — though the gap has narrowed in recent years. Bisexual men continue to show significantly higher rates (approx. 28%) vs heterosexual men (~20%) (UK study, 2021). Smoking kills more MSM than HIV.</w:t>
            </w:r>
          </w:p>
        </w:tc>
        <w:tc>
          <w:tcPr>
            <w:tcW w:w="328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35924B87" w14:textId="77777777" w:rsidR="00E20B95" w:rsidRDefault="00000000">
            <w:r>
              <w:rPr>
                <w:sz w:val="20"/>
                <w:szCs w:val="20"/>
              </w:rPr>
              <w:t>Offer smoking cessation support. Be aware that minority stress may drive tobacco dependence — use a compassionate, non-judgemental approach.</w:t>
            </w:r>
          </w:p>
        </w:tc>
      </w:tr>
      <w:tr w:rsidR="00E20B95" w14:paraId="49BFD8DC" w14:textId="77777777">
        <w:tc>
          <w:tcPr>
            <w:tcW w:w="2800" w:type="dxa"/>
            <w:tcBorders>
              <w:top w:val="single" w:sz="4" w:space="0" w:color="D0D5DE"/>
              <w:left w:val="single" w:sz="4" w:space="0" w:color="D0D5DE"/>
              <w:bottom w:val="single" w:sz="4" w:space="0" w:color="D0D5DE"/>
              <w:right w:val="single" w:sz="4" w:space="0" w:color="D0D5DE"/>
            </w:tcBorders>
            <w:shd w:val="clear" w:color="auto" w:fill="EDE9F7"/>
            <w:tcMar>
              <w:top w:w="120" w:type="dxa"/>
              <w:left w:w="180" w:type="dxa"/>
              <w:bottom w:w="120" w:type="dxa"/>
              <w:right w:w="180" w:type="dxa"/>
            </w:tcMar>
          </w:tcPr>
          <w:p w14:paraId="65D131FD" w14:textId="77777777" w:rsidR="00E20B95" w:rsidRDefault="00000000">
            <w:r>
              <w:rPr>
                <w:rFonts w:ascii="Cambria" w:eastAsia="Cambria" w:hAnsi="Cambria" w:cs="Cambria"/>
                <w:b/>
                <w:bCs/>
                <w:color w:val="5B4A8A"/>
                <w:sz w:val="21"/>
                <w:szCs w:val="21"/>
              </w:rPr>
              <w:t>Depression &amp; Anxiety</w:t>
            </w:r>
          </w:p>
        </w:tc>
        <w:tc>
          <w:tcPr>
            <w:tcW w:w="32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5779147" w14:textId="77777777" w:rsidR="00E20B95" w:rsidRDefault="00000000">
            <w:r>
              <w:rPr>
                <w:sz w:val="20"/>
                <w:szCs w:val="20"/>
              </w:rPr>
              <w:t>LGB+ people are 1.5 times more likely to develop depression and anxiety than the general population. 52% of LGBTQ+ people reported experiencing depression in one UK survey. Minority stress, experiences of discrimination, and family rejection are key drivers.</w:t>
            </w:r>
          </w:p>
        </w:tc>
        <w:tc>
          <w:tcPr>
            <w:tcW w:w="32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770D0683" w14:textId="77777777" w:rsidR="00E20B95" w:rsidRDefault="00000000">
            <w:r>
              <w:rPr>
                <w:sz w:val="20"/>
                <w:szCs w:val="20"/>
              </w:rPr>
              <w:t>Screen proactively using PHQ-9/GAD-7. Explore social support, family situation, and experience of discrimination as part of your mental health assessment.</w:t>
            </w:r>
          </w:p>
        </w:tc>
      </w:tr>
      <w:tr w:rsidR="00E20B95" w14:paraId="0B6D6C28" w14:textId="77777777">
        <w:tc>
          <w:tcPr>
            <w:tcW w:w="2800" w:type="dxa"/>
            <w:tcBorders>
              <w:top w:val="single" w:sz="4" w:space="0" w:color="D0D5DE"/>
              <w:left w:val="single" w:sz="4" w:space="0" w:color="D0D5DE"/>
              <w:bottom w:val="single" w:sz="4" w:space="0" w:color="D0D5DE"/>
              <w:right w:val="single" w:sz="4" w:space="0" w:color="D0D5DE"/>
            </w:tcBorders>
            <w:shd w:val="clear" w:color="auto" w:fill="EDE9F7"/>
            <w:tcMar>
              <w:top w:w="120" w:type="dxa"/>
              <w:left w:w="180" w:type="dxa"/>
              <w:bottom w:w="120" w:type="dxa"/>
              <w:right w:w="180" w:type="dxa"/>
            </w:tcMar>
          </w:tcPr>
          <w:p w14:paraId="5FEF40C5" w14:textId="77777777" w:rsidR="00E20B95" w:rsidRDefault="00000000">
            <w:r>
              <w:rPr>
                <w:rFonts w:ascii="Cambria" w:eastAsia="Cambria" w:hAnsi="Cambria" w:cs="Cambria"/>
                <w:b/>
                <w:bCs/>
                <w:color w:val="5B4A8A"/>
                <w:sz w:val="21"/>
                <w:szCs w:val="21"/>
              </w:rPr>
              <w:t>Self-Harm &amp; Suicide</w:t>
            </w:r>
          </w:p>
        </w:tc>
        <w:tc>
          <w:tcPr>
            <w:tcW w:w="32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8949F07" w14:textId="77777777" w:rsidR="00E20B95" w:rsidRDefault="00000000">
            <w:r>
              <w:rPr>
                <w:sz w:val="20"/>
                <w:szCs w:val="20"/>
              </w:rPr>
              <w:t>Gay and bisexual men are 4 times more likely to attempt suicide across their lifetime than heterosexual men (Mental Health UK). ONS census data shows LGB+ people have a 2.4× higher risk of self-harm than heterosexuals.</w:t>
            </w:r>
          </w:p>
        </w:tc>
        <w:tc>
          <w:tcPr>
            <w:tcW w:w="328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78A5CB19" w14:textId="77777777" w:rsidR="00E20B95" w:rsidRDefault="00000000">
            <w:r>
              <w:rPr>
                <w:sz w:val="20"/>
                <w:szCs w:val="20"/>
              </w:rPr>
              <w:t>Ask directly about self-harm and suicidal ideation. Ensure safety planning is in place when needed. Safe messaging guidelines apply.</w:t>
            </w:r>
          </w:p>
        </w:tc>
      </w:tr>
      <w:tr w:rsidR="00E20B95" w14:paraId="07688035" w14:textId="77777777">
        <w:tc>
          <w:tcPr>
            <w:tcW w:w="2800" w:type="dxa"/>
            <w:tcBorders>
              <w:top w:val="single" w:sz="4" w:space="0" w:color="D0D5DE"/>
              <w:left w:val="single" w:sz="4" w:space="0" w:color="D0D5DE"/>
              <w:bottom w:val="single" w:sz="4" w:space="0" w:color="D0D5DE"/>
              <w:right w:val="single" w:sz="4" w:space="0" w:color="D0D5DE"/>
            </w:tcBorders>
            <w:shd w:val="clear" w:color="auto" w:fill="EDE9F7"/>
            <w:tcMar>
              <w:top w:w="120" w:type="dxa"/>
              <w:left w:w="180" w:type="dxa"/>
              <w:bottom w:w="120" w:type="dxa"/>
              <w:right w:w="180" w:type="dxa"/>
            </w:tcMar>
          </w:tcPr>
          <w:p w14:paraId="7FDAE78F" w14:textId="77777777" w:rsidR="00E20B95" w:rsidRDefault="00000000">
            <w:r>
              <w:rPr>
                <w:rFonts w:ascii="Cambria" w:eastAsia="Cambria" w:hAnsi="Cambria" w:cs="Cambria"/>
                <w:b/>
                <w:bCs/>
                <w:color w:val="5B4A8A"/>
                <w:sz w:val="21"/>
                <w:szCs w:val="21"/>
              </w:rPr>
              <w:t>Alcohol</w:t>
            </w:r>
          </w:p>
        </w:tc>
        <w:tc>
          <w:tcPr>
            <w:tcW w:w="32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0BF25F86" w14:textId="77777777" w:rsidR="00E20B95" w:rsidRDefault="00000000">
            <w:r>
              <w:rPr>
                <w:sz w:val="20"/>
                <w:szCs w:val="20"/>
              </w:rPr>
              <w:t>Higher rates of hazardous alcohol use are reported in LGB+ populations, often linked to social and bar culture, and minority stress.</w:t>
            </w:r>
          </w:p>
        </w:tc>
        <w:tc>
          <w:tcPr>
            <w:tcW w:w="328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6C4753D8" w14:textId="77777777" w:rsidR="00E20B95" w:rsidRDefault="00000000">
            <w:r>
              <w:rPr>
                <w:sz w:val="20"/>
                <w:szCs w:val="20"/>
              </w:rPr>
              <w:t>Ask about alcohol at every relevant consultation. Use AUDIT-C to screen. Provide brief intervention where appropriate.</w:t>
            </w:r>
          </w:p>
        </w:tc>
      </w:tr>
      <w:tr w:rsidR="00E20B95" w14:paraId="08ACDAAB" w14:textId="77777777">
        <w:tc>
          <w:tcPr>
            <w:tcW w:w="2800" w:type="dxa"/>
            <w:tcBorders>
              <w:top w:val="single" w:sz="4" w:space="0" w:color="D0D5DE"/>
              <w:left w:val="single" w:sz="4" w:space="0" w:color="D0D5DE"/>
              <w:bottom w:val="single" w:sz="4" w:space="0" w:color="D0D5DE"/>
              <w:right w:val="single" w:sz="4" w:space="0" w:color="D0D5DE"/>
            </w:tcBorders>
            <w:shd w:val="clear" w:color="auto" w:fill="EDE9F7"/>
            <w:tcMar>
              <w:top w:w="120" w:type="dxa"/>
              <w:left w:w="180" w:type="dxa"/>
              <w:bottom w:w="120" w:type="dxa"/>
              <w:right w:w="180" w:type="dxa"/>
            </w:tcMar>
          </w:tcPr>
          <w:p w14:paraId="4F0B12BF" w14:textId="77777777" w:rsidR="00E20B95" w:rsidRDefault="00000000">
            <w:r>
              <w:rPr>
                <w:rFonts w:ascii="Cambria" w:eastAsia="Cambria" w:hAnsi="Cambria" w:cs="Cambria"/>
                <w:b/>
                <w:bCs/>
                <w:color w:val="5B4A8A"/>
                <w:sz w:val="21"/>
                <w:szCs w:val="21"/>
              </w:rPr>
              <w:t>Violence &amp; Hate Crime</w:t>
            </w:r>
          </w:p>
        </w:tc>
        <w:tc>
          <w:tcPr>
            <w:tcW w:w="328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76DB0AA4" w14:textId="77777777" w:rsidR="00E20B95" w:rsidRDefault="00000000">
            <w:r>
              <w:rPr>
                <w:sz w:val="20"/>
                <w:szCs w:val="20"/>
              </w:rPr>
              <w:t>MSM are at higher risk of being victims of violent attack. These incidents are significantly under-reported to police.</w:t>
            </w:r>
          </w:p>
        </w:tc>
        <w:tc>
          <w:tcPr>
            <w:tcW w:w="328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4C342CF0" w14:textId="77777777" w:rsidR="00E20B95" w:rsidRDefault="00000000">
            <w:r>
              <w:rPr>
                <w:sz w:val="20"/>
                <w:szCs w:val="20"/>
              </w:rPr>
              <w:t>Enquire sensitively if a patient presents with unexplained injury. Know your local LGBTQ+ support services.</w:t>
            </w:r>
          </w:p>
        </w:tc>
      </w:tr>
    </w:tbl>
    <w:p w14:paraId="6A4D7FAD" w14:textId="77777777" w:rsidR="00E20B95" w:rsidRDefault="00E20B95">
      <w:pPr>
        <w:spacing w:after="160"/>
      </w:pPr>
    </w:p>
    <w:p w14:paraId="3A27FA79" w14:textId="77777777" w:rsidR="00E20B95" w:rsidRDefault="00E20B95">
      <w:pPr>
        <w:pBdr>
          <w:bottom w:val="single" w:sz="4" w:space="0" w:color="D0D5DE"/>
        </w:pBdr>
        <w:spacing w:before="120" w:after="120"/>
      </w:pPr>
    </w:p>
    <w:p w14:paraId="2AC0B9A4" w14:textId="77777777" w:rsidR="00E20B95" w:rsidRDefault="00000000">
      <w:pPr>
        <w:pStyle w:val="Heading2"/>
      </w:pPr>
      <w:proofErr w:type="gramStart"/>
      <w:r>
        <w:t>3.2  Coming</w:t>
      </w:r>
      <w:proofErr w:type="gramEnd"/>
      <w:r>
        <w:t xml:space="preserve"> Out — A Major Life Event</w:t>
      </w:r>
    </w:p>
    <w:p w14:paraId="3E9E9F92" w14:textId="77777777" w:rsidR="00E20B95" w:rsidRDefault="00000000">
      <w:pPr>
        <w:spacing w:before="60" w:after="100"/>
      </w:pPr>
      <w:r>
        <w:t>'Coming out' — the process of disclosing one's sexual identity to family, friends, and colleagues — is a significant psychological and social event. It is not a one-time moment; it happens repeatedly across a lifetime, in every new relationship and setting.</w:t>
      </w:r>
    </w:p>
    <w:p w14:paraId="665C7975" w14:textId="77777777" w:rsidR="00E20B95" w:rsidRDefault="00E20B95">
      <w:pPr>
        <w:spacing w:after="80"/>
      </w:pPr>
    </w:p>
    <w:p w14:paraId="04AC5A0B" w14:textId="77777777" w:rsidR="00E20B95" w:rsidRDefault="00000000">
      <w:pPr>
        <w:pStyle w:val="ListParagraph"/>
        <w:numPr>
          <w:ilvl w:val="0"/>
          <w:numId w:val="2"/>
        </w:numPr>
        <w:spacing w:before="40" w:after="60"/>
      </w:pPr>
      <w:r>
        <w:t>Many MSM face rejection, estrangement, or prejudice from family members after disclosure.</w:t>
      </w:r>
    </w:p>
    <w:p w14:paraId="630717FC" w14:textId="77777777" w:rsidR="00E20B95" w:rsidRDefault="00000000">
      <w:pPr>
        <w:pStyle w:val="ListParagraph"/>
        <w:numPr>
          <w:ilvl w:val="0"/>
          <w:numId w:val="2"/>
        </w:numPr>
        <w:spacing w:before="40" w:after="60"/>
      </w:pPr>
      <w:r>
        <w:t>Coming out in a workplace, faith community, or cultural setting where homosexuality is stigmatised can be particularly difficult.</w:t>
      </w:r>
    </w:p>
    <w:p w14:paraId="222FFD09" w14:textId="77777777" w:rsidR="00E20B95" w:rsidRDefault="00000000">
      <w:pPr>
        <w:pStyle w:val="ListParagraph"/>
        <w:numPr>
          <w:ilvl w:val="0"/>
          <w:numId w:val="2"/>
        </w:numPr>
        <w:spacing w:before="40" w:after="60"/>
      </w:pPr>
      <w:r>
        <w:t>Some patients may never have come out to anyone — and their GP may be the first person they disclose to.</w:t>
      </w:r>
    </w:p>
    <w:p w14:paraId="260AF79F" w14:textId="77777777" w:rsidR="00E20B95" w:rsidRDefault="00E20B95">
      <w:pPr>
        <w:spacing w:after="80"/>
      </w:pP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3D3BD0DB" w14:textId="77777777">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0DCA4ED4" w14:textId="77777777" w:rsidR="00E20B95" w:rsidRDefault="00000000">
            <w:pPr>
              <w:spacing w:after="60"/>
            </w:pPr>
            <w:r>
              <w:rPr>
                <w:rFonts w:ascii="Cambria" w:eastAsia="Cambria" w:hAnsi="Cambria" w:cs="Cambria"/>
                <w:b/>
                <w:bCs/>
                <w:caps/>
                <w:color w:val="E8892A"/>
                <w:sz w:val="20"/>
                <w:szCs w:val="20"/>
              </w:rPr>
              <w:t>Teaching Point for GPs</w:t>
            </w:r>
          </w:p>
          <w:p w14:paraId="253EDA1B" w14:textId="77777777" w:rsidR="00E20B95" w:rsidRDefault="00000000">
            <w:pPr>
              <w:spacing w:after="40"/>
            </w:pPr>
            <w:r>
              <w:rPr>
                <w:sz w:val="21"/>
                <w:szCs w:val="21"/>
              </w:rPr>
              <w:t xml:space="preserve">Do not underestimate the courage it takes a patient to disclose their sexuality to you. If it happens in your consultation, treat it with the gravity it deserves. Do not rush past it. A warm, </w:t>
            </w:r>
            <w:proofErr w:type="gramStart"/>
            <w:r>
              <w:rPr>
                <w:sz w:val="21"/>
                <w:szCs w:val="21"/>
              </w:rPr>
              <w:t>matter-of-fact</w:t>
            </w:r>
            <w:proofErr w:type="gramEnd"/>
            <w:r>
              <w:rPr>
                <w:sz w:val="21"/>
                <w:szCs w:val="21"/>
              </w:rPr>
              <w:t>, and affirming response can be genuinely transformative.</w:t>
            </w:r>
          </w:p>
          <w:p w14:paraId="77421566" w14:textId="77777777" w:rsidR="00E20B95" w:rsidRDefault="00000000">
            <w:pPr>
              <w:spacing w:after="40"/>
            </w:pPr>
            <w:r>
              <w:rPr>
                <w:sz w:val="21"/>
                <w:szCs w:val="21"/>
              </w:rPr>
              <w:t>Personal narratives about coming out make powerful and memorable reading — consider sharing examples with learners to build empathy.</w:t>
            </w:r>
          </w:p>
        </w:tc>
      </w:tr>
    </w:tbl>
    <w:p w14:paraId="3AC8437E" w14:textId="77777777" w:rsidR="00E20B95" w:rsidRDefault="00E20B95">
      <w:pPr>
        <w:spacing w:after="160"/>
      </w:pPr>
    </w:p>
    <w:p w14:paraId="2FD1FBC3" w14:textId="77777777" w:rsidR="00E20B95" w:rsidRDefault="00000000">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294DB2D3" w14:textId="77777777">
        <w:tc>
          <w:tcPr>
            <w:tcW w:w="9360" w:type="dxa"/>
            <w:tcBorders>
              <w:top w:val="none" w:sz="0" w:space="0" w:color="FFFFFF"/>
              <w:left w:val="none" w:sz="0" w:space="0" w:color="FFFFFF"/>
              <w:bottom w:val="none" w:sz="0" w:space="0" w:color="FFFFFF"/>
              <w:right w:val="none" w:sz="0" w:space="0" w:color="FFFFFF"/>
            </w:tcBorders>
            <w:shd w:val="clear" w:color="auto" w:fill="3A7D5E"/>
            <w:tcMar>
              <w:top w:w="180" w:type="dxa"/>
              <w:left w:w="300" w:type="dxa"/>
              <w:bottom w:w="180" w:type="dxa"/>
              <w:right w:w="300" w:type="dxa"/>
            </w:tcMar>
          </w:tcPr>
          <w:p w14:paraId="25B42A27" w14:textId="77777777" w:rsidR="00E20B95" w:rsidRDefault="00000000">
            <w:pPr>
              <w:spacing w:after="60"/>
            </w:pPr>
            <w:r>
              <w:rPr>
                <w:rFonts w:ascii="Cambria" w:eastAsia="Cambria" w:hAnsi="Cambria" w:cs="Cambria"/>
                <w:b/>
                <w:bCs/>
                <w:color w:val="FFFFFF"/>
                <w:sz w:val="36"/>
                <w:szCs w:val="36"/>
              </w:rPr>
              <w:lastRenderedPageBreak/>
              <w:t>Section 4: Communication Skills</w:t>
            </w:r>
          </w:p>
          <w:p w14:paraId="0BC1EA7F" w14:textId="77777777" w:rsidR="00E20B95" w:rsidRDefault="00000000">
            <w:r>
              <w:rPr>
                <w:i/>
                <w:iCs/>
                <w:color w:val="CCE8EE"/>
                <w:sz w:val="20"/>
                <w:szCs w:val="20"/>
              </w:rPr>
              <w:t>Taking a sensitive history and making your practice inclusive</w:t>
            </w:r>
          </w:p>
        </w:tc>
      </w:tr>
    </w:tbl>
    <w:p w14:paraId="24D21455" w14:textId="77777777" w:rsidR="00E20B95" w:rsidRDefault="00E20B95">
      <w:pPr>
        <w:spacing w:after="80"/>
      </w:pPr>
    </w:p>
    <w:p w14:paraId="2A62C5E4" w14:textId="77777777" w:rsidR="00E20B95" w:rsidRDefault="00000000">
      <w:pPr>
        <w:pStyle w:val="Heading2"/>
      </w:pPr>
      <w:proofErr w:type="gramStart"/>
      <w:r>
        <w:t>4.1  Taking</w:t>
      </w:r>
      <w:proofErr w:type="gramEnd"/>
      <w:r>
        <w:t xml:space="preserve"> a Sexual History — Practical Guidance</w:t>
      </w:r>
    </w:p>
    <w:p w14:paraId="2A4E7A78" w14:textId="77777777" w:rsidR="00E20B95" w:rsidRDefault="00000000">
      <w:pPr>
        <w:spacing w:before="60" w:after="100"/>
      </w:pPr>
      <w:r>
        <w:t>MSM are not identifiable by appearance, mannerism, or any visible characteristic. It is never safe to assume a patient's sexual behaviour. The solution is to ask everyone — in a routine, matter-of-fact way that signals normalisation rather than intrusion.</w:t>
      </w:r>
    </w:p>
    <w:p w14:paraId="1FBD21BE" w14:textId="77777777" w:rsidR="00E20B95" w:rsidRDefault="00E20B95">
      <w:pPr>
        <w:spacing w:after="80"/>
      </w:pPr>
    </w:p>
    <w:tbl>
      <w:tblPr>
        <w:tblW w:w="9360" w:type="dxa"/>
        <w:tblBorders>
          <w:top w:val="single" w:sz="4" w:space="0" w:color="1E7F8E"/>
          <w:left w:val="single" w:sz="12" w:space="0" w:color="1E7F8E"/>
          <w:bottom w:val="single" w:sz="4" w:space="0" w:color="1E7F8E"/>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3A3F3947" w14:textId="77777777">
        <w:tc>
          <w:tcPr>
            <w:tcW w:w="9360" w:type="dxa"/>
            <w:tcBorders>
              <w:top w:val="single" w:sz="4" w:space="0" w:color="1E7F8E"/>
              <w:left w:val="single" w:sz="12" w:space="0" w:color="1E7F8E"/>
              <w:bottom w:val="single" w:sz="4" w:space="0" w:color="1E7F8E"/>
              <w:right w:val="none" w:sz="0" w:space="0" w:color="FFFFFF"/>
            </w:tcBorders>
            <w:shd w:val="clear" w:color="auto" w:fill="D6EEF2"/>
            <w:tcMar>
              <w:top w:w="160" w:type="dxa"/>
              <w:left w:w="240" w:type="dxa"/>
              <w:bottom w:w="160" w:type="dxa"/>
              <w:right w:w="200" w:type="dxa"/>
            </w:tcMar>
          </w:tcPr>
          <w:p w14:paraId="35C428D3" w14:textId="77777777" w:rsidR="00E20B95" w:rsidRDefault="00000000">
            <w:pPr>
              <w:spacing w:after="60"/>
            </w:pPr>
            <w:r>
              <w:rPr>
                <w:rFonts w:ascii="Cambria" w:eastAsia="Cambria" w:hAnsi="Cambria" w:cs="Cambria"/>
                <w:b/>
                <w:bCs/>
                <w:caps/>
                <w:color w:val="1E7F8E"/>
                <w:sz w:val="20"/>
                <w:szCs w:val="20"/>
              </w:rPr>
              <w:t>Recommended Approach</w:t>
            </w:r>
          </w:p>
          <w:p w14:paraId="415F0656" w14:textId="77777777" w:rsidR="00E20B95" w:rsidRDefault="00000000">
            <w:pPr>
              <w:spacing w:after="40"/>
            </w:pPr>
            <w:r>
              <w:rPr>
                <w:sz w:val="21"/>
                <w:szCs w:val="21"/>
              </w:rPr>
              <w:t>When taking a sexual history, ask directly: 'Do you have sex with men, women, or both?' Include this in your routine sexual history framework. The more naturally and consistently you ask, the more comfortable both you and your patients will become.</w:t>
            </w:r>
          </w:p>
          <w:p w14:paraId="7582E95B" w14:textId="77777777" w:rsidR="00E20B95" w:rsidRDefault="00000000">
            <w:pPr>
              <w:spacing w:after="40"/>
            </w:pPr>
            <w:r>
              <w:rPr>
                <w:sz w:val="21"/>
                <w:szCs w:val="21"/>
              </w:rPr>
              <w:t>Remember: patients may not always answer honestly — not out of deception, but because they may not yet be ready to acknowledge it themselves. Create space without pressure.</w:t>
            </w:r>
          </w:p>
        </w:tc>
      </w:tr>
    </w:tbl>
    <w:p w14:paraId="26851DF4" w14:textId="77777777" w:rsidR="00E20B95" w:rsidRDefault="00E20B95">
      <w:pPr>
        <w:spacing w:after="80"/>
      </w:pPr>
    </w:p>
    <w:p w14:paraId="5BDAE637" w14:textId="77777777" w:rsidR="00E20B95" w:rsidRDefault="00000000">
      <w:pPr>
        <w:spacing w:before="60" w:after="100"/>
      </w:pPr>
      <w:r>
        <w:t>Key barriers to honest disclosure include:</w:t>
      </w:r>
    </w:p>
    <w:p w14:paraId="77BEBE3E" w14:textId="77777777" w:rsidR="00E20B95" w:rsidRDefault="00000000">
      <w:pPr>
        <w:pStyle w:val="ListParagraph"/>
        <w:numPr>
          <w:ilvl w:val="0"/>
          <w:numId w:val="2"/>
        </w:numPr>
        <w:spacing w:before="40" w:after="60"/>
      </w:pPr>
      <w:r>
        <w:t>Fear of a negative reaction or change in the quality of care</w:t>
      </w:r>
    </w:p>
    <w:p w14:paraId="6B9550CC" w14:textId="77777777" w:rsidR="00E20B95" w:rsidRDefault="00000000">
      <w:pPr>
        <w:pStyle w:val="ListParagraph"/>
        <w:numPr>
          <w:ilvl w:val="0"/>
          <w:numId w:val="2"/>
        </w:numPr>
        <w:spacing w:before="40" w:after="60"/>
      </w:pPr>
      <w:r>
        <w:t>Concern about confidentiality — particularly record-keeping that could reach employers or insurers</w:t>
      </w:r>
    </w:p>
    <w:p w14:paraId="5A49A11D" w14:textId="77777777" w:rsidR="00E20B95" w:rsidRDefault="00000000">
      <w:pPr>
        <w:pStyle w:val="ListParagraph"/>
        <w:numPr>
          <w:ilvl w:val="0"/>
          <w:numId w:val="2"/>
        </w:numPr>
        <w:spacing w:before="40" w:after="60"/>
      </w:pPr>
      <w:r>
        <w:t>Not yet being ready to accept their own identity</w:t>
      </w:r>
    </w:p>
    <w:p w14:paraId="55B6AAE1" w14:textId="77777777" w:rsidR="00E20B95" w:rsidRDefault="00000000">
      <w:pPr>
        <w:pStyle w:val="ListParagraph"/>
        <w:numPr>
          <w:ilvl w:val="0"/>
          <w:numId w:val="2"/>
        </w:numPr>
        <w:spacing w:before="40" w:after="60"/>
      </w:pPr>
      <w:proofErr w:type="gramStart"/>
      <w:r>
        <w:t>Past experience</w:t>
      </w:r>
      <w:proofErr w:type="gramEnd"/>
      <w:r>
        <w:t xml:space="preserve"> of stigma in healthcare settings</w:t>
      </w:r>
    </w:p>
    <w:p w14:paraId="5BC64F4E" w14:textId="77777777" w:rsidR="00E20B95" w:rsidRDefault="00E20B95">
      <w:pPr>
        <w:spacing w:after="80"/>
      </w:pPr>
    </w:p>
    <w:tbl>
      <w:tblPr>
        <w:tblW w:w="9360" w:type="dxa"/>
        <w:tblBorders>
          <w:top w:val="single" w:sz="4" w:space="0" w:color="5B4A8A"/>
          <w:left w:val="single" w:sz="12" w:space="0" w:color="5B4A8A"/>
          <w:bottom w:val="single" w:sz="4" w:space="0" w:color="5B4A8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1AF3305E" w14:textId="77777777">
        <w:tc>
          <w:tcPr>
            <w:tcW w:w="9360" w:type="dxa"/>
            <w:tcBorders>
              <w:top w:val="single" w:sz="4" w:space="0" w:color="5B4A8A"/>
              <w:left w:val="single" w:sz="12" w:space="0" w:color="5B4A8A"/>
              <w:bottom w:val="single" w:sz="4" w:space="0" w:color="5B4A8A"/>
              <w:right w:val="none" w:sz="0" w:space="0" w:color="FFFFFF"/>
            </w:tcBorders>
            <w:shd w:val="clear" w:color="auto" w:fill="EDE9F7"/>
            <w:tcMar>
              <w:top w:w="160" w:type="dxa"/>
              <w:left w:w="240" w:type="dxa"/>
              <w:bottom w:w="160" w:type="dxa"/>
              <w:right w:w="200" w:type="dxa"/>
            </w:tcMar>
          </w:tcPr>
          <w:p w14:paraId="61DD4DCF" w14:textId="77777777" w:rsidR="00E20B95" w:rsidRDefault="00000000">
            <w:pPr>
              <w:spacing w:after="60"/>
            </w:pPr>
            <w:r>
              <w:rPr>
                <w:rFonts w:ascii="Cambria" w:eastAsia="Cambria" w:hAnsi="Cambria" w:cs="Cambria"/>
                <w:b/>
                <w:bCs/>
                <w:caps/>
                <w:color w:val="5B4A8A"/>
                <w:sz w:val="20"/>
                <w:szCs w:val="20"/>
              </w:rPr>
              <w:t>Practical Communication Tips</w:t>
            </w:r>
          </w:p>
          <w:p w14:paraId="01FEDC50" w14:textId="77777777" w:rsidR="00E20B95" w:rsidRDefault="00000000">
            <w:pPr>
              <w:pStyle w:val="ListParagraph"/>
              <w:numPr>
                <w:ilvl w:val="0"/>
                <w:numId w:val="3"/>
              </w:numPr>
              <w:spacing w:before="30" w:after="40"/>
            </w:pPr>
            <w:r>
              <w:rPr>
                <w:sz w:val="21"/>
                <w:szCs w:val="21"/>
              </w:rPr>
              <w:t>Use inclusive, open-ended language. 'Do you have a partner?' is more inclusive than 'Do you have a girlfriend/boyfriend?'</w:t>
            </w:r>
          </w:p>
          <w:p w14:paraId="2956A1EF" w14:textId="77777777" w:rsidR="00E20B95" w:rsidRDefault="00000000">
            <w:pPr>
              <w:pStyle w:val="ListParagraph"/>
              <w:numPr>
                <w:ilvl w:val="0"/>
                <w:numId w:val="3"/>
              </w:numPr>
              <w:spacing w:before="30" w:after="40"/>
            </w:pPr>
            <w:r>
              <w:rPr>
                <w:sz w:val="21"/>
                <w:szCs w:val="21"/>
              </w:rPr>
              <w:t>Normalise the question: 'I ask all my patients about their sexual health as part of their overall health — I hope that's OK.'</w:t>
            </w:r>
          </w:p>
          <w:p w14:paraId="7B8F227E" w14:textId="77777777" w:rsidR="00E20B95" w:rsidRDefault="00000000">
            <w:pPr>
              <w:pStyle w:val="ListParagraph"/>
              <w:numPr>
                <w:ilvl w:val="0"/>
                <w:numId w:val="3"/>
              </w:numPr>
              <w:spacing w:before="30" w:after="40"/>
            </w:pPr>
            <w:r>
              <w:rPr>
                <w:sz w:val="21"/>
                <w:szCs w:val="21"/>
              </w:rPr>
              <w:t xml:space="preserve">Reassure about </w:t>
            </w:r>
            <w:proofErr w:type="gramStart"/>
            <w:r>
              <w:rPr>
                <w:sz w:val="21"/>
                <w:szCs w:val="21"/>
              </w:rPr>
              <w:t>confidentiality, but</w:t>
            </w:r>
            <w:proofErr w:type="gramEnd"/>
            <w:r>
              <w:rPr>
                <w:sz w:val="21"/>
                <w:szCs w:val="21"/>
              </w:rPr>
              <w:t xml:space="preserve"> be honest about its limits.</w:t>
            </w:r>
          </w:p>
          <w:p w14:paraId="3D2B365B" w14:textId="77777777" w:rsidR="00E20B95" w:rsidRDefault="00000000">
            <w:pPr>
              <w:pStyle w:val="ListParagraph"/>
              <w:numPr>
                <w:ilvl w:val="0"/>
                <w:numId w:val="3"/>
              </w:numPr>
              <w:spacing w:before="30" w:after="40"/>
            </w:pPr>
            <w:r>
              <w:rPr>
                <w:sz w:val="21"/>
                <w:szCs w:val="21"/>
              </w:rPr>
              <w:t>Acknowledge if you lack expertise — patients generally respond well to honesty and willingness to learn.</w:t>
            </w:r>
          </w:p>
          <w:p w14:paraId="3DD12131" w14:textId="77777777" w:rsidR="00E20B95" w:rsidRDefault="00000000">
            <w:pPr>
              <w:pStyle w:val="ListParagraph"/>
              <w:numPr>
                <w:ilvl w:val="0"/>
                <w:numId w:val="3"/>
              </w:numPr>
              <w:spacing w:before="30" w:after="40"/>
            </w:pPr>
            <w:r>
              <w:rPr>
                <w:sz w:val="21"/>
                <w:szCs w:val="21"/>
              </w:rPr>
              <w:t>Do not be visibly surprised or uncomfortable. Practise maintaining a calm, warm expression.</w:t>
            </w:r>
          </w:p>
        </w:tc>
      </w:tr>
    </w:tbl>
    <w:p w14:paraId="7E933846" w14:textId="77777777" w:rsidR="00E20B95" w:rsidRDefault="00E20B95">
      <w:pPr>
        <w:spacing w:after="160"/>
      </w:pPr>
    </w:p>
    <w:p w14:paraId="70E2C31F" w14:textId="60F72414" w:rsidR="00932D60" w:rsidRDefault="00932D60">
      <w:r>
        <w:br w:type="page"/>
      </w:r>
    </w:p>
    <w:p w14:paraId="042FF221" w14:textId="77777777" w:rsidR="00E20B95" w:rsidRDefault="00E20B95">
      <w:pPr>
        <w:pBdr>
          <w:bottom w:val="single" w:sz="4" w:space="0" w:color="D0D5DE"/>
        </w:pBdr>
        <w:spacing w:before="120" w:after="120"/>
      </w:pPr>
    </w:p>
    <w:p w14:paraId="46647978" w14:textId="77777777" w:rsidR="00E20B95" w:rsidRDefault="00000000">
      <w:pPr>
        <w:pStyle w:val="Heading2"/>
      </w:pPr>
      <w:proofErr w:type="gramStart"/>
      <w:r>
        <w:t>4.2  Making</w:t>
      </w:r>
      <w:proofErr w:type="gramEnd"/>
      <w:r>
        <w:t xml:space="preserve"> Your Practice LGBTQ+ Inclusive</w:t>
      </w:r>
    </w:p>
    <w:p w14:paraId="1794B827" w14:textId="77777777" w:rsidR="00E20B95" w:rsidRDefault="00000000">
      <w:pPr>
        <w:spacing w:before="60" w:after="100"/>
      </w:pPr>
      <w:r>
        <w:t>Creating a genuinely inclusive environment requires more than tolerating difference — it requires actively removing barriers.</w:t>
      </w:r>
    </w:p>
    <w:p w14:paraId="3F69758D" w14:textId="77777777" w:rsidR="00E20B95" w:rsidRDefault="00E20B95">
      <w:pPr>
        <w:spacing w:after="80"/>
      </w:pPr>
    </w:p>
    <w:tbl>
      <w:tblPr>
        <w:tblW w:w="9360" w:type="dxa"/>
        <w:tblBorders>
          <w:top w:val="single" w:sz="4" w:space="0" w:color="3A7D5E"/>
          <w:left w:val="single" w:sz="4" w:space="0" w:color="3A7D5E"/>
          <w:bottom w:val="single" w:sz="4" w:space="0" w:color="3A7D5E"/>
          <w:right w:val="single" w:sz="4" w:space="0" w:color="3A7D5E"/>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20B95" w14:paraId="5A52F648" w14:textId="77777777">
        <w:tc>
          <w:tcPr>
            <w:tcW w:w="2400" w:type="dxa"/>
            <w:tcBorders>
              <w:top w:val="single" w:sz="4" w:space="0" w:color="3A7D5E"/>
              <w:left w:val="single" w:sz="4" w:space="0" w:color="3A7D5E"/>
              <w:bottom w:val="single" w:sz="4" w:space="0" w:color="3A7D5E"/>
              <w:right w:val="single" w:sz="4" w:space="0" w:color="3A7D5E"/>
            </w:tcBorders>
            <w:shd w:val="clear" w:color="auto" w:fill="3A7D5E"/>
            <w:tcMar>
              <w:top w:w="120" w:type="dxa"/>
              <w:left w:w="180" w:type="dxa"/>
              <w:bottom w:w="120" w:type="dxa"/>
              <w:right w:w="180" w:type="dxa"/>
            </w:tcMar>
          </w:tcPr>
          <w:p w14:paraId="4BCF83B4" w14:textId="77777777" w:rsidR="00E20B95" w:rsidRDefault="00000000">
            <w:r>
              <w:rPr>
                <w:rFonts w:ascii="Cambria" w:eastAsia="Cambria" w:hAnsi="Cambria" w:cs="Cambria"/>
                <w:b/>
                <w:bCs/>
                <w:color w:val="FFFFFF"/>
                <w:sz w:val="21"/>
                <w:szCs w:val="21"/>
              </w:rPr>
              <w:t>Area</w:t>
            </w:r>
          </w:p>
        </w:tc>
        <w:tc>
          <w:tcPr>
            <w:tcW w:w="2400" w:type="dxa"/>
            <w:tcBorders>
              <w:top w:val="single" w:sz="4" w:space="0" w:color="3A7D5E"/>
              <w:left w:val="single" w:sz="4" w:space="0" w:color="3A7D5E"/>
              <w:bottom w:val="single" w:sz="4" w:space="0" w:color="3A7D5E"/>
              <w:right w:val="single" w:sz="4" w:space="0" w:color="3A7D5E"/>
            </w:tcBorders>
            <w:shd w:val="clear" w:color="auto" w:fill="3A7D5E"/>
            <w:tcMar>
              <w:top w:w="120" w:type="dxa"/>
              <w:left w:w="180" w:type="dxa"/>
              <w:bottom w:w="120" w:type="dxa"/>
              <w:right w:w="180" w:type="dxa"/>
            </w:tcMar>
          </w:tcPr>
          <w:p w14:paraId="72FC764A" w14:textId="77777777" w:rsidR="00E20B95" w:rsidRDefault="00000000">
            <w:r>
              <w:rPr>
                <w:rFonts w:ascii="Cambria" w:eastAsia="Cambria" w:hAnsi="Cambria" w:cs="Cambria"/>
                <w:b/>
                <w:bCs/>
                <w:color w:val="FFFFFF"/>
                <w:sz w:val="21"/>
                <w:szCs w:val="21"/>
              </w:rPr>
              <w:t>What You Can Do</w:t>
            </w:r>
          </w:p>
        </w:tc>
      </w:tr>
      <w:tr w:rsidR="00E20B95" w14:paraId="1572A22B"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3BBF1CAC" w14:textId="77777777" w:rsidR="00E20B95" w:rsidRDefault="00000000">
            <w:r>
              <w:rPr>
                <w:rFonts w:ascii="Cambria" w:eastAsia="Cambria" w:hAnsi="Cambria" w:cs="Cambria"/>
                <w:b/>
                <w:bCs/>
                <w:color w:val="3A7D5E"/>
                <w:sz w:val="21"/>
                <w:szCs w:val="21"/>
              </w:rPr>
              <w:t>Your attitude</w:t>
            </w:r>
          </w:p>
        </w:tc>
        <w:tc>
          <w:tcPr>
            <w:tcW w:w="69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2DBBB745" w14:textId="77777777" w:rsidR="00E20B95" w:rsidRDefault="00000000">
            <w:r>
              <w:rPr>
                <w:sz w:val="21"/>
                <w:szCs w:val="21"/>
              </w:rPr>
              <w:t>Reflect honestly on your own values. You do not need to have experienced something to provide compassionate, effective care — but you do need to be aware of your own biases.</w:t>
            </w:r>
          </w:p>
        </w:tc>
      </w:tr>
      <w:tr w:rsidR="00E20B95" w14:paraId="3B2F1CC6"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69C405C3" w14:textId="77777777" w:rsidR="00E20B95" w:rsidRDefault="00000000">
            <w:r>
              <w:rPr>
                <w:rFonts w:ascii="Cambria" w:eastAsia="Cambria" w:hAnsi="Cambria" w:cs="Cambria"/>
                <w:b/>
                <w:bCs/>
                <w:color w:val="3A7D5E"/>
                <w:sz w:val="21"/>
                <w:szCs w:val="21"/>
              </w:rPr>
              <w:t>Your language</w:t>
            </w:r>
          </w:p>
        </w:tc>
        <w:tc>
          <w:tcPr>
            <w:tcW w:w="69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01E083F" w14:textId="77777777" w:rsidR="00E20B95" w:rsidRDefault="00000000">
            <w:r>
              <w:rPr>
                <w:sz w:val="21"/>
                <w:szCs w:val="21"/>
              </w:rPr>
              <w:t>Use inclusive language throughout consultations and documentation. Avoid assuming a partner's gender. Use the name and pronouns a patient gives you.</w:t>
            </w:r>
          </w:p>
        </w:tc>
      </w:tr>
      <w:tr w:rsidR="00E20B95" w14:paraId="1EB0BDD3"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196FA123" w14:textId="77777777" w:rsidR="00E20B95" w:rsidRDefault="00000000">
            <w:r>
              <w:rPr>
                <w:rFonts w:ascii="Cambria" w:eastAsia="Cambria" w:hAnsi="Cambria" w:cs="Cambria"/>
                <w:b/>
                <w:bCs/>
                <w:color w:val="3A7D5E"/>
                <w:sz w:val="21"/>
                <w:szCs w:val="21"/>
              </w:rPr>
              <w:t>Your consulting room</w:t>
            </w:r>
          </w:p>
        </w:tc>
        <w:tc>
          <w:tcPr>
            <w:tcW w:w="69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6A8580F2" w14:textId="77777777" w:rsidR="00E20B95" w:rsidRDefault="00000000">
            <w:r>
              <w:rPr>
                <w:sz w:val="21"/>
                <w:szCs w:val="21"/>
              </w:rPr>
              <w:t>A visible diversity statement, an LGBTQ+-inclusive poster, or a Pride NHS symbol signals to patients that they are in a safe space — before they've said a word.</w:t>
            </w:r>
          </w:p>
        </w:tc>
      </w:tr>
      <w:tr w:rsidR="00E20B95" w14:paraId="00882F3C"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7D6F0F6E" w14:textId="77777777" w:rsidR="00E20B95" w:rsidRDefault="00000000">
            <w:r>
              <w:rPr>
                <w:rFonts w:ascii="Cambria" w:eastAsia="Cambria" w:hAnsi="Cambria" w:cs="Cambria"/>
                <w:b/>
                <w:bCs/>
                <w:color w:val="3A7D5E"/>
                <w:sz w:val="21"/>
                <w:szCs w:val="21"/>
              </w:rPr>
              <w:t>Your staff</w:t>
            </w:r>
          </w:p>
        </w:tc>
        <w:tc>
          <w:tcPr>
            <w:tcW w:w="69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8AFEF9D" w14:textId="77777777" w:rsidR="00E20B95" w:rsidRDefault="00000000">
            <w:r>
              <w:rPr>
                <w:sz w:val="21"/>
                <w:szCs w:val="21"/>
              </w:rPr>
              <w:t>Inclusion training for all staff matters — including receptionists, who are often the first point of contact.</w:t>
            </w:r>
          </w:p>
        </w:tc>
      </w:tr>
      <w:tr w:rsidR="00E20B95" w14:paraId="3681DDE7"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0388B212" w14:textId="77777777" w:rsidR="00E20B95" w:rsidRDefault="00000000">
            <w:r>
              <w:rPr>
                <w:rFonts w:ascii="Cambria" w:eastAsia="Cambria" w:hAnsi="Cambria" w:cs="Cambria"/>
                <w:b/>
                <w:bCs/>
                <w:color w:val="3A7D5E"/>
                <w:sz w:val="21"/>
                <w:szCs w:val="21"/>
              </w:rPr>
              <w:t>Signposting</w:t>
            </w:r>
          </w:p>
        </w:tc>
        <w:tc>
          <w:tcPr>
            <w:tcW w:w="69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2E240288" w14:textId="77777777" w:rsidR="00E20B95" w:rsidRDefault="00000000">
            <w:r>
              <w:rPr>
                <w:sz w:val="21"/>
                <w:szCs w:val="21"/>
              </w:rPr>
              <w:t>Know your local and national LGBTQ+ resources. Be ready to signpost when needed.</w:t>
            </w:r>
          </w:p>
        </w:tc>
      </w:tr>
      <w:tr w:rsidR="00E20B95" w14:paraId="45011DBD" w14:textId="77777777">
        <w:tc>
          <w:tcPr>
            <w:tcW w:w="2400" w:type="dxa"/>
            <w:tcBorders>
              <w:top w:val="single" w:sz="4" w:space="0" w:color="D0D5DE"/>
              <w:left w:val="single" w:sz="4" w:space="0" w:color="D0D5DE"/>
              <w:bottom w:val="single" w:sz="4" w:space="0" w:color="D0D5DE"/>
              <w:right w:val="single" w:sz="4" w:space="0" w:color="D0D5DE"/>
            </w:tcBorders>
            <w:shd w:val="clear" w:color="auto" w:fill="E2F0EC"/>
            <w:tcMar>
              <w:top w:w="120" w:type="dxa"/>
              <w:left w:w="180" w:type="dxa"/>
              <w:bottom w:w="120" w:type="dxa"/>
              <w:right w:w="180" w:type="dxa"/>
            </w:tcMar>
          </w:tcPr>
          <w:p w14:paraId="2F2AADD7" w14:textId="77777777" w:rsidR="00E20B95" w:rsidRDefault="00000000">
            <w:r>
              <w:rPr>
                <w:rFonts w:ascii="Cambria" w:eastAsia="Cambria" w:hAnsi="Cambria" w:cs="Cambria"/>
                <w:b/>
                <w:bCs/>
                <w:color w:val="3A7D5E"/>
                <w:sz w:val="21"/>
                <w:szCs w:val="21"/>
              </w:rPr>
              <w:t>Confidentiality</w:t>
            </w:r>
          </w:p>
        </w:tc>
        <w:tc>
          <w:tcPr>
            <w:tcW w:w="69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135BD4D8" w14:textId="77777777" w:rsidR="00E20B95" w:rsidRDefault="00000000">
            <w:r>
              <w:rPr>
                <w:sz w:val="21"/>
                <w:szCs w:val="21"/>
              </w:rPr>
              <w:t>Be clear about what confidentiality means in practice. Patients need to trust that their sexual orientation will not affect their insurance, employment, or family relationships through indiscreet record-keeping.</w:t>
            </w:r>
          </w:p>
        </w:tc>
      </w:tr>
    </w:tbl>
    <w:p w14:paraId="56DEA923" w14:textId="77777777" w:rsidR="00E20B95" w:rsidRDefault="00E20B95">
      <w:pPr>
        <w:spacing w:after="160"/>
      </w:pPr>
    </w:p>
    <w:p w14:paraId="370B7683" w14:textId="77777777" w:rsidR="00E20B95" w:rsidRDefault="00000000">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51822C50" w14:textId="77777777">
        <w:tc>
          <w:tcPr>
            <w:tcW w:w="9360" w:type="dxa"/>
            <w:tcBorders>
              <w:top w:val="none" w:sz="0" w:space="0" w:color="FFFFFF"/>
              <w:left w:val="none" w:sz="0" w:space="0" w:color="FFFFFF"/>
              <w:bottom w:val="none" w:sz="0" w:space="0" w:color="FFFFFF"/>
              <w:right w:val="none" w:sz="0" w:space="0" w:color="FFFFFF"/>
            </w:tcBorders>
            <w:shd w:val="clear" w:color="auto" w:fill="E8892A"/>
            <w:tcMar>
              <w:top w:w="180" w:type="dxa"/>
              <w:left w:w="300" w:type="dxa"/>
              <w:bottom w:w="180" w:type="dxa"/>
              <w:right w:w="300" w:type="dxa"/>
            </w:tcMar>
          </w:tcPr>
          <w:p w14:paraId="4DCE4E6A" w14:textId="77777777" w:rsidR="00E20B95" w:rsidRDefault="00000000">
            <w:pPr>
              <w:spacing w:after="60"/>
            </w:pPr>
            <w:r>
              <w:rPr>
                <w:rFonts w:ascii="Cambria" w:eastAsia="Cambria" w:hAnsi="Cambria" w:cs="Cambria"/>
                <w:b/>
                <w:bCs/>
                <w:color w:val="FFFFFF"/>
                <w:sz w:val="36"/>
                <w:szCs w:val="36"/>
              </w:rPr>
              <w:lastRenderedPageBreak/>
              <w:t>Section 5: Closing the Session &amp; Facilitator Notes</w:t>
            </w:r>
          </w:p>
          <w:p w14:paraId="7EA315A4" w14:textId="77777777" w:rsidR="00E20B95" w:rsidRDefault="00000000">
            <w:r>
              <w:rPr>
                <w:i/>
                <w:iCs/>
                <w:color w:val="CCE8EE"/>
                <w:sz w:val="20"/>
                <w:szCs w:val="20"/>
              </w:rPr>
              <w:t>How to end well — and what to leave learners with</w:t>
            </w:r>
          </w:p>
        </w:tc>
      </w:tr>
    </w:tbl>
    <w:p w14:paraId="09EADD18" w14:textId="77777777" w:rsidR="00E20B95" w:rsidRDefault="00E20B95">
      <w:pPr>
        <w:spacing w:after="80"/>
      </w:pPr>
    </w:p>
    <w:p w14:paraId="1230A801" w14:textId="5BCC26C6" w:rsidR="00E20B95" w:rsidRDefault="00000000">
      <w:pPr>
        <w:pStyle w:val="Heading2"/>
      </w:pPr>
      <w:proofErr w:type="gramStart"/>
      <w:r>
        <w:t>5.1  Closing</w:t>
      </w:r>
      <w:proofErr w:type="gramEnd"/>
      <w:r>
        <w:t xml:space="preserve"> Activity — Gay Slang Quiz</w:t>
      </w:r>
      <w:r w:rsidR="00F6101F">
        <w:t xml:space="preserve"> (available on Bradford VTS)</w:t>
      </w:r>
    </w:p>
    <w:p w14:paraId="6FA9F05F" w14:textId="77777777" w:rsidR="00E20B95" w:rsidRDefault="00000000">
      <w:pPr>
        <w:spacing w:before="60" w:after="100"/>
      </w:pPr>
      <w:r>
        <w:t>End the session with a light-touch, memorable activity. A brief quiz using gay slang terms serves several functions:</w:t>
      </w:r>
    </w:p>
    <w:p w14:paraId="65776DB0" w14:textId="77777777" w:rsidR="00E20B95" w:rsidRDefault="00000000">
      <w:pPr>
        <w:pStyle w:val="ListParagraph"/>
        <w:numPr>
          <w:ilvl w:val="0"/>
          <w:numId w:val="2"/>
        </w:numPr>
        <w:spacing w:before="40" w:after="60"/>
      </w:pPr>
      <w:r>
        <w:t>It breaks any remaining tension in the room</w:t>
      </w:r>
    </w:p>
    <w:p w14:paraId="31B7D879" w14:textId="77777777" w:rsidR="00E20B95" w:rsidRDefault="00000000">
      <w:pPr>
        <w:pStyle w:val="ListParagraph"/>
        <w:numPr>
          <w:ilvl w:val="0"/>
          <w:numId w:val="2"/>
        </w:numPr>
        <w:spacing w:before="40" w:after="60"/>
      </w:pPr>
      <w:r>
        <w:t>It demonstrates how unfamiliar learners may be with the everyday lives and language of MSM patients</w:t>
      </w:r>
    </w:p>
    <w:p w14:paraId="74F86422" w14:textId="77777777" w:rsidR="00E20B95" w:rsidRDefault="00000000">
      <w:pPr>
        <w:pStyle w:val="ListParagraph"/>
        <w:numPr>
          <w:ilvl w:val="0"/>
          <w:numId w:val="2"/>
        </w:numPr>
        <w:spacing w:before="40" w:after="60"/>
      </w:pPr>
      <w:r>
        <w:t>It creates a moment of levity that makes the session memorable</w:t>
      </w:r>
    </w:p>
    <w:p w14:paraId="782665CF" w14:textId="77777777" w:rsidR="00E20B95" w:rsidRDefault="00000000">
      <w:pPr>
        <w:pStyle w:val="ListParagraph"/>
        <w:numPr>
          <w:ilvl w:val="0"/>
          <w:numId w:val="2"/>
        </w:numPr>
        <w:spacing w:before="40" w:after="60"/>
      </w:pPr>
      <w:r>
        <w:t>It challenges the assumption that familiarity with a patient group requires prior personal experience</w:t>
      </w:r>
    </w:p>
    <w:p w14:paraId="741CA0F8" w14:textId="77777777" w:rsidR="00E20B95" w:rsidRDefault="00E20B95">
      <w:pPr>
        <w:spacing w:after="80"/>
      </w:pPr>
    </w:p>
    <w:tbl>
      <w:tblPr>
        <w:tblW w:w="9360" w:type="dxa"/>
        <w:tblBorders>
          <w:top w:val="single" w:sz="4" w:space="0" w:color="E8892A"/>
          <w:left w:val="single" w:sz="12" w:space="0" w:color="E8892A"/>
          <w:bottom w:val="single" w:sz="4" w:space="0" w:color="E8892A"/>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7329F361" w14:textId="77777777">
        <w:tc>
          <w:tcPr>
            <w:tcW w:w="9360" w:type="dxa"/>
            <w:tcBorders>
              <w:top w:val="single" w:sz="4" w:space="0" w:color="E8892A"/>
              <w:left w:val="single" w:sz="12" w:space="0" w:color="E8892A"/>
              <w:bottom w:val="single" w:sz="4" w:space="0" w:color="E8892A"/>
              <w:right w:val="none" w:sz="0" w:space="0" w:color="FFFFFF"/>
            </w:tcBorders>
            <w:shd w:val="clear" w:color="auto" w:fill="FDF0E0"/>
            <w:tcMar>
              <w:top w:w="160" w:type="dxa"/>
              <w:left w:w="240" w:type="dxa"/>
              <w:bottom w:w="160" w:type="dxa"/>
              <w:right w:w="200" w:type="dxa"/>
            </w:tcMar>
          </w:tcPr>
          <w:p w14:paraId="09584428" w14:textId="77777777" w:rsidR="00E20B95" w:rsidRDefault="00000000">
            <w:pPr>
              <w:spacing w:after="60"/>
            </w:pPr>
            <w:r>
              <w:rPr>
                <w:rFonts w:ascii="Cambria" w:eastAsia="Cambria" w:hAnsi="Cambria" w:cs="Cambria"/>
                <w:b/>
                <w:bCs/>
                <w:caps/>
                <w:color w:val="E8892A"/>
                <w:sz w:val="20"/>
                <w:szCs w:val="20"/>
              </w:rPr>
              <w:t>Facilitator Note</w:t>
            </w:r>
          </w:p>
          <w:p w14:paraId="1A3B61F7" w14:textId="77777777" w:rsidR="00E20B95" w:rsidRDefault="00000000">
            <w:pPr>
              <w:spacing w:after="40"/>
            </w:pPr>
            <w:r>
              <w:rPr>
                <w:sz w:val="21"/>
                <w:szCs w:val="21"/>
              </w:rPr>
              <w:t>Use this activity gently and inclusively. The aim is reflection and connection — not embarrassment. Frame it as: 'Your patient may use terms you have never heard before. That is completely normal — and the right response is to ask them to explain, not to pretend you understand.'</w:t>
            </w:r>
          </w:p>
        </w:tc>
      </w:tr>
    </w:tbl>
    <w:p w14:paraId="2B6AC85A" w14:textId="77777777" w:rsidR="00E20B95" w:rsidRDefault="00E20B95">
      <w:pPr>
        <w:spacing w:after="160"/>
      </w:pPr>
    </w:p>
    <w:p w14:paraId="3A94DEC4" w14:textId="77777777" w:rsidR="00E20B95" w:rsidRDefault="00E20B95">
      <w:pPr>
        <w:pBdr>
          <w:bottom w:val="single" w:sz="4" w:space="0" w:color="D0D5DE"/>
        </w:pBdr>
        <w:spacing w:before="120" w:after="120"/>
      </w:pPr>
    </w:p>
    <w:p w14:paraId="7C32D646" w14:textId="77777777" w:rsidR="00E20B95" w:rsidRDefault="00000000">
      <w:pPr>
        <w:pStyle w:val="Heading2"/>
      </w:pPr>
      <w:proofErr w:type="gramStart"/>
      <w:r>
        <w:t>5.2  Useful</w:t>
      </w:r>
      <w:proofErr w:type="gramEnd"/>
      <w:r>
        <w:t xml:space="preserve"> Resources for GPs</w:t>
      </w:r>
    </w:p>
    <w:tbl>
      <w:tblPr>
        <w:tblW w:w="9360" w:type="dxa"/>
        <w:tblBorders>
          <w:top w:val="single" w:sz="4" w:space="0" w:color="1B3A6B"/>
          <w:left w:val="single" w:sz="4" w:space="0" w:color="1B3A6B"/>
          <w:bottom w:val="single" w:sz="4" w:space="0" w:color="1B3A6B"/>
          <w:right w:val="single" w:sz="4"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E20B95" w14:paraId="599F66F6" w14:textId="77777777">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455329CD" w14:textId="77777777" w:rsidR="00E20B95" w:rsidRDefault="00000000">
            <w:r>
              <w:rPr>
                <w:rFonts w:ascii="Cambria" w:eastAsia="Cambria" w:hAnsi="Cambria" w:cs="Cambria"/>
                <w:b/>
                <w:bCs/>
                <w:color w:val="FFFFFF"/>
                <w:sz w:val="21"/>
                <w:szCs w:val="21"/>
              </w:rPr>
              <w:t>Resource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80" w:type="dxa"/>
              <w:bottom w:w="120" w:type="dxa"/>
              <w:right w:w="180" w:type="dxa"/>
            </w:tcMar>
          </w:tcPr>
          <w:p w14:paraId="22776661" w14:textId="77777777" w:rsidR="00E20B95" w:rsidRDefault="00000000">
            <w:r>
              <w:rPr>
                <w:rFonts w:ascii="Cambria" w:eastAsia="Cambria" w:hAnsi="Cambria" w:cs="Cambria"/>
                <w:b/>
                <w:bCs/>
                <w:color w:val="FFFFFF"/>
                <w:sz w:val="21"/>
                <w:szCs w:val="21"/>
              </w:rPr>
              <w:t>Description</w:t>
            </w:r>
          </w:p>
        </w:tc>
      </w:tr>
      <w:tr w:rsidR="00E20B95" w14:paraId="0CDFC59F"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533DCF65" w14:textId="77777777" w:rsidR="00E20B95" w:rsidRDefault="00000000">
            <w:r>
              <w:rPr>
                <w:rFonts w:ascii="Cambria" w:eastAsia="Cambria" w:hAnsi="Cambria" w:cs="Cambria"/>
                <w:b/>
                <w:bCs/>
                <w:color w:val="1B3A6B"/>
                <w:sz w:val="20"/>
                <w:szCs w:val="20"/>
              </w:rPr>
              <w:t>Terrence Higgins Trust tht.org.uk</w:t>
            </w:r>
          </w:p>
        </w:tc>
        <w:tc>
          <w:tcPr>
            <w:tcW w:w="61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054A4257" w14:textId="77777777" w:rsidR="00E20B95" w:rsidRDefault="00000000">
            <w:r>
              <w:rPr>
                <w:sz w:val="20"/>
                <w:szCs w:val="20"/>
              </w:rPr>
              <w:t>Excellent GP information service on HIV and sexual health. Can advise on counselling, testing, and treatment options for patients.</w:t>
            </w:r>
          </w:p>
        </w:tc>
      </w:tr>
      <w:tr w:rsidR="00E20B95" w14:paraId="3FB7FE6C"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7FAD1935" w14:textId="77777777" w:rsidR="00E20B95" w:rsidRDefault="00000000">
            <w:r>
              <w:rPr>
                <w:rFonts w:ascii="Cambria" w:eastAsia="Cambria" w:hAnsi="Cambria" w:cs="Cambria"/>
                <w:b/>
                <w:bCs/>
                <w:color w:val="1B3A6B"/>
                <w:sz w:val="20"/>
                <w:szCs w:val="20"/>
              </w:rPr>
              <w:t>BASHH (bashh.org)</w:t>
            </w:r>
          </w:p>
        </w:tc>
        <w:tc>
          <w:tcPr>
            <w:tcW w:w="61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2EAD0C27" w14:textId="77777777" w:rsidR="00E20B95" w:rsidRDefault="00000000">
            <w:r>
              <w:rPr>
                <w:sz w:val="20"/>
                <w:szCs w:val="20"/>
              </w:rPr>
              <w:t>British Association for Sexual Health and HIV. All current UK clinical guidelines for STI management and screening.</w:t>
            </w:r>
          </w:p>
        </w:tc>
      </w:tr>
      <w:tr w:rsidR="00E20B95" w14:paraId="555BE776"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10A84F4D" w14:textId="77777777" w:rsidR="00E20B95" w:rsidRDefault="00000000">
            <w:r>
              <w:rPr>
                <w:rFonts w:ascii="Cambria" w:eastAsia="Cambria" w:hAnsi="Cambria" w:cs="Cambria"/>
                <w:b/>
                <w:bCs/>
                <w:color w:val="1B3A6B"/>
                <w:sz w:val="20"/>
                <w:szCs w:val="20"/>
              </w:rPr>
              <w:t>UKHSA (gov.uk/</w:t>
            </w:r>
            <w:proofErr w:type="spellStart"/>
            <w:r>
              <w:rPr>
                <w:rFonts w:ascii="Cambria" w:eastAsia="Cambria" w:hAnsi="Cambria" w:cs="Cambria"/>
                <w:b/>
                <w:bCs/>
                <w:color w:val="1B3A6B"/>
                <w:sz w:val="20"/>
                <w:szCs w:val="20"/>
              </w:rPr>
              <w:t>ukhsa</w:t>
            </w:r>
            <w:proofErr w:type="spellEnd"/>
            <w:r>
              <w:rPr>
                <w:rFonts w:ascii="Cambria" w:eastAsia="Cambria" w:hAnsi="Cambria" w:cs="Cambria"/>
                <w:b/>
                <w:bCs/>
                <w:color w:val="1B3A6B"/>
                <w:sz w:val="20"/>
                <w:szCs w:val="20"/>
              </w:rPr>
              <w:t>)</w:t>
            </w:r>
          </w:p>
        </w:tc>
        <w:tc>
          <w:tcPr>
            <w:tcW w:w="61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23F6FD30" w14:textId="77777777" w:rsidR="00E20B95" w:rsidRDefault="00000000">
            <w:r>
              <w:rPr>
                <w:sz w:val="20"/>
                <w:szCs w:val="20"/>
              </w:rPr>
              <w:t>UK Health Security Agency. Publishes annual STI and HIV statistics for England.</w:t>
            </w:r>
          </w:p>
        </w:tc>
      </w:tr>
      <w:tr w:rsidR="00E20B95" w14:paraId="4E5BE650"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41CB8F94" w14:textId="77777777" w:rsidR="00E20B95" w:rsidRDefault="00000000">
            <w:r>
              <w:rPr>
                <w:rFonts w:ascii="Cambria" w:eastAsia="Cambria" w:hAnsi="Cambria" w:cs="Cambria"/>
                <w:b/>
                <w:bCs/>
                <w:color w:val="1B3A6B"/>
                <w:sz w:val="20"/>
                <w:szCs w:val="20"/>
              </w:rPr>
              <w:t>NICE (nice.org.uk)</w:t>
            </w:r>
          </w:p>
        </w:tc>
        <w:tc>
          <w:tcPr>
            <w:tcW w:w="6160" w:type="dxa"/>
            <w:tcBorders>
              <w:top w:val="single" w:sz="4" w:space="0" w:color="D0D5DE"/>
              <w:left w:val="single" w:sz="4" w:space="0" w:color="D0D5DE"/>
              <w:bottom w:val="single" w:sz="4" w:space="0" w:color="D0D5DE"/>
              <w:right w:val="single" w:sz="4" w:space="0" w:color="D0D5DE"/>
            </w:tcBorders>
            <w:shd w:val="clear" w:color="auto" w:fill="F4F6F8"/>
            <w:tcMar>
              <w:top w:w="120" w:type="dxa"/>
              <w:left w:w="180" w:type="dxa"/>
              <w:bottom w:w="120" w:type="dxa"/>
              <w:right w:w="180" w:type="dxa"/>
            </w:tcMar>
          </w:tcPr>
          <w:p w14:paraId="39500851" w14:textId="77777777" w:rsidR="00E20B95" w:rsidRDefault="00000000">
            <w:r>
              <w:rPr>
                <w:sz w:val="20"/>
                <w:szCs w:val="20"/>
              </w:rPr>
              <w:t xml:space="preserve">Guidelines on HIV testing, hepatitis B/C testing, and STI prevention. Includes </w:t>
            </w:r>
            <w:proofErr w:type="spellStart"/>
            <w:r>
              <w:rPr>
                <w:sz w:val="20"/>
                <w:szCs w:val="20"/>
              </w:rPr>
              <w:t>PrEP</w:t>
            </w:r>
            <w:proofErr w:type="spellEnd"/>
            <w:r>
              <w:rPr>
                <w:sz w:val="20"/>
                <w:szCs w:val="20"/>
              </w:rPr>
              <w:t xml:space="preserve"> guidance.</w:t>
            </w:r>
          </w:p>
        </w:tc>
      </w:tr>
      <w:tr w:rsidR="00E20B95" w14:paraId="7E4E38C3" w14:textId="77777777">
        <w:tc>
          <w:tcPr>
            <w:tcW w:w="3200" w:type="dxa"/>
            <w:tcBorders>
              <w:top w:val="single" w:sz="4" w:space="0" w:color="D0D5DE"/>
              <w:left w:val="single" w:sz="4" w:space="0" w:color="D0D5DE"/>
              <w:bottom w:val="single" w:sz="4" w:space="0" w:color="D0D5DE"/>
              <w:right w:val="single" w:sz="4" w:space="0" w:color="D0D5DE"/>
            </w:tcBorders>
            <w:shd w:val="clear" w:color="auto" w:fill="D6EEF2"/>
            <w:tcMar>
              <w:top w:w="120" w:type="dxa"/>
              <w:left w:w="180" w:type="dxa"/>
              <w:bottom w:w="120" w:type="dxa"/>
              <w:right w:w="180" w:type="dxa"/>
            </w:tcMar>
          </w:tcPr>
          <w:p w14:paraId="369F7191" w14:textId="77777777" w:rsidR="00E20B95" w:rsidRDefault="00000000">
            <w:r>
              <w:rPr>
                <w:rFonts w:ascii="Cambria" w:eastAsia="Cambria" w:hAnsi="Cambria" w:cs="Cambria"/>
                <w:b/>
                <w:bCs/>
                <w:color w:val="1B3A6B"/>
                <w:sz w:val="20"/>
                <w:szCs w:val="20"/>
              </w:rPr>
              <w:t>Stonewall (stonewall.org.uk)</w:t>
            </w:r>
          </w:p>
        </w:tc>
        <w:tc>
          <w:tcPr>
            <w:tcW w:w="6160" w:type="dxa"/>
            <w:tcBorders>
              <w:top w:val="single" w:sz="4" w:space="0" w:color="D0D5DE"/>
              <w:left w:val="single" w:sz="4" w:space="0" w:color="D0D5DE"/>
              <w:bottom w:val="single" w:sz="4" w:space="0" w:color="D0D5DE"/>
              <w:right w:val="single" w:sz="4" w:space="0" w:color="D0D5DE"/>
            </w:tcBorders>
            <w:shd w:val="clear" w:color="auto" w:fill="FFFFFF"/>
            <w:tcMar>
              <w:top w:w="120" w:type="dxa"/>
              <w:left w:w="180" w:type="dxa"/>
              <w:bottom w:w="120" w:type="dxa"/>
              <w:right w:w="180" w:type="dxa"/>
            </w:tcMar>
          </w:tcPr>
          <w:p w14:paraId="1DD48DBC" w14:textId="77777777" w:rsidR="00E20B95" w:rsidRDefault="00000000">
            <w:r>
              <w:rPr>
                <w:sz w:val="20"/>
                <w:szCs w:val="20"/>
              </w:rPr>
              <w:t>LGBTQ+ equality charity. Resources on inclusive healthcare practices and making your organisation welcoming.</w:t>
            </w:r>
          </w:p>
        </w:tc>
      </w:tr>
    </w:tbl>
    <w:p w14:paraId="19E49E62" w14:textId="77777777" w:rsidR="00E20B95" w:rsidRDefault="00E20B95">
      <w:pPr>
        <w:spacing w:after="160"/>
      </w:pPr>
    </w:p>
    <w:p w14:paraId="729CCDB8" w14:textId="77777777" w:rsidR="00E20B95" w:rsidRDefault="00000000">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084C3591"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80" w:type="dxa"/>
              <w:left w:w="300" w:type="dxa"/>
              <w:bottom w:w="180" w:type="dxa"/>
              <w:right w:w="300" w:type="dxa"/>
            </w:tcMar>
          </w:tcPr>
          <w:p w14:paraId="048D0DEC" w14:textId="77777777" w:rsidR="00E20B95" w:rsidRDefault="00000000">
            <w:pPr>
              <w:spacing w:after="60"/>
            </w:pPr>
            <w:r>
              <w:rPr>
                <w:rFonts w:ascii="Cambria" w:eastAsia="Cambria" w:hAnsi="Cambria" w:cs="Cambria"/>
                <w:b/>
                <w:bCs/>
                <w:color w:val="FFFFFF"/>
                <w:sz w:val="36"/>
                <w:szCs w:val="36"/>
              </w:rPr>
              <w:lastRenderedPageBreak/>
              <w:t>Participant Handout: Frequently Asked Questions</w:t>
            </w:r>
          </w:p>
          <w:p w14:paraId="325BD6CD" w14:textId="77777777" w:rsidR="00E20B95" w:rsidRDefault="00000000">
            <w:r>
              <w:rPr>
                <w:i/>
                <w:iCs/>
                <w:color w:val="CCE8EE"/>
                <w:sz w:val="20"/>
                <w:szCs w:val="20"/>
              </w:rPr>
              <w:t>For learners to keep — designed for self-directed reflection</w:t>
            </w:r>
          </w:p>
        </w:tc>
      </w:tr>
    </w:tbl>
    <w:p w14:paraId="6EAFACE7" w14:textId="77777777" w:rsidR="00E20B95" w:rsidRDefault="00E20B95">
      <w:pPr>
        <w:spacing w:after="80"/>
      </w:pPr>
    </w:p>
    <w:p w14:paraId="648900B8" w14:textId="77777777" w:rsidR="00E20B95" w:rsidRDefault="00000000">
      <w:pPr>
        <w:spacing w:before="60" w:after="100"/>
      </w:pPr>
      <w:r>
        <w:t>The following questions are commonly asked by doctors and medical students who have had little prior exposure to LGBTQ+ health topics. They are answered honestly, non-judgementally, and practically.</w:t>
      </w:r>
    </w:p>
    <w:p w14:paraId="76ED74C6" w14:textId="77777777" w:rsidR="00E20B95" w:rsidRDefault="00E20B95">
      <w:pPr>
        <w:spacing w:after="80"/>
      </w:pPr>
    </w:p>
    <w:p w14:paraId="0EA5B948" w14:textId="77777777" w:rsidR="00E20B95" w:rsidRDefault="00E20B95">
      <w:pPr>
        <w:pBdr>
          <w:bottom w:val="single" w:sz="4" w:space="0" w:color="1E7F8E"/>
        </w:pBdr>
        <w:spacing w:before="120" w:after="120"/>
      </w:pPr>
    </w:p>
    <w:p w14:paraId="06C1C19F" w14:textId="77777777" w:rsidR="00E20B95" w:rsidRDefault="00000000">
      <w:pPr>
        <w:pStyle w:val="Heading3"/>
      </w:pPr>
      <w:r>
        <w:t>I find the idea of homosexuality personally difficult. What should I do?</w:t>
      </w:r>
    </w:p>
    <w:p w14:paraId="522DA8A8" w14:textId="77777777" w:rsidR="00E20B95" w:rsidRDefault="00000000">
      <w:pPr>
        <w:spacing w:before="60" w:after="100"/>
      </w:pPr>
      <w:r>
        <w:t>This is more common than many doctors admit, and acknowledging it honestly is the first step. Discomfort is not the same as prejudice — but it becomes a problem if it affects how you care for patients.</w:t>
      </w:r>
    </w:p>
    <w:p w14:paraId="3CAC2234" w14:textId="77777777" w:rsidR="00E20B95" w:rsidRDefault="00000000">
      <w:pPr>
        <w:spacing w:before="60" w:after="100"/>
      </w:pPr>
      <w:r>
        <w:t>The good news is that clinical competence does not require personal comfort with every aspect of human behaviour. What it does require is a commitment to treating every patient with dignity and equal care, regardless of your private beliefs.</w:t>
      </w:r>
    </w:p>
    <w:p w14:paraId="04784A62" w14:textId="6DE1A1C8" w:rsidR="00932D60" w:rsidRDefault="00000000">
      <w:pPr>
        <w:spacing w:before="60" w:after="100"/>
      </w:pPr>
      <w:r>
        <w:t>If you find that your values are interfering with your ability to provide care, speak to your supervisor or a colleague. Consider reflective practice, Balint groups, or reading personal accounts from MSM patients — these can be genuinely transformative.</w:t>
      </w:r>
    </w:p>
    <w:p w14:paraId="0C613B16" w14:textId="0FE561B2" w:rsidR="00932D60" w:rsidRDefault="00932D60">
      <w:pPr>
        <w:spacing w:before="60" w:after="100"/>
      </w:pPr>
      <w:r>
        <w:t>Refusing to learn more about or engage with people who you feel uncomfortable with is what leads to a deepening of ignorance.   Think about it – wars often happen with people not willing to learn about each other – thus heightening their fear and distaste for them.</w:t>
      </w:r>
    </w:p>
    <w:p w14:paraId="163E94C2" w14:textId="77777777" w:rsidR="00E20B95" w:rsidRDefault="00E20B95">
      <w:pPr>
        <w:spacing w:after="80"/>
      </w:pPr>
    </w:p>
    <w:p w14:paraId="79DD9244" w14:textId="77777777" w:rsidR="00E20B95" w:rsidRDefault="00E20B95">
      <w:pPr>
        <w:pBdr>
          <w:bottom w:val="single" w:sz="4" w:space="0" w:color="D0D5DE"/>
        </w:pBdr>
        <w:spacing w:before="120" w:after="120"/>
      </w:pPr>
    </w:p>
    <w:p w14:paraId="444138F5" w14:textId="77777777" w:rsidR="00E20B95" w:rsidRDefault="00000000">
      <w:pPr>
        <w:pStyle w:val="Heading3"/>
      </w:pPr>
      <w:r>
        <w:t>How do I ask a patient about their sexual preferences without causing offence?</w:t>
      </w:r>
    </w:p>
    <w:p w14:paraId="1532EB65" w14:textId="5EC259AD" w:rsidR="00E20B95" w:rsidRDefault="00000000">
      <w:pPr>
        <w:spacing w:before="60" w:after="100"/>
      </w:pPr>
      <w:r>
        <w:t xml:space="preserve">By asking directly, calmly, and routinely — as part of a standard sexual history. The phrasing is inclusive, </w:t>
      </w:r>
      <w:proofErr w:type="gramStart"/>
      <w:r>
        <w:t>matter-of-fact</w:t>
      </w:r>
      <w:proofErr w:type="gramEnd"/>
      <w:r>
        <w:t>, and normalising.</w:t>
      </w:r>
      <w:r w:rsidR="00932D60">
        <w:t xml:space="preserve">  Never say something like “I hope I don’t offend </w:t>
      </w:r>
      <w:proofErr w:type="gramStart"/>
      <w:r w:rsidR="00932D60">
        <w:t>you</w:t>
      </w:r>
      <w:proofErr w:type="gramEnd"/>
      <w:r w:rsidR="00932D60">
        <w:t xml:space="preserve"> but do you mind if I ask if you are gay”.   That statement itself almost implies by you that being gay is offensive.   It is not!  Instead, say something like: 'Do you have sex with men, women, or both?' works well.</w:t>
      </w:r>
    </w:p>
    <w:p w14:paraId="5D7D33BE" w14:textId="77777777" w:rsidR="00E20B95" w:rsidRDefault="00000000">
      <w:pPr>
        <w:spacing w:before="60" w:after="100"/>
      </w:pPr>
      <w:r>
        <w:t>Most patients are not offended by the question itself — they are more concerned about what happens after they answer it. Your response to their answer matters far more than the question.</w:t>
      </w:r>
    </w:p>
    <w:p w14:paraId="2736E6C1" w14:textId="77777777" w:rsidR="00E20B95" w:rsidRDefault="00000000">
      <w:pPr>
        <w:spacing w:before="60" w:after="100"/>
      </w:pPr>
      <w:r>
        <w:t>If you are nervous, acknowledge it — authentically and briefly. Patients generally respond well to GPs who are trying. What damages trust is pretence, dismissal, or visible discomfort.</w:t>
      </w:r>
    </w:p>
    <w:p w14:paraId="003F2EB8" w14:textId="77777777" w:rsidR="00E20B95" w:rsidRDefault="00E20B95">
      <w:pPr>
        <w:spacing w:after="80"/>
      </w:pPr>
    </w:p>
    <w:p w14:paraId="12EFE997" w14:textId="77777777" w:rsidR="00E20B95" w:rsidRDefault="00E20B95">
      <w:pPr>
        <w:pBdr>
          <w:bottom w:val="single" w:sz="4" w:space="0" w:color="D0D5DE"/>
        </w:pBdr>
        <w:spacing w:before="120" w:after="120"/>
      </w:pPr>
    </w:p>
    <w:p w14:paraId="18E107CC" w14:textId="77777777" w:rsidR="00E20B95" w:rsidRDefault="00000000">
      <w:pPr>
        <w:pStyle w:val="Heading3"/>
      </w:pPr>
      <w:r>
        <w:t>How can I make my practice more LGBTQ+ friendly?</w:t>
      </w:r>
    </w:p>
    <w:p w14:paraId="0BF4D8F6" w14:textId="77777777" w:rsidR="00E20B95" w:rsidRDefault="00000000">
      <w:pPr>
        <w:spacing w:before="60" w:after="100"/>
      </w:pPr>
      <w:r>
        <w:t>Start with honest self-reflection: Do you and your practice team hold assumptions that create barriers? This might be in the language you use, the forms you ask patients to complete, or the posters on your wall.</w:t>
      </w:r>
    </w:p>
    <w:p w14:paraId="4B3415B6" w14:textId="77777777" w:rsidR="00E20B95" w:rsidRDefault="00000000">
      <w:pPr>
        <w:spacing w:before="60" w:after="100"/>
      </w:pPr>
      <w:r>
        <w:t>Some practical steps:</w:t>
      </w:r>
    </w:p>
    <w:p w14:paraId="2831C9EE" w14:textId="77777777" w:rsidR="00E20B95" w:rsidRDefault="00000000">
      <w:pPr>
        <w:pStyle w:val="ListParagraph"/>
        <w:numPr>
          <w:ilvl w:val="0"/>
          <w:numId w:val="2"/>
        </w:numPr>
        <w:spacing w:before="40" w:after="60"/>
      </w:pPr>
      <w:r>
        <w:t>Display an LGBTQ+-inclusive statement or visual symbol in your waiting room</w:t>
      </w:r>
    </w:p>
    <w:p w14:paraId="191C8136" w14:textId="77777777" w:rsidR="00E20B95" w:rsidRDefault="00000000">
      <w:pPr>
        <w:pStyle w:val="ListParagraph"/>
        <w:numPr>
          <w:ilvl w:val="0"/>
          <w:numId w:val="2"/>
        </w:numPr>
        <w:spacing w:before="40" w:after="60"/>
      </w:pPr>
      <w:r>
        <w:t>Train all reception and admin staff in inclusive communication</w:t>
      </w:r>
    </w:p>
    <w:p w14:paraId="7595AE9C" w14:textId="77777777" w:rsidR="00E20B95" w:rsidRDefault="00000000">
      <w:pPr>
        <w:pStyle w:val="ListParagraph"/>
        <w:numPr>
          <w:ilvl w:val="0"/>
          <w:numId w:val="2"/>
        </w:numPr>
        <w:spacing w:before="40" w:after="60"/>
      </w:pPr>
      <w:r>
        <w:t>Use inclusive language throughout your consultations and documentation</w:t>
      </w:r>
    </w:p>
    <w:p w14:paraId="0A588725" w14:textId="77777777" w:rsidR="00E20B95" w:rsidRDefault="00000000">
      <w:pPr>
        <w:pStyle w:val="ListParagraph"/>
        <w:numPr>
          <w:ilvl w:val="0"/>
          <w:numId w:val="2"/>
        </w:numPr>
        <w:spacing w:before="40" w:after="60"/>
      </w:pPr>
      <w:r>
        <w:t>Ensure your patient registration forms allow for diverse gender and relationship descriptions</w:t>
      </w:r>
    </w:p>
    <w:p w14:paraId="01453C49" w14:textId="77777777" w:rsidR="00E20B95" w:rsidRDefault="00000000">
      <w:pPr>
        <w:pStyle w:val="ListParagraph"/>
        <w:numPr>
          <w:ilvl w:val="0"/>
          <w:numId w:val="2"/>
        </w:numPr>
        <w:spacing w:before="40" w:after="60"/>
      </w:pPr>
      <w:r>
        <w:t>Know your local LGBTQ+ health and support resources</w:t>
      </w:r>
    </w:p>
    <w:p w14:paraId="58266594" w14:textId="77777777" w:rsidR="00E20B95" w:rsidRDefault="00E20B95">
      <w:pPr>
        <w:spacing w:after="80"/>
      </w:pPr>
    </w:p>
    <w:p w14:paraId="5413CD49" w14:textId="77777777" w:rsidR="00E20B95" w:rsidRDefault="00E20B95">
      <w:pPr>
        <w:pBdr>
          <w:bottom w:val="single" w:sz="4" w:space="0" w:color="D0D5DE"/>
        </w:pBdr>
        <w:spacing w:before="120" w:after="120"/>
      </w:pPr>
    </w:p>
    <w:p w14:paraId="16B74BC1" w14:textId="77777777" w:rsidR="00E20B95" w:rsidRDefault="00000000">
      <w:pPr>
        <w:pStyle w:val="Heading3"/>
      </w:pPr>
      <w:r>
        <w:t>Why do I know so little about LGBTQ+ health?</w:t>
      </w:r>
    </w:p>
    <w:p w14:paraId="10E1E39D" w14:textId="77777777" w:rsidR="00E20B95" w:rsidRDefault="00000000">
      <w:pPr>
        <w:spacing w:before="60" w:after="100"/>
      </w:pPr>
      <w:r>
        <w:t>LGBTQ+ health has historically been under-represented in medical education. Many of the images of LGBTQ+ communities that are culturally prevalent do not reflect the reality of most people's lives — the gay world is as varied, diverse, and ordinary as the straight world.</w:t>
      </w:r>
    </w:p>
    <w:p w14:paraId="44E5AFDD" w14:textId="77777777" w:rsidR="00E20B95" w:rsidRDefault="00000000">
      <w:pPr>
        <w:spacing w:before="60" w:after="100"/>
      </w:pPr>
      <w:r>
        <w:t>No GP is expected to know everything about every patient group. What matters is a commitment to asking, listening, and learning. Your patients are often the best teachers — ask them about their lives, their experiences, and what would make your care better.</w:t>
      </w:r>
    </w:p>
    <w:p w14:paraId="3A98831C" w14:textId="77777777" w:rsidR="00E20B95" w:rsidRDefault="00E20B95">
      <w:pPr>
        <w:spacing w:after="80"/>
      </w:pPr>
    </w:p>
    <w:p w14:paraId="07EA8A23" w14:textId="77777777" w:rsidR="00E20B95" w:rsidRDefault="00E20B95">
      <w:pPr>
        <w:pBdr>
          <w:bottom w:val="single" w:sz="4" w:space="0" w:color="D0D5DE"/>
        </w:pBdr>
        <w:spacing w:before="120" w:after="120"/>
      </w:pPr>
    </w:p>
    <w:p w14:paraId="4BC226B3" w14:textId="77777777" w:rsidR="00E20B95" w:rsidRDefault="00000000">
      <w:pPr>
        <w:pStyle w:val="Heading3"/>
      </w:pPr>
      <w:r>
        <w:t>What if I feel I cannot help this patient adequately?</w:t>
      </w:r>
    </w:p>
    <w:p w14:paraId="72536D87" w14:textId="77777777" w:rsidR="00E20B95" w:rsidRDefault="00000000">
      <w:pPr>
        <w:spacing w:before="60" w:after="100"/>
      </w:pPr>
      <w:r>
        <w:t>Admitting the limits of your knowledge is one of the most trusted things a doctor can say — provided it is followed by action. 'I don't know much about this, but I want to help and I'll find out' is a far more therapeutic response than a confident but incorrect one.</w:t>
      </w:r>
    </w:p>
    <w:p w14:paraId="059DBF58" w14:textId="77777777" w:rsidR="00E20B95" w:rsidRDefault="00000000">
      <w:pPr>
        <w:spacing w:before="60" w:after="100"/>
      </w:pPr>
      <w:r>
        <w:t>Be prepared to:</w:t>
      </w:r>
    </w:p>
    <w:p w14:paraId="0FC24AA5" w14:textId="77777777" w:rsidR="00E20B95" w:rsidRDefault="00000000">
      <w:pPr>
        <w:pStyle w:val="ListParagraph"/>
        <w:numPr>
          <w:ilvl w:val="0"/>
          <w:numId w:val="2"/>
        </w:numPr>
        <w:spacing w:before="40" w:after="60"/>
      </w:pPr>
      <w:r>
        <w:t>Acknowledge the gap honestly</w:t>
      </w:r>
    </w:p>
    <w:p w14:paraId="2BB64DD8" w14:textId="77777777" w:rsidR="00E20B95" w:rsidRDefault="00000000">
      <w:pPr>
        <w:pStyle w:val="ListParagraph"/>
        <w:numPr>
          <w:ilvl w:val="0"/>
          <w:numId w:val="2"/>
        </w:numPr>
        <w:spacing w:before="40" w:after="60"/>
      </w:pPr>
      <w:r>
        <w:t>Offer to follow up once you have sought advice</w:t>
      </w:r>
    </w:p>
    <w:p w14:paraId="0BD53043" w14:textId="77777777" w:rsidR="00E20B95" w:rsidRDefault="00000000">
      <w:pPr>
        <w:pStyle w:val="ListParagraph"/>
        <w:numPr>
          <w:ilvl w:val="0"/>
          <w:numId w:val="2"/>
        </w:numPr>
        <w:spacing w:before="40" w:after="60"/>
      </w:pPr>
      <w:r>
        <w:t>Signpost to specialist sexual health services, the Terrence Higgins Trust, or LGBTQ+-specific support organisations</w:t>
      </w:r>
    </w:p>
    <w:p w14:paraId="0CA9372F" w14:textId="77777777" w:rsidR="00E20B95" w:rsidRDefault="00000000">
      <w:pPr>
        <w:pStyle w:val="ListParagraph"/>
        <w:numPr>
          <w:ilvl w:val="0"/>
          <w:numId w:val="2"/>
        </w:numPr>
        <w:spacing w:before="40" w:after="60"/>
      </w:pPr>
      <w:r>
        <w:t>Seek supervision or reflective learning opportunities to build your knowledge</w:t>
      </w:r>
    </w:p>
    <w:p w14:paraId="52B6CC6E" w14:textId="77777777" w:rsidR="00E20B95" w:rsidRDefault="00E20B95">
      <w:pPr>
        <w:spacing w:after="160"/>
      </w:pPr>
    </w:p>
    <w:p w14:paraId="49CD874E" w14:textId="77777777" w:rsidR="00E20B95" w:rsidRDefault="00E20B95">
      <w:pPr>
        <w:pBdr>
          <w:bottom w:val="single" w:sz="4" w:space="0" w:color="1E7F8E"/>
        </w:pBdr>
        <w:spacing w:before="120" w:after="120"/>
      </w:pPr>
    </w:p>
    <w:p w14:paraId="6CCC9207" w14:textId="77777777" w:rsidR="00E20B95" w:rsidRDefault="00E20B95">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20B95" w14:paraId="33648B7C" w14:textId="77777777">
        <w:tc>
          <w:tcPr>
            <w:tcW w:w="9360" w:type="dxa"/>
            <w:tcBorders>
              <w:top w:val="none" w:sz="0" w:space="0" w:color="FFFFFF"/>
              <w:left w:val="none" w:sz="0" w:space="0" w:color="FFFFFF"/>
              <w:bottom w:val="none" w:sz="0" w:space="0" w:color="FFFFFF"/>
              <w:right w:val="none" w:sz="0" w:space="0" w:color="FFFFFF"/>
            </w:tcBorders>
            <w:shd w:val="clear" w:color="auto" w:fill="D6EEF2"/>
            <w:tcMar>
              <w:top w:w="200" w:type="dxa"/>
              <w:left w:w="300" w:type="dxa"/>
              <w:bottom w:w="200" w:type="dxa"/>
              <w:right w:w="300" w:type="dxa"/>
            </w:tcMar>
          </w:tcPr>
          <w:p w14:paraId="7F0AF673" w14:textId="77777777" w:rsidR="00E20B95" w:rsidRDefault="00000000">
            <w:pPr>
              <w:spacing w:after="80"/>
              <w:jc w:val="center"/>
            </w:pPr>
            <w:r>
              <w:rPr>
                <w:rFonts w:ascii="Cambria" w:eastAsia="Cambria" w:hAnsi="Cambria" w:cs="Cambria"/>
                <w:b/>
                <w:bCs/>
                <w:color w:val="1E7F8E"/>
              </w:rPr>
              <w:t>Clinical Sources &amp; Acknowledgements</w:t>
            </w:r>
          </w:p>
          <w:p w14:paraId="629D86CC" w14:textId="77777777" w:rsidR="00E20B95" w:rsidRDefault="00000000">
            <w:pPr>
              <w:spacing w:after="60"/>
              <w:jc w:val="center"/>
            </w:pPr>
            <w:r>
              <w:rPr>
                <w:sz w:val="20"/>
                <w:szCs w:val="20"/>
              </w:rPr>
              <w:t>This teaching plan is evidence-based and verified against the following primary sources:</w:t>
            </w:r>
          </w:p>
          <w:p w14:paraId="5049250A" w14:textId="77777777" w:rsidR="00E20B95" w:rsidRDefault="00000000">
            <w:pPr>
              <w:spacing w:after="40"/>
              <w:jc w:val="center"/>
            </w:pPr>
            <w:r>
              <w:rPr>
                <w:i/>
                <w:iCs/>
                <w:color w:val="5A8F9A"/>
                <w:sz w:val="18"/>
                <w:szCs w:val="18"/>
              </w:rPr>
              <w:t>UKHSA HIV and STI Annual Data (2024</w:t>
            </w:r>
            <w:proofErr w:type="gramStart"/>
            <w:r>
              <w:rPr>
                <w:i/>
                <w:iCs/>
                <w:color w:val="5A8F9A"/>
                <w:sz w:val="18"/>
                <w:szCs w:val="18"/>
              </w:rPr>
              <w:t>)  |</w:t>
            </w:r>
            <w:proofErr w:type="gramEnd"/>
            <w:r>
              <w:rPr>
                <w:i/>
                <w:iCs/>
                <w:color w:val="5A8F9A"/>
                <w:sz w:val="18"/>
                <w:szCs w:val="18"/>
              </w:rPr>
              <w:t xml:space="preserve">  BASHH Clinical </w:t>
            </w:r>
            <w:proofErr w:type="gramStart"/>
            <w:r>
              <w:rPr>
                <w:i/>
                <w:iCs/>
                <w:color w:val="5A8F9A"/>
                <w:sz w:val="18"/>
                <w:szCs w:val="18"/>
              </w:rPr>
              <w:t>Guidelines  |</w:t>
            </w:r>
            <w:proofErr w:type="gramEnd"/>
            <w:r>
              <w:rPr>
                <w:i/>
                <w:iCs/>
                <w:color w:val="5A8F9A"/>
                <w:sz w:val="18"/>
                <w:szCs w:val="18"/>
              </w:rPr>
              <w:t xml:space="preserve">  NICE PH43 (Hepatitis B/C </w:t>
            </w:r>
            <w:proofErr w:type="gramStart"/>
            <w:r>
              <w:rPr>
                <w:i/>
                <w:iCs/>
                <w:color w:val="5A8F9A"/>
                <w:sz w:val="18"/>
                <w:szCs w:val="18"/>
              </w:rPr>
              <w:t>Testing)  |</w:t>
            </w:r>
            <w:proofErr w:type="gramEnd"/>
            <w:r>
              <w:rPr>
                <w:i/>
                <w:iCs/>
                <w:color w:val="5A8F9A"/>
                <w:sz w:val="18"/>
                <w:szCs w:val="18"/>
              </w:rPr>
              <w:t xml:space="preserve">  NICE STI Reduction </w:t>
            </w:r>
            <w:proofErr w:type="gramStart"/>
            <w:r>
              <w:rPr>
                <w:i/>
                <w:iCs/>
                <w:color w:val="5A8F9A"/>
                <w:sz w:val="18"/>
                <w:szCs w:val="18"/>
              </w:rPr>
              <w:t>Guideline  |</w:t>
            </w:r>
            <w:proofErr w:type="gramEnd"/>
            <w:r>
              <w:rPr>
                <w:i/>
                <w:iCs/>
                <w:color w:val="5A8F9A"/>
                <w:sz w:val="18"/>
                <w:szCs w:val="18"/>
              </w:rPr>
              <w:t xml:space="preserve">  Terrence Higgins </w:t>
            </w:r>
            <w:proofErr w:type="gramStart"/>
            <w:r>
              <w:rPr>
                <w:i/>
                <w:iCs/>
                <w:color w:val="5A8F9A"/>
                <w:sz w:val="18"/>
                <w:szCs w:val="18"/>
              </w:rPr>
              <w:t>Trust  |</w:t>
            </w:r>
            <w:proofErr w:type="gramEnd"/>
            <w:r>
              <w:rPr>
                <w:i/>
                <w:iCs/>
                <w:color w:val="5A8F9A"/>
                <w:sz w:val="18"/>
                <w:szCs w:val="18"/>
              </w:rPr>
              <w:t xml:space="preserve">  Mental Health </w:t>
            </w:r>
            <w:proofErr w:type="gramStart"/>
            <w:r>
              <w:rPr>
                <w:i/>
                <w:iCs/>
                <w:color w:val="5A8F9A"/>
                <w:sz w:val="18"/>
                <w:szCs w:val="18"/>
              </w:rPr>
              <w:t>UK  |</w:t>
            </w:r>
            <w:proofErr w:type="gramEnd"/>
            <w:r>
              <w:rPr>
                <w:i/>
                <w:iCs/>
                <w:color w:val="5A8F9A"/>
                <w:sz w:val="18"/>
                <w:szCs w:val="18"/>
              </w:rPr>
              <w:t xml:space="preserve">  ONS Census Mental Health </w:t>
            </w:r>
            <w:proofErr w:type="gramStart"/>
            <w:r>
              <w:rPr>
                <w:i/>
                <w:iCs/>
                <w:color w:val="5A8F9A"/>
                <w:sz w:val="18"/>
                <w:szCs w:val="18"/>
              </w:rPr>
              <w:t>Data  |</w:t>
            </w:r>
            <w:proofErr w:type="gramEnd"/>
            <w:r>
              <w:rPr>
                <w:i/>
                <w:iCs/>
                <w:color w:val="5A8F9A"/>
                <w:sz w:val="18"/>
                <w:szCs w:val="18"/>
              </w:rPr>
              <w:t xml:space="preserve">  ASH Scotland LGBTQ+ Smoking Report</w:t>
            </w:r>
          </w:p>
          <w:p w14:paraId="211EBDD0" w14:textId="77777777" w:rsidR="00E20B95" w:rsidRDefault="00000000">
            <w:pPr>
              <w:spacing w:before="60"/>
              <w:jc w:val="center"/>
            </w:pPr>
            <w:r>
              <w:rPr>
                <w:i/>
                <w:iCs/>
                <w:color w:val="5A8F9A"/>
                <w:sz w:val="18"/>
                <w:szCs w:val="18"/>
              </w:rPr>
              <w:t>Originally adapted from BMJ Learning: 'Health Issues of Men Who Have Sex with Men' by Sean Cummings. Substantially revised and updated for postgraduate GP education.</w:t>
            </w:r>
          </w:p>
        </w:tc>
      </w:tr>
    </w:tbl>
    <w:p w14:paraId="3347F35B" w14:textId="77777777" w:rsidR="008F4043" w:rsidRDefault="008F4043"/>
    <w:sectPr w:rsidR="008F4043">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A075" w14:textId="77777777" w:rsidR="004D41C6" w:rsidRDefault="004D41C6">
      <w:r>
        <w:separator/>
      </w:r>
    </w:p>
  </w:endnote>
  <w:endnote w:type="continuationSeparator" w:id="0">
    <w:p w14:paraId="70482E30" w14:textId="77777777" w:rsidR="004D41C6" w:rsidRDefault="004D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ED81" w14:textId="3CBBD8E1" w:rsidR="00E20B95" w:rsidRDefault="00932D60">
    <w:pPr>
      <w:pBdr>
        <w:top w:val="single" w:sz="4" w:space="4" w:color="D0D5DE"/>
      </w:pBdr>
      <w:tabs>
        <w:tab w:val="right" w:pos="9026"/>
      </w:tabs>
      <w:spacing w:before="60"/>
    </w:pPr>
    <w:r>
      <w:rPr>
        <w:color w:val="AAAAAA"/>
        <w:sz w:val="16"/>
        <w:szCs w:val="16"/>
      </w:rPr>
      <w:t xml:space="preserve">Developed by Dr Ramesh Mehay, Bradford VTS, 2010, updated May </w:t>
    </w:r>
    <w:proofErr w:type="gramStart"/>
    <w:r>
      <w:rPr>
        <w:color w:val="AAAAAA"/>
        <w:sz w:val="16"/>
        <w:szCs w:val="16"/>
      </w:rPr>
      <w:t>2026</w:t>
    </w:r>
    <w:r w:rsidR="00DB7485">
      <w:rPr>
        <w:color w:val="AAAAAA"/>
        <w:sz w:val="16"/>
        <w:szCs w:val="16"/>
      </w:rPr>
      <w:t xml:space="preserve">  www.bradfordvts.co.uk</w:t>
    </w:r>
    <w:proofErr w:type="gramEnd"/>
    <w:r>
      <w:rPr>
        <w:color w:val="AAAAAA"/>
        <w:sz w:val="16"/>
        <w:szCs w:val="16"/>
      </w:rPr>
      <w:tab/>
      <w:t xml:space="preserve">Page </w:t>
    </w:r>
    <w:r>
      <w:rPr>
        <w:color w:val="AAAAAA"/>
        <w:sz w:val="16"/>
        <w:szCs w:val="16"/>
      </w:rPr>
      <w:fldChar w:fldCharType="begin"/>
    </w:r>
    <w:r>
      <w:rPr>
        <w:color w:val="AAAAAA"/>
        <w:sz w:val="16"/>
        <w:szCs w:val="16"/>
      </w:rPr>
      <w:instrText>PAGE</w:instrText>
    </w:r>
    <w:r>
      <w:rPr>
        <w:color w:val="AAAAAA"/>
        <w:sz w:val="16"/>
        <w:szCs w:val="16"/>
      </w:rPr>
      <w:fldChar w:fldCharType="separate"/>
    </w:r>
    <w:r w:rsidR="00A57505">
      <w:rPr>
        <w:noProof/>
        <w:color w:val="AAAAAA"/>
        <w:sz w:val="16"/>
        <w:szCs w:val="16"/>
      </w:rPr>
      <w:t>1</w:t>
    </w:r>
    <w:r>
      <w:rPr>
        <w:color w:val="AAAAA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6777" w14:textId="77777777" w:rsidR="004D41C6" w:rsidRDefault="004D41C6">
      <w:r>
        <w:separator/>
      </w:r>
    </w:p>
  </w:footnote>
  <w:footnote w:type="continuationSeparator" w:id="0">
    <w:p w14:paraId="258CBC0C" w14:textId="77777777" w:rsidR="004D41C6" w:rsidRDefault="004D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B764" w14:textId="5616CF99" w:rsidR="00E20B95" w:rsidRDefault="00000000">
    <w:pPr>
      <w:pBdr>
        <w:bottom w:val="single" w:sz="6" w:space="6" w:color="1E7F8E"/>
      </w:pBdr>
      <w:tabs>
        <w:tab w:val="right" w:pos="9026"/>
      </w:tabs>
      <w:spacing w:after="80"/>
    </w:pPr>
    <w:r>
      <w:rPr>
        <w:b/>
        <w:bCs/>
        <w:color w:val="1E7F8E"/>
        <w:sz w:val="18"/>
        <w:szCs w:val="18"/>
      </w:rPr>
      <w:t xml:space="preserve">Sexual Health for Gay </w:t>
    </w:r>
    <w:proofErr w:type="gramStart"/>
    <w:r>
      <w:rPr>
        <w:b/>
        <w:bCs/>
        <w:color w:val="1E7F8E"/>
        <w:sz w:val="18"/>
        <w:szCs w:val="18"/>
      </w:rPr>
      <w:t>Men  |</w:t>
    </w:r>
    <w:proofErr w:type="gramEnd"/>
    <w:r>
      <w:rPr>
        <w:b/>
        <w:bCs/>
        <w:color w:val="1E7F8E"/>
        <w:sz w:val="18"/>
        <w:szCs w:val="18"/>
      </w:rPr>
      <w:t xml:space="preserve">  GP Teaching Plan</w:t>
    </w:r>
    <w:r>
      <w:rPr>
        <w:i/>
        <w:iCs/>
        <w:color w:val="AAAAAA"/>
        <w:sz w:val="16"/>
        <w:szCs w:val="16"/>
      </w:rPr>
      <w:tab/>
      <w:t xml:space="preserve"> — Educational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830"/>
    <w:multiLevelType w:val="hybridMultilevel"/>
    <w:tmpl w:val="831E9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6C465F"/>
    <w:multiLevelType w:val="hybridMultilevel"/>
    <w:tmpl w:val="EFF64374"/>
    <w:lvl w:ilvl="0" w:tplc="4D2E5CF8">
      <w:start w:val="1"/>
      <w:numFmt w:val="bullet"/>
      <w:lvlText w:val="•"/>
      <w:lvlJc w:val="left"/>
      <w:pPr>
        <w:ind w:left="360" w:hanging="180"/>
      </w:pPr>
    </w:lvl>
    <w:lvl w:ilvl="1" w:tplc="33B8719C">
      <w:numFmt w:val="decimal"/>
      <w:lvlText w:val=""/>
      <w:lvlJc w:val="left"/>
    </w:lvl>
    <w:lvl w:ilvl="2" w:tplc="FF2E26BE">
      <w:numFmt w:val="decimal"/>
      <w:lvlText w:val=""/>
      <w:lvlJc w:val="left"/>
    </w:lvl>
    <w:lvl w:ilvl="3" w:tplc="9886D1AA">
      <w:numFmt w:val="decimal"/>
      <w:lvlText w:val=""/>
      <w:lvlJc w:val="left"/>
    </w:lvl>
    <w:lvl w:ilvl="4" w:tplc="24DA32F8">
      <w:numFmt w:val="decimal"/>
      <w:lvlText w:val=""/>
      <w:lvlJc w:val="left"/>
    </w:lvl>
    <w:lvl w:ilvl="5" w:tplc="B64E5046">
      <w:numFmt w:val="decimal"/>
      <w:lvlText w:val=""/>
      <w:lvlJc w:val="left"/>
    </w:lvl>
    <w:lvl w:ilvl="6" w:tplc="E5129FA4">
      <w:numFmt w:val="decimal"/>
      <w:lvlText w:val=""/>
      <w:lvlJc w:val="left"/>
    </w:lvl>
    <w:lvl w:ilvl="7" w:tplc="E4F05FB4">
      <w:numFmt w:val="decimal"/>
      <w:lvlText w:val=""/>
      <w:lvlJc w:val="left"/>
    </w:lvl>
    <w:lvl w:ilvl="8" w:tplc="F90E10BA">
      <w:numFmt w:val="decimal"/>
      <w:lvlText w:val=""/>
      <w:lvlJc w:val="left"/>
    </w:lvl>
  </w:abstractNum>
  <w:abstractNum w:abstractNumId="2" w15:restartNumberingAfterBreak="0">
    <w:nsid w:val="334F2E3E"/>
    <w:multiLevelType w:val="hybridMultilevel"/>
    <w:tmpl w:val="8998FA30"/>
    <w:lvl w:ilvl="0" w:tplc="9D7402E0">
      <w:start w:val="1"/>
      <w:numFmt w:val="bullet"/>
      <w:lvlText w:val="○"/>
      <w:lvlJc w:val="left"/>
      <w:pPr>
        <w:ind w:left="720" w:hanging="240"/>
      </w:pPr>
    </w:lvl>
    <w:lvl w:ilvl="1" w:tplc="BDECAF1A">
      <w:numFmt w:val="decimal"/>
      <w:lvlText w:val=""/>
      <w:lvlJc w:val="left"/>
    </w:lvl>
    <w:lvl w:ilvl="2" w:tplc="2C7AD3F6">
      <w:numFmt w:val="decimal"/>
      <w:lvlText w:val=""/>
      <w:lvlJc w:val="left"/>
    </w:lvl>
    <w:lvl w:ilvl="3" w:tplc="2FDA04CA">
      <w:numFmt w:val="decimal"/>
      <w:lvlText w:val=""/>
      <w:lvlJc w:val="left"/>
    </w:lvl>
    <w:lvl w:ilvl="4" w:tplc="FBEC2CDA">
      <w:numFmt w:val="decimal"/>
      <w:lvlText w:val=""/>
      <w:lvlJc w:val="left"/>
    </w:lvl>
    <w:lvl w:ilvl="5" w:tplc="EC22563A">
      <w:numFmt w:val="decimal"/>
      <w:lvlText w:val=""/>
      <w:lvlJc w:val="left"/>
    </w:lvl>
    <w:lvl w:ilvl="6" w:tplc="848A0B36">
      <w:numFmt w:val="decimal"/>
      <w:lvlText w:val=""/>
      <w:lvlJc w:val="left"/>
    </w:lvl>
    <w:lvl w:ilvl="7" w:tplc="85941B9C">
      <w:numFmt w:val="decimal"/>
      <w:lvlText w:val=""/>
      <w:lvlJc w:val="left"/>
    </w:lvl>
    <w:lvl w:ilvl="8" w:tplc="9FE49FE6">
      <w:numFmt w:val="decimal"/>
      <w:lvlText w:val=""/>
      <w:lvlJc w:val="left"/>
    </w:lvl>
  </w:abstractNum>
  <w:abstractNum w:abstractNumId="3" w15:restartNumberingAfterBreak="0">
    <w:nsid w:val="3BC70AFB"/>
    <w:multiLevelType w:val="hybridMultilevel"/>
    <w:tmpl w:val="C4628104"/>
    <w:lvl w:ilvl="0" w:tplc="EACAD5C2">
      <w:start w:val="1"/>
      <w:numFmt w:val="bullet"/>
      <w:lvlText w:val="●"/>
      <w:lvlJc w:val="left"/>
      <w:pPr>
        <w:ind w:left="480" w:hanging="240"/>
      </w:pPr>
    </w:lvl>
    <w:lvl w:ilvl="1" w:tplc="1A9C1FBE">
      <w:numFmt w:val="decimal"/>
      <w:lvlText w:val=""/>
      <w:lvlJc w:val="left"/>
    </w:lvl>
    <w:lvl w:ilvl="2" w:tplc="FD565D34">
      <w:numFmt w:val="decimal"/>
      <w:lvlText w:val=""/>
      <w:lvlJc w:val="left"/>
    </w:lvl>
    <w:lvl w:ilvl="3" w:tplc="FB22D822">
      <w:numFmt w:val="decimal"/>
      <w:lvlText w:val=""/>
      <w:lvlJc w:val="left"/>
    </w:lvl>
    <w:lvl w:ilvl="4" w:tplc="3E50D8F4">
      <w:numFmt w:val="decimal"/>
      <w:lvlText w:val=""/>
      <w:lvlJc w:val="left"/>
    </w:lvl>
    <w:lvl w:ilvl="5" w:tplc="BF7452E2">
      <w:numFmt w:val="decimal"/>
      <w:lvlText w:val=""/>
      <w:lvlJc w:val="left"/>
    </w:lvl>
    <w:lvl w:ilvl="6" w:tplc="2A765B48">
      <w:numFmt w:val="decimal"/>
      <w:lvlText w:val=""/>
      <w:lvlJc w:val="left"/>
    </w:lvl>
    <w:lvl w:ilvl="7" w:tplc="3EE09C42">
      <w:numFmt w:val="decimal"/>
      <w:lvlText w:val=""/>
      <w:lvlJc w:val="left"/>
    </w:lvl>
    <w:lvl w:ilvl="8" w:tplc="27D2245C">
      <w:numFmt w:val="decimal"/>
      <w:lvlText w:val=""/>
      <w:lvlJc w:val="left"/>
    </w:lvl>
  </w:abstractNum>
  <w:abstractNum w:abstractNumId="4" w15:restartNumberingAfterBreak="0">
    <w:nsid w:val="40804025"/>
    <w:multiLevelType w:val="hybridMultilevel"/>
    <w:tmpl w:val="1F2894B0"/>
    <w:lvl w:ilvl="0" w:tplc="B55C304A">
      <w:start w:val="1"/>
      <w:numFmt w:val="bullet"/>
      <w:lvlText w:val="▸"/>
      <w:lvlJc w:val="left"/>
      <w:pPr>
        <w:ind w:left="440" w:hanging="220"/>
      </w:pPr>
    </w:lvl>
    <w:lvl w:ilvl="1" w:tplc="050CFBF0">
      <w:numFmt w:val="decimal"/>
      <w:lvlText w:val=""/>
      <w:lvlJc w:val="left"/>
    </w:lvl>
    <w:lvl w:ilvl="2" w:tplc="EBDAA9E6">
      <w:numFmt w:val="decimal"/>
      <w:lvlText w:val=""/>
      <w:lvlJc w:val="left"/>
    </w:lvl>
    <w:lvl w:ilvl="3" w:tplc="5A8E5384">
      <w:numFmt w:val="decimal"/>
      <w:lvlText w:val=""/>
      <w:lvlJc w:val="left"/>
    </w:lvl>
    <w:lvl w:ilvl="4" w:tplc="5C70AA42">
      <w:numFmt w:val="decimal"/>
      <w:lvlText w:val=""/>
      <w:lvlJc w:val="left"/>
    </w:lvl>
    <w:lvl w:ilvl="5" w:tplc="5726A7FC">
      <w:numFmt w:val="decimal"/>
      <w:lvlText w:val=""/>
      <w:lvlJc w:val="left"/>
    </w:lvl>
    <w:lvl w:ilvl="6" w:tplc="EB90B4F0">
      <w:numFmt w:val="decimal"/>
      <w:lvlText w:val=""/>
      <w:lvlJc w:val="left"/>
    </w:lvl>
    <w:lvl w:ilvl="7" w:tplc="E6CCB736">
      <w:numFmt w:val="decimal"/>
      <w:lvlText w:val=""/>
      <w:lvlJc w:val="left"/>
    </w:lvl>
    <w:lvl w:ilvl="8" w:tplc="350A3778">
      <w:numFmt w:val="decimal"/>
      <w:lvlText w:val=""/>
      <w:lvlJc w:val="left"/>
    </w:lvl>
  </w:abstractNum>
  <w:abstractNum w:abstractNumId="5" w15:restartNumberingAfterBreak="0">
    <w:nsid w:val="66CA12AE"/>
    <w:multiLevelType w:val="hybridMultilevel"/>
    <w:tmpl w:val="A80E8F0A"/>
    <w:lvl w:ilvl="0" w:tplc="F40AC562">
      <w:start w:val="1"/>
      <w:numFmt w:val="bullet"/>
      <w:lvlText w:val="●"/>
      <w:lvlJc w:val="left"/>
      <w:pPr>
        <w:ind w:left="720" w:hanging="360"/>
      </w:pPr>
    </w:lvl>
    <w:lvl w:ilvl="1" w:tplc="C8F639E4">
      <w:start w:val="1"/>
      <w:numFmt w:val="bullet"/>
      <w:lvlText w:val="○"/>
      <w:lvlJc w:val="left"/>
      <w:pPr>
        <w:ind w:left="1440" w:hanging="360"/>
      </w:pPr>
    </w:lvl>
    <w:lvl w:ilvl="2" w:tplc="2A34544C">
      <w:start w:val="1"/>
      <w:numFmt w:val="bullet"/>
      <w:lvlText w:val="■"/>
      <w:lvlJc w:val="left"/>
      <w:pPr>
        <w:ind w:left="2160" w:hanging="360"/>
      </w:pPr>
    </w:lvl>
    <w:lvl w:ilvl="3" w:tplc="4546EC48">
      <w:start w:val="1"/>
      <w:numFmt w:val="bullet"/>
      <w:lvlText w:val="●"/>
      <w:lvlJc w:val="left"/>
      <w:pPr>
        <w:ind w:left="2880" w:hanging="360"/>
      </w:pPr>
    </w:lvl>
    <w:lvl w:ilvl="4" w:tplc="1E54BF76">
      <w:start w:val="1"/>
      <w:numFmt w:val="bullet"/>
      <w:lvlText w:val="○"/>
      <w:lvlJc w:val="left"/>
      <w:pPr>
        <w:ind w:left="3600" w:hanging="360"/>
      </w:pPr>
    </w:lvl>
    <w:lvl w:ilvl="5" w:tplc="C6ECF2A6">
      <w:start w:val="1"/>
      <w:numFmt w:val="bullet"/>
      <w:lvlText w:val="■"/>
      <w:lvlJc w:val="left"/>
      <w:pPr>
        <w:ind w:left="4320" w:hanging="360"/>
      </w:pPr>
    </w:lvl>
    <w:lvl w:ilvl="6" w:tplc="757C7AB0">
      <w:start w:val="1"/>
      <w:numFmt w:val="bullet"/>
      <w:lvlText w:val="●"/>
      <w:lvlJc w:val="left"/>
      <w:pPr>
        <w:ind w:left="5040" w:hanging="360"/>
      </w:pPr>
    </w:lvl>
    <w:lvl w:ilvl="7" w:tplc="5568F1CE">
      <w:start w:val="1"/>
      <w:numFmt w:val="bullet"/>
      <w:lvlText w:val="●"/>
      <w:lvlJc w:val="left"/>
      <w:pPr>
        <w:ind w:left="5760" w:hanging="360"/>
      </w:pPr>
    </w:lvl>
    <w:lvl w:ilvl="8" w:tplc="ED08F0B0">
      <w:start w:val="1"/>
      <w:numFmt w:val="bullet"/>
      <w:lvlText w:val="●"/>
      <w:lvlJc w:val="left"/>
      <w:pPr>
        <w:ind w:left="6480" w:hanging="360"/>
      </w:pPr>
    </w:lvl>
  </w:abstractNum>
  <w:num w:numId="1" w16cid:durableId="1303923764">
    <w:abstractNumId w:val="5"/>
    <w:lvlOverride w:ilvl="0">
      <w:startOverride w:val="1"/>
    </w:lvlOverride>
  </w:num>
  <w:num w:numId="2" w16cid:durableId="2102601841">
    <w:abstractNumId w:val="3"/>
    <w:lvlOverride w:ilvl="0">
      <w:startOverride w:val="1"/>
    </w:lvlOverride>
  </w:num>
  <w:num w:numId="3" w16cid:durableId="1740128841">
    <w:abstractNumId w:val="4"/>
    <w:lvlOverride w:ilvl="0">
      <w:startOverride w:val="1"/>
    </w:lvlOverride>
  </w:num>
  <w:num w:numId="4" w16cid:durableId="157909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95"/>
    <w:rsid w:val="004D41C6"/>
    <w:rsid w:val="00694FCD"/>
    <w:rsid w:val="008C46F5"/>
    <w:rsid w:val="008F4043"/>
    <w:rsid w:val="00932D60"/>
    <w:rsid w:val="00955106"/>
    <w:rsid w:val="00A57505"/>
    <w:rsid w:val="00BE02D1"/>
    <w:rsid w:val="00DB7485"/>
    <w:rsid w:val="00E20B95"/>
    <w:rsid w:val="00F61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FBA6"/>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5A617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D60"/>
  </w:style>
  <w:style w:type="paragraph" w:styleId="Heading1">
    <w:name w:val="heading 1"/>
    <w:uiPriority w:val="9"/>
    <w:qFormat/>
    <w:pPr>
      <w:spacing w:before="480" w:after="160"/>
      <w:outlineLvl w:val="0"/>
    </w:pPr>
    <w:rPr>
      <w:rFonts w:ascii="Cambria" w:eastAsia="Cambria" w:hAnsi="Cambria" w:cs="Cambria"/>
      <w:b/>
      <w:bCs/>
      <w:color w:val="1B3A6B"/>
      <w:sz w:val="44"/>
      <w:szCs w:val="44"/>
    </w:rPr>
  </w:style>
  <w:style w:type="paragraph" w:styleId="Heading2">
    <w:name w:val="heading 2"/>
    <w:uiPriority w:val="9"/>
    <w:unhideWhenUsed/>
    <w:qFormat/>
    <w:pPr>
      <w:spacing w:before="360" w:after="120"/>
      <w:outlineLvl w:val="1"/>
    </w:pPr>
    <w:rPr>
      <w:rFonts w:ascii="Cambria" w:eastAsia="Cambria" w:hAnsi="Cambria" w:cs="Cambria"/>
      <w:b/>
      <w:bCs/>
      <w:color w:val="1E7F8E"/>
      <w:sz w:val="32"/>
      <w:szCs w:val="32"/>
    </w:rPr>
  </w:style>
  <w:style w:type="paragraph" w:styleId="Heading3">
    <w:name w:val="heading 3"/>
    <w:uiPriority w:val="9"/>
    <w:unhideWhenUsed/>
    <w:qFormat/>
    <w:pPr>
      <w:spacing w:before="240" w:after="80"/>
      <w:outlineLvl w:val="2"/>
    </w:pPr>
    <w:rPr>
      <w:rFonts w:ascii="Cambria" w:eastAsia="Cambria" w:hAnsi="Cambria" w:cs="Cambria"/>
      <w:b/>
      <w:bCs/>
      <w:color w:val="1B3A6B"/>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7505"/>
    <w:pPr>
      <w:tabs>
        <w:tab w:val="center" w:pos="4513"/>
        <w:tab w:val="right" w:pos="9026"/>
      </w:tabs>
    </w:pPr>
  </w:style>
  <w:style w:type="character" w:customStyle="1" w:styleId="HeaderChar">
    <w:name w:val="Header Char"/>
    <w:basedOn w:val="DefaultParagraphFont"/>
    <w:link w:val="Header"/>
    <w:uiPriority w:val="99"/>
    <w:rsid w:val="00A57505"/>
  </w:style>
  <w:style w:type="paragraph" w:styleId="Footer">
    <w:name w:val="footer"/>
    <w:basedOn w:val="Normal"/>
    <w:link w:val="FooterChar"/>
    <w:uiPriority w:val="99"/>
    <w:unhideWhenUsed/>
    <w:rsid w:val="00A57505"/>
    <w:pPr>
      <w:tabs>
        <w:tab w:val="center" w:pos="4513"/>
        <w:tab w:val="right" w:pos="9026"/>
      </w:tabs>
    </w:pPr>
  </w:style>
  <w:style w:type="character" w:customStyle="1" w:styleId="FooterChar">
    <w:name w:val="Footer Char"/>
    <w:basedOn w:val="DefaultParagraphFont"/>
    <w:link w:val="Footer"/>
    <w:uiPriority w:val="99"/>
    <w:rsid w:val="00A5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3752</Words>
  <Characters>20106</Characters>
  <Application>Microsoft Office Word</Application>
  <DocSecurity>0</DocSecurity>
  <Lines>542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2026-05-25T22:25:00Z</dcterms:created>
  <dcterms:modified xsi:type="dcterms:W3CDTF">2026-05-25T22:28:00Z</dcterms:modified>
</cp:coreProperties>
</file>