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AF0787" w14:paraId="6DFD77C5" w14:textId="77777777">
        <w:tc>
          <w:tcPr>
            <w:tcW w:w="9360" w:type="dxa"/>
            <w:shd w:val="clear" w:color="auto" w:fill="E0651F"/>
          </w:tcPr>
          <w:p w14:paraId="64BA98DB" w14:textId="77777777" w:rsidR="00AF078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BRADFORD VTS TEACHING AIDS</w:t>
            </w:r>
          </w:p>
          <w:p w14:paraId="6586FDC6" w14:textId="77777777" w:rsidR="00AF0787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56"/>
              </w:rPr>
              <w:t>Confidentiality &amp; Young People</w:t>
            </w:r>
          </w:p>
          <w:p w14:paraId="06C27B36" w14:textId="77777777" w:rsidR="00AF0787" w:rsidRDefault="00000000">
            <w:pPr>
              <w:jc w:val="center"/>
            </w:pPr>
            <w:r>
              <w:rPr>
                <w:rFonts w:ascii="Calibri" w:hAnsi="Calibri"/>
                <w:i/>
                <w:color w:val="FFFFFF"/>
              </w:rPr>
              <w:t>Quick Reference Guide · Bradford VTS · May 2026</w:t>
            </w:r>
          </w:p>
        </w:tc>
      </w:tr>
    </w:tbl>
    <w:p w14:paraId="2FE8A067" w14:textId="77777777" w:rsidR="00AF0787" w:rsidRDefault="00AF07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AF0787" w14:paraId="5F1087A7" w14:textId="77777777">
        <w:tc>
          <w:tcPr>
            <w:tcW w:w="9360" w:type="dxa"/>
            <w:shd w:val="clear" w:color="auto" w:fill="2C5F8A"/>
          </w:tcPr>
          <w:p w14:paraId="0A5E4F30" w14:textId="77777777" w:rsidR="00AF0787" w:rsidRDefault="00000000">
            <w:r>
              <w:rPr>
                <w:rFonts w:ascii="Calibri" w:hAnsi="Calibri"/>
                <w:color w:val="FFFFFF"/>
              </w:rPr>
              <w:t>🔑 GPs have the SAME duty of confidentiality to young people as to adults. This duty applies regardless of age.</w:t>
            </w:r>
          </w:p>
        </w:tc>
      </w:tr>
    </w:tbl>
    <w:p w14:paraId="1830F9BF" w14:textId="77777777" w:rsidR="00AF0787" w:rsidRDefault="00AF0787"/>
    <w:p w14:paraId="29E9D354" w14:textId="77777777" w:rsidR="00AF0787" w:rsidRDefault="00000000">
      <w:pPr>
        <w:pStyle w:val="Heading1"/>
      </w:pPr>
      <w:r>
        <w:rPr>
          <w:rFonts w:ascii="Calibri" w:hAnsi="Calibri"/>
          <w:color w:val="2C5F8A"/>
        </w:rPr>
        <w:t>1. The Legal Framework</w:t>
      </w:r>
    </w:p>
    <w:p w14:paraId="0A5D072C" w14:textId="77777777" w:rsidR="00AF0787" w:rsidRDefault="00000000">
      <w:r>
        <w:rPr>
          <w:b/>
        </w:rPr>
        <w:t xml:space="preserve">Confidentiality defined: </w:t>
      </w:r>
      <w:r>
        <w:t>A health professional must not disclose anything learned from a person they have consulted or treated, without that person's agreement.</w:t>
      </w:r>
    </w:p>
    <w:p w14:paraId="2DE8EBAB" w14:textId="77777777" w:rsidR="00AF0787" w:rsidRDefault="00000000">
      <w:r>
        <w:rPr>
          <w:b/>
        </w:rPr>
        <w:t xml:space="preserve">When can confidentiality be broken? </w:t>
      </w:r>
      <w:r>
        <w:t>Only in exceptional situations where risk to health, safety or welfare of the patient (or others) outweighs the right to privacy. The decision depends on the DEGREE OF HARM — not the age of the patient.</w:t>
      </w:r>
    </w:p>
    <w:p w14:paraId="5BA5B9F0" w14:textId="77777777" w:rsidR="00AF0787" w:rsidRDefault="00000000">
      <w:r>
        <w:rPr>
          <w:b/>
        </w:rPr>
        <w:t xml:space="preserve">Minimal disclosure: </w:t>
      </w:r>
      <w:r>
        <w:t>Disclosures must be kept to the minimum necessary, and anonymised wherever possible. The patient should be informed first and consent sought if possible.</w:t>
      </w:r>
    </w:p>
    <w:p w14:paraId="7FDB1C94" w14:textId="77777777" w:rsidR="00AF0787" w:rsidRDefault="00000000">
      <w:pPr>
        <w:pStyle w:val="Heading1"/>
      </w:pPr>
      <w:r>
        <w:rPr>
          <w:rFonts w:ascii="Calibri" w:hAnsi="Calibri"/>
          <w:color w:val="2C5F8A"/>
        </w:rPr>
        <w:t>2. Consent &amp; Competence</w:t>
      </w:r>
    </w:p>
    <w:p w14:paraId="13E4454A" w14:textId="77777777" w:rsidR="00AF0787" w:rsidRDefault="00000000">
      <w:r>
        <w:rPr>
          <w:b/>
        </w:rPr>
        <w:t xml:space="preserve">Age limit for consent? </w:t>
      </w:r>
      <w:r>
        <w:t>There is NO age limit — any young person, regardless of age, can give valid consent if they are competent.</w:t>
      </w:r>
    </w:p>
    <w:p w14:paraId="3742F489" w14:textId="77777777" w:rsidR="00AF0787" w:rsidRDefault="00000000">
      <w:r>
        <w:rPr>
          <w:b/>
        </w:rPr>
        <w:t xml:space="preserve">Gillick Competence (also called Gillick/Fraser): </w:t>
      </w:r>
      <w:r>
        <w:t>A young person must be able to: (1) understand and retain the information; (2) use this information to decide whether to consent; (3) communicate their decision.</w:t>
      </w:r>
    </w:p>
    <w:p w14:paraId="1EABFEA5" w14:textId="77777777" w:rsidR="00AF0787" w:rsidRDefault="00000000">
      <w:pPr>
        <w:pStyle w:val="Heading1"/>
      </w:pPr>
      <w:r>
        <w:rPr>
          <w:rFonts w:ascii="Calibri" w:hAnsi="Calibri"/>
          <w:color w:val="2C5F8A"/>
        </w:rPr>
        <w:t>3. Fraser Guidelines (Contraception Under-16)</w:t>
      </w:r>
    </w:p>
    <w:p w14:paraId="4754AF5F" w14:textId="77777777" w:rsidR="00AF0787" w:rsidRDefault="00000000">
      <w:pPr>
        <w:pStyle w:val="ListBullet"/>
      </w:pPr>
      <w:r>
        <w:rPr>
          <w:rFonts w:ascii="Calibri" w:hAnsi="Calibri"/>
        </w:rPr>
        <w:t>Young person understands the contraceptive advice</w:t>
      </w:r>
    </w:p>
    <w:p w14:paraId="16D8A888" w14:textId="77777777" w:rsidR="00AF0787" w:rsidRDefault="00000000">
      <w:pPr>
        <w:pStyle w:val="ListBullet"/>
      </w:pPr>
      <w:r>
        <w:rPr>
          <w:rFonts w:ascii="Calibri" w:hAnsi="Calibri"/>
        </w:rPr>
        <w:t>Cannot be persuaded to inform their parents, or will not allow the doctor to inform them</w:t>
      </w:r>
    </w:p>
    <w:p w14:paraId="10C614CB" w14:textId="77777777" w:rsidR="00AF0787" w:rsidRDefault="00000000">
      <w:pPr>
        <w:pStyle w:val="ListBullet"/>
      </w:pPr>
      <w:r>
        <w:rPr>
          <w:rFonts w:ascii="Calibri" w:hAnsi="Calibri"/>
        </w:rPr>
        <w:t>Is likely to begin, or to continue having, sexual intercourse with or without contraceptive treatment</w:t>
      </w:r>
    </w:p>
    <w:p w14:paraId="1A1869BE" w14:textId="77777777" w:rsidR="00AF0787" w:rsidRDefault="00000000">
      <w:pPr>
        <w:pStyle w:val="ListBullet"/>
      </w:pPr>
      <w:r>
        <w:rPr>
          <w:rFonts w:ascii="Calibri" w:hAnsi="Calibri"/>
        </w:rPr>
        <w:t>Their physical or mental health or both are likely to suffer if they do not receive contraceptive advice or treatment</w:t>
      </w:r>
    </w:p>
    <w:p w14:paraId="359D6821" w14:textId="77777777" w:rsidR="00AF0787" w:rsidRDefault="00000000">
      <w:pPr>
        <w:pStyle w:val="ListBullet"/>
      </w:pPr>
      <w:r>
        <w:rPr>
          <w:rFonts w:ascii="Calibri" w:hAnsi="Calibri"/>
        </w:rPr>
        <w:t>Their best interests require the doctor to give contraceptive advice, treatment, or both without parental consent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AF0787" w14:paraId="7915F55A" w14:textId="77777777">
        <w:tc>
          <w:tcPr>
            <w:tcW w:w="9360" w:type="dxa"/>
            <w:shd w:val="clear" w:color="auto" w:fill="155724"/>
          </w:tcPr>
          <w:p w14:paraId="72B0861D" w14:textId="77777777" w:rsidR="00AF0787" w:rsidRDefault="00000000">
            <w:r>
              <w:rPr>
                <w:rFonts w:ascii="Calibri" w:hAnsi="Calibri"/>
                <w:color w:val="FFFFFF"/>
              </w:rPr>
              <w:t>✓ All five Fraser criteria must be met to prescribe contraception to an under-16 without parental consent.</w:t>
            </w:r>
          </w:p>
        </w:tc>
      </w:tr>
    </w:tbl>
    <w:p w14:paraId="5A727069" w14:textId="77777777" w:rsidR="00AF0787" w:rsidRDefault="00AF0787"/>
    <w:p w14:paraId="734F4994" w14:textId="77777777" w:rsidR="00AF0787" w:rsidRDefault="00000000">
      <w:pPr>
        <w:pStyle w:val="Heading1"/>
      </w:pPr>
      <w:r>
        <w:rPr>
          <w:rFonts w:ascii="Calibri" w:hAnsi="Calibri"/>
          <w:color w:val="2C5F8A"/>
        </w:rPr>
        <w:lastRenderedPageBreak/>
        <w:t>4. Age-Specific Guidance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AF0787" w14:paraId="216A0AED" w14:textId="77777777">
        <w:tc>
          <w:tcPr>
            <w:tcW w:w="3120" w:type="dxa"/>
            <w:shd w:val="clear" w:color="auto" w:fill="2C5F8A"/>
          </w:tcPr>
          <w:p w14:paraId="43C6A003" w14:textId="77777777" w:rsidR="00AF0787" w:rsidRDefault="00000000">
            <w:r>
              <w:rPr>
                <w:rFonts w:ascii="Calibri" w:hAnsi="Calibri"/>
                <w:b/>
                <w:color w:val="FFFFFF"/>
              </w:rPr>
              <w:t>Age Group</w:t>
            </w:r>
          </w:p>
        </w:tc>
        <w:tc>
          <w:tcPr>
            <w:tcW w:w="3120" w:type="dxa"/>
            <w:shd w:val="clear" w:color="auto" w:fill="2C5F8A"/>
          </w:tcPr>
          <w:p w14:paraId="35F566A3" w14:textId="77777777" w:rsidR="00AF0787" w:rsidRDefault="00000000">
            <w:r>
              <w:rPr>
                <w:rFonts w:ascii="Calibri" w:hAnsi="Calibri"/>
                <w:b/>
                <w:color w:val="FFFFFF"/>
              </w:rPr>
              <w:t>Key Legal Position</w:t>
            </w:r>
          </w:p>
        </w:tc>
        <w:tc>
          <w:tcPr>
            <w:tcW w:w="3120" w:type="dxa"/>
            <w:shd w:val="clear" w:color="auto" w:fill="2C5F8A"/>
          </w:tcPr>
          <w:p w14:paraId="226F4300" w14:textId="77777777" w:rsidR="00AF0787" w:rsidRDefault="00000000">
            <w:r>
              <w:rPr>
                <w:rFonts w:ascii="Calibri" w:hAnsi="Calibri"/>
                <w:b/>
                <w:color w:val="FFFFFF"/>
              </w:rPr>
              <w:t>Clinical Guidance</w:t>
            </w:r>
          </w:p>
        </w:tc>
      </w:tr>
      <w:tr w:rsidR="00AF0787" w14:paraId="3625DE63" w14:textId="77777777">
        <w:tc>
          <w:tcPr>
            <w:tcW w:w="3120" w:type="dxa"/>
          </w:tcPr>
          <w:p w14:paraId="7C31FB36" w14:textId="77777777" w:rsidR="00AF0787" w:rsidRDefault="00000000">
            <w:r>
              <w:rPr>
                <w:rFonts w:ascii="Calibri" w:hAnsi="Calibri"/>
                <w:sz w:val="20"/>
              </w:rPr>
              <w:t>Under 13</w:t>
            </w:r>
          </w:p>
        </w:tc>
        <w:tc>
          <w:tcPr>
            <w:tcW w:w="3120" w:type="dxa"/>
          </w:tcPr>
          <w:p w14:paraId="247F5402" w14:textId="4F80076E" w:rsidR="00AF0787" w:rsidRDefault="00000000">
            <w:r>
              <w:rPr>
                <w:rFonts w:ascii="Calibri" w:hAnsi="Calibri"/>
                <w:sz w:val="20"/>
              </w:rPr>
              <w:t>Cannot legally consent to sexual activity</w:t>
            </w:r>
            <w:r w:rsidR="007A506E">
              <w:rPr>
                <w:rFonts w:ascii="Calibri" w:hAnsi="Calibri"/>
                <w:sz w:val="20"/>
              </w:rPr>
              <w:t>.</w:t>
            </w:r>
            <w:r w:rsidR="007A506E">
              <w:rPr>
                <w:rFonts w:ascii="Calibri" w:hAnsi="Calibri"/>
                <w:sz w:val="20"/>
              </w:rPr>
              <w:br/>
            </w:r>
          </w:p>
        </w:tc>
        <w:tc>
          <w:tcPr>
            <w:tcW w:w="3120" w:type="dxa"/>
          </w:tcPr>
          <w:p w14:paraId="787851C6" w14:textId="77777777" w:rsidR="00AF0787" w:rsidRDefault="00000000">
            <w:pPr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Any sexual activity: almost always disclose. Discuss with named doctor before NOT disclosing. Document decision and rationale.</w:t>
            </w:r>
          </w:p>
          <w:p w14:paraId="43C6A146" w14:textId="3AE5FF5B" w:rsidR="007A506E" w:rsidRDefault="007A506E">
            <w:r>
              <w:rPr>
                <w:rFonts w:ascii="Calibri" w:hAnsi="Calibri"/>
                <w:sz w:val="20"/>
              </w:rPr>
              <w:t>Must refer Safeguarding.</w:t>
            </w:r>
          </w:p>
        </w:tc>
      </w:tr>
      <w:tr w:rsidR="00AF0787" w14:paraId="2F8FF0D8" w14:textId="77777777">
        <w:tc>
          <w:tcPr>
            <w:tcW w:w="3120" w:type="dxa"/>
          </w:tcPr>
          <w:p w14:paraId="65D13B47" w14:textId="77777777" w:rsidR="00AF0787" w:rsidRDefault="00000000">
            <w:r>
              <w:rPr>
                <w:rFonts w:ascii="Calibri" w:hAnsi="Calibri"/>
                <w:sz w:val="20"/>
              </w:rPr>
              <w:t>13–15</w:t>
            </w:r>
          </w:p>
        </w:tc>
        <w:tc>
          <w:tcPr>
            <w:tcW w:w="3120" w:type="dxa"/>
          </w:tcPr>
          <w:p w14:paraId="6B9C4184" w14:textId="77777777" w:rsidR="00AF0787" w:rsidRDefault="00000000">
            <w:pPr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May have Gillick competence; case-by-case</w:t>
            </w:r>
          </w:p>
          <w:p w14:paraId="26DBFF4A" w14:textId="61CEA6DD" w:rsidR="007A506E" w:rsidRDefault="007A506E"/>
        </w:tc>
        <w:tc>
          <w:tcPr>
            <w:tcW w:w="3120" w:type="dxa"/>
          </w:tcPr>
          <w:p w14:paraId="60DD9452" w14:textId="76528712" w:rsidR="00AF0787" w:rsidRDefault="00000000">
            <w:r>
              <w:rPr>
                <w:rFonts w:ascii="Calibri" w:hAnsi="Calibri"/>
                <w:sz w:val="20"/>
              </w:rPr>
              <w:t>Assess using Fraser Guidelines. Can maintain confidentiality if criteria met. Consider public interest test for disclosure.</w:t>
            </w:r>
            <w:r w:rsidR="007A506E">
              <w:rPr>
                <w:rFonts w:ascii="Calibri" w:hAnsi="Calibri"/>
                <w:sz w:val="20"/>
              </w:rPr>
              <w:br/>
            </w:r>
            <w:r w:rsidR="007A506E">
              <w:rPr>
                <w:rFonts w:ascii="Calibri" w:hAnsi="Calibri"/>
                <w:sz w:val="20"/>
              </w:rPr>
              <w:t xml:space="preserve">May </w:t>
            </w:r>
            <w:proofErr w:type="gramStart"/>
            <w:r w:rsidR="007A506E">
              <w:rPr>
                <w:rFonts w:ascii="Calibri" w:hAnsi="Calibri"/>
                <w:sz w:val="20"/>
              </w:rPr>
              <w:t>need</w:t>
            </w:r>
            <w:proofErr w:type="gramEnd"/>
            <w:r w:rsidR="007A506E">
              <w:rPr>
                <w:rFonts w:ascii="Calibri" w:hAnsi="Calibri"/>
                <w:sz w:val="20"/>
              </w:rPr>
              <w:t xml:space="preserve"> to refer to Sa</w:t>
            </w:r>
            <w:r w:rsidR="007A506E">
              <w:rPr>
                <w:rFonts w:ascii="Calibri" w:hAnsi="Calibri"/>
                <w:sz w:val="20"/>
              </w:rPr>
              <w:t>f</w:t>
            </w:r>
            <w:r w:rsidR="007A506E">
              <w:rPr>
                <w:rFonts w:ascii="Calibri" w:hAnsi="Calibri"/>
                <w:sz w:val="20"/>
              </w:rPr>
              <w:t>eguarding</w:t>
            </w:r>
            <w:r w:rsidR="007A506E">
              <w:rPr>
                <w:rFonts w:ascii="Calibri" w:hAnsi="Calibri"/>
                <w:sz w:val="20"/>
              </w:rPr>
              <w:t xml:space="preserve"> if criteria </w:t>
            </w:r>
            <w:proofErr w:type="gramStart"/>
            <w:r w:rsidR="007A506E">
              <w:rPr>
                <w:rFonts w:ascii="Calibri" w:hAnsi="Calibri"/>
                <w:sz w:val="20"/>
              </w:rPr>
              <w:t>not</w:t>
            </w:r>
            <w:proofErr w:type="gramEnd"/>
            <w:r w:rsidR="007A506E">
              <w:rPr>
                <w:rFonts w:ascii="Calibri" w:hAnsi="Calibri"/>
                <w:sz w:val="20"/>
              </w:rPr>
              <w:t xml:space="preserve"> met.  See The GMC 0-18 Framework below.</w:t>
            </w:r>
          </w:p>
        </w:tc>
      </w:tr>
      <w:tr w:rsidR="00AF0787" w14:paraId="66E9AA86" w14:textId="77777777">
        <w:tc>
          <w:tcPr>
            <w:tcW w:w="3120" w:type="dxa"/>
          </w:tcPr>
          <w:p w14:paraId="40176D41" w14:textId="77777777" w:rsidR="00AF0787" w:rsidRDefault="00000000">
            <w:r>
              <w:rPr>
                <w:rFonts w:ascii="Calibri" w:hAnsi="Calibri"/>
                <w:sz w:val="20"/>
              </w:rPr>
              <w:t>16–17</w:t>
            </w:r>
          </w:p>
        </w:tc>
        <w:tc>
          <w:tcPr>
            <w:tcW w:w="3120" w:type="dxa"/>
          </w:tcPr>
          <w:p w14:paraId="5DC727D6" w14:textId="77777777" w:rsidR="00AF0787" w:rsidRDefault="00000000">
            <w:r>
              <w:rPr>
                <w:rFonts w:ascii="Calibri" w:hAnsi="Calibri"/>
                <w:sz w:val="20"/>
              </w:rPr>
              <w:t>Presumed to have capacity (MCA 2005)</w:t>
            </w:r>
          </w:p>
        </w:tc>
        <w:tc>
          <w:tcPr>
            <w:tcW w:w="3120" w:type="dxa"/>
          </w:tcPr>
          <w:p w14:paraId="3C5012AF" w14:textId="77777777" w:rsidR="00AF0787" w:rsidRDefault="00000000">
            <w:r>
              <w:rPr>
                <w:rFonts w:ascii="Calibri" w:hAnsi="Calibri"/>
                <w:sz w:val="20"/>
              </w:rPr>
              <w:t>Disclose only if serious risk of harm, public interest, or prevention of serious crime. Always tell young person before disclosing.</w:t>
            </w:r>
          </w:p>
        </w:tc>
      </w:tr>
    </w:tbl>
    <w:p w14:paraId="2D3FC68D" w14:textId="77777777" w:rsidR="00AF0787" w:rsidRDefault="00AF0787"/>
    <w:p w14:paraId="02B0C9F8" w14:textId="77777777" w:rsidR="00AF0787" w:rsidRDefault="00000000">
      <w:pPr>
        <w:pStyle w:val="Heading1"/>
      </w:pPr>
      <w:r>
        <w:rPr>
          <w:rFonts w:ascii="Calibri" w:hAnsi="Calibri"/>
          <w:color w:val="2C5F8A"/>
        </w:rPr>
        <w:t>5. When to Disclose: The GMC 0-18 Framework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AF0787" w14:paraId="7D96B1CF" w14:textId="77777777">
        <w:tc>
          <w:tcPr>
            <w:tcW w:w="9360" w:type="dxa"/>
            <w:shd w:val="clear" w:color="auto" w:fill="7B1D1D"/>
          </w:tcPr>
          <w:p w14:paraId="5340F227" w14:textId="77777777" w:rsidR="00AF0787" w:rsidRDefault="00000000">
            <w:r>
              <w:rPr>
                <w:rFonts w:ascii="Calibri" w:hAnsi="Calibri"/>
                <w:color w:val="FFFFFF"/>
              </w:rPr>
              <w:t>⚠ You should usually share information about abusive or seriously harmful sexual activity, including where:</w:t>
            </w:r>
          </w:p>
        </w:tc>
      </w:tr>
    </w:tbl>
    <w:p w14:paraId="19305BC5" w14:textId="77777777" w:rsidR="00AF0787" w:rsidRDefault="00AF0787"/>
    <w:p w14:paraId="6F3D5AEC" w14:textId="77777777" w:rsidR="00AF0787" w:rsidRDefault="00000000" w:rsidP="007A506E">
      <w:pPr>
        <w:pStyle w:val="ListBullet"/>
        <w:numPr>
          <w:ilvl w:val="0"/>
          <w:numId w:val="10"/>
        </w:numPr>
      </w:pPr>
      <w:r>
        <w:rPr>
          <w:rFonts w:ascii="Calibri" w:hAnsi="Calibri"/>
        </w:rPr>
        <w:t>A young person is too immature to understand or consent</w:t>
      </w:r>
    </w:p>
    <w:p w14:paraId="1FD5FF15" w14:textId="77777777" w:rsidR="00AF0787" w:rsidRDefault="00000000" w:rsidP="007A506E">
      <w:pPr>
        <w:pStyle w:val="ListBullet"/>
        <w:numPr>
          <w:ilvl w:val="0"/>
          <w:numId w:val="10"/>
        </w:numPr>
      </w:pPr>
      <w:r>
        <w:rPr>
          <w:rFonts w:ascii="Calibri" w:hAnsi="Calibri"/>
        </w:rPr>
        <w:t>There is a big difference in age, maturity or power between sexual partners</w:t>
      </w:r>
    </w:p>
    <w:p w14:paraId="6FA7791B" w14:textId="77777777" w:rsidR="00AF0787" w:rsidRDefault="00000000" w:rsidP="007A506E">
      <w:pPr>
        <w:pStyle w:val="ListBullet"/>
        <w:numPr>
          <w:ilvl w:val="0"/>
          <w:numId w:val="10"/>
        </w:numPr>
      </w:pPr>
      <w:r>
        <w:rPr>
          <w:rFonts w:ascii="Calibri" w:hAnsi="Calibri"/>
        </w:rPr>
        <w:t>A young person's sexual partner is in a position of trust</w:t>
      </w:r>
    </w:p>
    <w:p w14:paraId="06DDEEA8" w14:textId="77777777" w:rsidR="00AF0787" w:rsidRDefault="00000000" w:rsidP="007A506E">
      <w:pPr>
        <w:pStyle w:val="ListBullet"/>
        <w:numPr>
          <w:ilvl w:val="0"/>
          <w:numId w:val="10"/>
        </w:numPr>
      </w:pPr>
      <w:r>
        <w:rPr>
          <w:rFonts w:ascii="Calibri" w:hAnsi="Calibri"/>
        </w:rPr>
        <w:t>Force, threats, coercion, drugs or alcohol were used</w:t>
      </w:r>
    </w:p>
    <w:p w14:paraId="0B19619A" w14:textId="77777777" w:rsidR="00AF0787" w:rsidRDefault="00000000" w:rsidP="007A506E">
      <w:pPr>
        <w:pStyle w:val="ListBullet"/>
        <w:numPr>
          <w:ilvl w:val="0"/>
          <w:numId w:val="10"/>
        </w:numPr>
      </w:pPr>
      <w:r>
        <w:rPr>
          <w:rFonts w:ascii="Calibri" w:hAnsi="Calibri"/>
        </w:rPr>
        <w:t>The person is known to police or child protection agencies as having abused children</w:t>
      </w:r>
    </w:p>
    <w:p w14:paraId="67C1F7C2" w14:textId="77777777" w:rsidR="00AF0787" w:rsidRDefault="00000000">
      <w:pPr>
        <w:pStyle w:val="Heading1"/>
      </w:pPr>
      <w:r>
        <w:rPr>
          <w:rFonts w:ascii="Calibri" w:hAnsi="Calibri"/>
          <w:color w:val="2C5F8A"/>
        </w:rPr>
        <w:t>6. Confidentiality in Practice: Whole Team Approach</w:t>
      </w:r>
    </w:p>
    <w:p w14:paraId="174AAAC4" w14:textId="77777777" w:rsidR="00AF0787" w:rsidRDefault="00000000">
      <w:r>
        <w:rPr>
          <w:rFonts w:ascii="Calibri" w:hAnsi="Calibri"/>
          <w:b/>
        </w:rPr>
        <w:t xml:space="preserve">• Reception &amp; admin staff: </w:t>
      </w:r>
      <w:r>
        <w:rPr>
          <w:rFonts w:ascii="Calibri" w:hAnsi="Calibri"/>
        </w:rPr>
        <w:t>Must not discuss patients in waiting rooms or corridors. Screen visibility: who can see your monitor? Telephone calls: ensure privacy.</w:t>
      </w:r>
    </w:p>
    <w:p w14:paraId="2685DA27" w14:textId="77777777" w:rsidR="00AF0787" w:rsidRDefault="00000000">
      <w:r>
        <w:rPr>
          <w:rFonts w:ascii="Calibri" w:hAnsi="Calibri"/>
          <w:b/>
        </w:rPr>
        <w:t xml:space="preserve">• Practice policy: </w:t>
      </w:r>
      <w:r>
        <w:rPr>
          <w:rFonts w:ascii="Calibri" w:hAnsi="Calibri"/>
        </w:rPr>
        <w:t>Every practice should have a written, publicly available confidentiality policy. Review annually.</w:t>
      </w:r>
    </w:p>
    <w:p w14:paraId="780EBF70" w14:textId="77777777" w:rsidR="00AF0787" w:rsidRDefault="00000000">
      <w:r>
        <w:rPr>
          <w:rFonts w:ascii="Calibri" w:hAnsi="Calibri"/>
          <w:b/>
        </w:rPr>
        <w:t xml:space="preserve">• Posters: </w:t>
      </w:r>
      <w:r>
        <w:rPr>
          <w:rFonts w:ascii="Calibri" w:hAnsi="Calibri"/>
        </w:rPr>
        <w:t>Display confidentiality posters in waiting rooms and consulting rooms. Young people report these make a significant difference to their willingness to disclose.</w:t>
      </w:r>
    </w:p>
    <w:p w14:paraId="68D33182" w14:textId="77777777" w:rsidR="00AF0787" w:rsidRDefault="00000000">
      <w:r>
        <w:rPr>
          <w:rFonts w:ascii="Calibri" w:hAnsi="Calibri"/>
          <w:b/>
        </w:rPr>
        <w:t xml:space="preserve">• Computer access: </w:t>
      </w:r>
      <w:r>
        <w:rPr>
          <w:rFonts w:ascii="Calibri" w:hAnsi="Calibri"/>
        </w:rPr>
        <w:t>Young people aged 12+ should have their records separated from parental online access.</w:t>
      </w:r>
    </w:p>
    <w:p w14:paraId="091F31F4" w14:textId="77777777" w:rsidR="00AF0787" w:rsidRDefault="00000000">
      <w:r>
        <w:rPr>
          <w:rFonts w:ascii="Calibri" w:hAnsi="Calibri"/>
          <w:b/>
        </w:rPr>
        <w:t xml:space="preserve">• Note coding: </w:t>
      </w:r>
      <w:r>
        <w:rPr>
          <w:rFonts w:ascii="Calibri" w:hAnsi="Calibri"/>
        </w:rPr>
        <w:t>Code vulnerabilities in young people's records (see HESADSSS vulnerabilities framework). This is especially important with remote/hybrid working.</w:t>
      </w:r>
    </w:p>
    <w:p w14:paraId="0CCC1C6F" w14:textId="77777777" w:rsidR="00AF0787" w:rsidRDefault="00000000">
      <w:pPr>
        <w:pStyle w:val="Heading1"/>
      </w:pPr>
      <w:r>
        <w:rPr>
          <w:rFonts w:ascii="Calibri" w:hAnsi="Calibri"/>
          <w:color w:val="2C5F8A"/>
        </w:rPr>
        <w:lastRenderedPageBreak/>
        <w:t>7. Handling Disclosures — Useful Scripts</w:t>
      </w:r>
    </w:p>
    <w:p w14:paraId="0D6B8A0C" w14:textId="77777777" w:rsidR="00AF0787" w:rsidRDefault="00000000">
      <w:pPr>
        <w:pStyle w:val="ListBullet"/>
      </w:pPr>
      <w:r>
        <w:rPr>
          <w:rFonts w:ascii="Calibri" w:hAnsi="Calibri"/>
          <w:i/>
          <w:color w:val="1E508C"/>
        </w:rPr>
        <w:t>"Everything you tell me is private between us, unless I'm worried about your safety."</w:t>
      </w:r>
    </w:p>
    <w:p w14:paraId="719B98EA" w14:textId="77777777" w:rsidR="00AF0787" w:rsidRDefault="00000000">
      <w:pPr>
        <w:pStyle w:val="ListBullet"/>
      </w:pPr>
      <w:r>
        <w:rPr>
          <w:rFonts w:ascii="Calibri" w:hAnsi="Calibri"/>
          <w:i/>
          <w:color w:val="1E508C"/>
        </w:rPr>
        <w:t>"I need to speak to someone else about this to make sure you're safe. I'll tell you what I'm going to say before I do."</w:t>
      </w:r>
    </w:p>
    <w:p w14:paraId="79464FCD" w14:textId="77777777" w:rsidR="00AF0787" w:rsidRDefault="00000000">
      <w:pPr>
        <w:pStyle w:val="ListBullet"/>
      </w:pPr>
      <w:r>
        <w:rPr>
          <w:rFonts w:ascii="Calibri" w:hAnsi="Calibri"/>
          <w:i/>
          <w:color w:val="1E508C"/>
        </w:rPr>
        <w:t>"I'm not going to judge you. I just want to make sure you're okay."</w:t>
      </w:r>
    </w:p>
    <w:p w14:paraId="197062FC" w14:textId="77777777" w:rsidR="00AF0787" w:rsidRDefault="00000000">
      <w:pPr>
        <w:pStyle w:val="ListBullet"/>
      </w:pPr>
      <w:r>
        <w:rPr>
          <w:rFonts w:ascii="Calibri" w:hAnsi="Calibri"/>
          <w:i/>
          <w:color w:val="1E508C"/>
        </w:rPr>
        <w:t>"I can speak to a colleague about this anonymously first, without naming you, to get some advice."</w:t>
      </w:r>
    </w:p>
    <w:p w14:paraId="07922C9A" w14:textId="77777777" w:rsidR="00AF0787" w:rsidRDefault="00000000">
      <w:pPr>
        <w:pStyle w:val="ListBullet"/>
      </w:pPr>
      <w:r>
        <w:rPr>
          <w:rFonts w:ascii="Calibri" w:hAnsi="Calibri"/>
          <w:i/>
          <w:color w:val="1E508C"/>
        </w:rPr>
        <w:t>"You can come and see me again on your own, whenever you want."</w:t>
      </w:r>
    </w:p>
    <w:p w14:paraId="0DC5B543" w14:textId="77777777" w:rsidR="00AF0787" w:rsidRDefault="00000000">
      <w:pPr>
        <w:pStyle w:val="Heading1"/>
      </w:pPr>
      <w:r>
        <w:rPr>
          <w:rFonts w:ascii="Calibri" w:hAnsi="Calibri"/>
          <w:color w:val="2C5F8A"/>
        </w:rPr>
        <w:t>8. Red Flags — When You Must Act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AF0787" w14:paraId="26F98B56" w14:textId="77777777">
        <w:tc>
          <w:tcPr>
            <w:tcW w:w="9360" w:type="dxa"/>
            <w:shd w:val="clear" w:color="auto" w:fill="C0392B"/>
          </w:tcPr>
          <w:p w14:paraId="74C79059" w14:textId="77777777" w:rsidR="00AF0787" w:rsidRDefault="00000000">
            <w:r>
              <w:rPr>
                <w:rFonts w:ascii="Calibri" w:hAnsi="Calibri"/>
                <w:color w:val="FFFFFF"/>
              </w:rPr>
              <w:t>🔴 UNDER-13 SEXUAL ACTIVITY: Almost always disclose. Discuss with Named Doctor and document fully if not disclosing.</w:t>
            </w:r>
          </w:p>
        </w:tc>
      </w:tr>
    </w:tbl>
    <w:p w14:paraId="4E633663" w14:textId="77777777" w:rsidR="00AF0787" w:rsidRDefault="00AF07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AF0787" w14:paraId="24DDCAAC" w14:textId="77777777">
        <w:tc>
          <w:tcPr>
            <w:tcW w:w="9360" w:type="dxa"/>
            <w:shd w:val="clear" w:color="auto" w:fill="C0392B"/>
          </w:tcPr>
          <w:p w14:paraId="4F2A4D21" w14:textId="77777777" w:rsidR="00AF0787" w:rsidRDefault="00000000">
            <w:r>
              <w:rPr>
                <w:rFonts w:ascii="Calibri" w:hAnsi="Calibri"/>
                <w:color w:val="FFFFFF"/>
              </w:rPr>
              <w:t>🔴 SERIOUS SAFEGUARDING RISK: Risk of death or serious harm to child or others → override confidentiality.</w:t>
            </w:r>
          </w:p>
        </w:tc>
      </w:tr>
    </w:tbl>
    <w:p w14:paraId="6BB50099" w14:textId="77777777" w:rsidR="00AF0787" w:rsidRDefault="00AF07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AF0787" w14:paraId="7C4423A1" w14:textId="77777777">
        <w:tc>
          <w:tcPr>
            <w:tcW w:w="9360" w:type="dxa"/>
            <w:shd w:val="clear" w:color="auto" w:fill="C0392B"/>
          </w:tcPr>
          <w:p w14:paraId="19E4DECD" w14:textId="77777777" w:rsidR="00AF0787" w:rsidRDefault="00000000">
            <w:r>
              <w:rPr>
                <w:rFonts w:ascii="Calibri" w:hAnsi="Calibri"/>
                <w:color w:val="FFFFFF"/>
              </w:rPr>
              <w:t>🔴 CSE INDICATORS: Any indication of child sexual exploitation → consult with safeguarding lead.</w:t>
            </w:r>
          </w:p>
        </w:tc>
      </w:tr>
    </w:tbl>
    <w:p w14:paraId="5D17CA6D" w14:textId="77777777" w:rsidR="00AF0787" w:rsidRDefault="00AF0787"/>
    <w:p w14:paraId="74BDAA03" w14:textId="77777777" w:rsidR="00AF0787" w:rsidRDefault="00000000">
      <w:pPr>
        <w:pStyle w:val="Heading1"/>
      </w:pPr>
      <w:r>
        <w:rPr>
          <w:rFonts w:ascii="Calibri" w:hAnsi="Calibri"/>
          <w:color w:val="2C5F8A"/>
        </w:rPr>
        <w:t>9. Key Points — Quick Summary</w:t>
      </w:r>
    </w:p>
    <w:p w14:paraId="2B301CF1" w14:textId="77777777" w:rsidR="00AF0787" w:rsidRDefault="00000000">
      <w:pPr>
        <w:pStyle w:val="ListBullet"/>
      </w:pPr>
      <w:r>
        <w:rPr>
          <w:rFonts w:ascii="Calibri" w:hAnsi="Calibri"/>
        </w:rPr>
        <w:t>✓ Same confidentiality duty to young people as to adults</w:t>
      </w:r>
    </w:p>
    <w:p w14:paraId="6FD31A19" w14:textId="77777777" w:rsidR="00AF0787" w:rsidRDefault="00000000">
      <w:pPr>
        <w:pStyle w:val="ListBullet"/>
      </w:pPr>
      <w:r>
        <w:rPr>
          <w:rFonts w:ascii="Calibri" w:hAnsi="Calibri"/>
        </w:rPr>
        <w:t>✓ No age limit for consent — competence is the key test</w:t>
      </w:r>
    </w:p>
    <w:p w14:paraId="109D150A" w14:textId="77777777" w:rsidR="00AF0787" w:rsidRDefault="00000000">
      <w:pPr>
        <w:pStyle w:val="ListBullet"/>
      </w:pPr>
      <w:r>
        <w:rPr>
          <w:rFonts w:ascii="Calibri" w:hAnsi="Calibri"/>
        </w:rPr>
        <w:t>✓ Under-13 sexual activity: almost always disclose</w:t>
      </w:r>
    </w:p>
    <w:p w14:paraId="753CE018" w14:textId="77777777" w:rsidR="00AF0787" w:rsidRDefault="00000000">
      <w:pPr>
        <w:pStyle w:val="ListBullet"/>
      </w:pPr>
      <w:r>
        <w:rPr>
          <w:rFonts w:ascii="Calibri" w:hAnsi="Calibri"/>
        </w:rPr>
        <w:t>✓ Fraser Guidelines: ALL FIVE criteria must be met for contraception without parental consent</w:t>
      </w:r>
    </w:p>
    <w:p w14:paraId="3B6DF327" w14:textId="77777777" w:rsidR="00AF0787" w:rsidRDefault="00000000">
      <w:pPr>
        <w:pStyle w:val="ListBullet"/>
      </w:pPr>
      <w:r>
        <w:rPr>
          <w:rFonts w:ascii="Calibri" w:hAnsi="Calibri"/>
        </w:rPr>
        <w:t>✓ Disclosure depends on degree of harm, NOT age of patient</w:t>
      </w:r>
    </w:p>
    <w:p w14:paraId="0415F185" w14:textId="77777777" w:rsidR="00AF0787" w:rsidRDefault="00000000">
      <w:pPr>
        <w:pStyle w:val="ListBullet"/>
      </w:pPr>
      <w:r>
        <w:rPr>
          <w:rFonts w:ascii="Calibri" w:hAnsi="Calibri"/>
        </w:rPr>
        <w:t>✓ Always inform patient before disclosing (unless this would put them at risk)</w:t>
      </w:r>
    </w:p>
    <w:p w14:paraId="58DF2054" w14:textId="77777777" w:rsidR="00AF0787" w:rsidRDefault="00000000">
      <w:pPr>
        <w:pStyle w:val="ListBullet"/>
      </w:pPr>
      <w:r>
        <w:rPr>
          <w:rFonts w:ascii="Calibri" w:hAnsi="Calibri"/>
        </w:rPr>
        <w:t>✓ Whole-team approach: reception, admin, clinical staff all have a confidentiality duty</w:t>
      </w:r>
    </w:p>
    <w:p w14:paraId="02E82C62" w14:textId="77777777" w:rsidR="00AF0787" w:rsidRDefault="00000000">
      <w:pPr>
        <w:pStyle w:val="ListBullet"/>
      </w:pPr>
      <w:r>
        <w:rPr>
          <w:rFonts w:ascii="Calibri" w:hAnsi="Calibri"/>
        </w:rPr>
        <w:t>✓ Practice policy must be written, displayed, and reviewed annually</w:t>
      </w:r>
    </w:p>
    <w:p w14:paraId="1FFB545D" w14:textId="77777777" w:rsidR="00AF0787" w:rsidRDefault="00000000">
      <w:pPr>
        <w:pStyle w:val="Heading1"/>
        <w:rPr>
          <w:rFonts w:ascii="Calibri" w:hAnsi="Calibri"/>
          <w:color w:val="2C5F8A"/>
        </w:rPr>
      </w:pPr>
      <w:r>
        <w:rPr>
          <w:rFonts w:ascii="Calibri" w:hAnsi="Calibri"/>
          <w:color w:val="2C5F8A"/>
        </w:rPr>
        <w:t>10. AKT &amp; SCA Exam Tips</w:t>
      </w:r>
    </w:p>
    <w:p w14:paraId="3ABAD6B7" w14:textId="77777777" w:rsidR="007A506E" w:rsidRPr="007A506E" w:rsidRDefault="007A506E" w:rsidP="007A506E"/>
    <w:p w14:paraId="07E04670" w14:textId="77777777" w:rsidR="00AF0787" w:rsidRDefault="00000000">
      <w:r>
        <w:rPr>
          <w:rFonts w:ascii="Calibri" w:hAnsi="Calibri"/>
          <w:b/>
          <w:color w:val="6A0DAD"/>
        </w:rPr>
        <w:t xml:space="preserve">[AKT] </w:t>
      </w:r>
      <w:r>
        <w:rPr>
          <w:rFonts w:ascii="Calibri" w:hAnsi="Calibri"/>
        </w:rPr>
        <w:t>Fraser Guidelines: must know all 5 criteria for prescribing contraception to under-16 without parental consent.</w:t>
      </w:r>
    </w:p>
    <w:p w14:paraId="41FAE837" w14:textId="77777777" w:rsidR="00AF0787" w:rsidRDefault="00000000">
      <w:r>
        <w:rPr>
          <w:rFonts w:ascii="Calibri" w:hAnsi="Calibri"/>
          <w:b/>
          <w:color w:val="6A0DAD"/>
        </w:rPr>
        <w:t xml:space="preserve">[AKT] </w:t>
      </w:r>
      <w:r>
        <w:rPr>
          <w:rFonts w:ascii="Calibri" w:hAnsi="Calibri"/>
        </w:rPr>
        <w:t>Gillick competence = 3 elements: understand info, use it to decide, communicate decision.</w:t>
      </w:r>
    </w:p>
    <w:p w14:paraId="2F0B34E8" w14:textId="5BF98484" w:rsidR="007A506E" w:rsidRDefault="00000000">
      <w:pPr>
        <w:rPr>
          <w:rFonts w:ascii="Calibri" w:hAnsi="Calibri"/>
        </w:rPr>
      </w:pPr>
      <w:r>
        <w:rPr>
          <w:rFonts w:ascii="Calibri" w:hAnsi="Calibri"/>
          <w:b/>
          <w:color w:val="6A0DAD"/>
        </w:rPr>
        <w:t xml:space="preserve">[AKT] </w:t>
      </w:r>
      <w:r>
        <w:rPr>
          <w:rFonts w:ascii="Calibri" w:hAnsi="Calibri"/>
        </w:rPr>
        <w:t>Under-13: sexual activity almost always disclosed — NOT automatically (it is at professional discretion).</w:t>
      </w:r>
    </w:p>
    <w:p w14:paraId="29DCEED1" w14:textId="77777777" w:rsidR="007A506E" w:rsidRPr="007A506E" w:rsidRDefault="007A506E">
      <w:pPr>
        <w:rPr>
          <w:rFonts w:ascii="Calibri" w:hAnsi="Calibri"/>
        </w:rPr>
      </w:pPr>
    </w:p>
    <w:p w14:paraId="36E6A8B2" w14:textId="77777777" w:rsidR="00AF0787" w:rsidRDefault="00000000">
      <w:r>
        <w:rPr>
          <w:rFonts w:ascii="Calibri" w:hAnsi="Calibri"/>
          <w:b/>
          <w:color w:val="0D6A5E"/>
        </w:rPr>
        <w:lastRenderedPageBreak/>
        <w:t xml:space="preserve">[SCA] </w:t>
      </w:r>
      <w:r>
        <w:rPr>
          <w:rFonts w:ascii="Calibri" w:hAnsi="Calibri"/>
        </w:rPr>
        <w:t>Explain confidentiality FIRST before asking sensitive questions.</w:t>
      </w:r>
    </w:p>
    <w:p w14:paraId="49E27926" w14:textId="77777777" w:rsidR="00AF0787" w:rsidRDefault="00000000">
      <w:r>
        <w:rPr>
          <w:rFonts w:ascii="Calibri" w:hAnsi="Calibri"/>
          <w:b/>
          <w:color w:val="0D6A5E"/>
        </w:rPr>
        <w:t xml:space="preserve">[SCA] </w:t>
      </w:r>
      <w:r>
        <w:rPr>
          <w:rFonts w:ascii="Calibri" w:hAnsi="Calibri"/>
        </w:rPr>
        <w:t>Demonstrate knowledge of when to break confidentiality — "I would only share if I was worried about your safety."</w:t>
      </w:r>
    </w:p>
    <w:p w14:paraId="104E8165" w14:textId="77777777" w:rsidR="00AF0787" w:rsidRDefault="00000000">
      <w:r>
        <w:rPr>
          <w:rFonts w:ascii="Calibri" w:hAnsi="Calibri"/>
          <w:b/>
          <w:color w:val="0D6A5E"/>
        </w:rPr>
        <w:t xml:space="preserve">[SCA] </w:t>
      </w:r>
      <w:r>
        <w:rPr>
          <w:rFonts w:ascii="Calibri" w:hAnsi="Calibri"/>
        </w:rPr>
        <w:t>Never promise absolute confidentiality — always qualify with the safety caveat.</w:t>
      </w:r>
    </w:p>
    <w:p w14:paraId="2EC6CA52" w14:textId="77777777" w:rsidR="00AF0787" w:rsidRDefault="00AF07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AF0787" w14:paraId="6130C8D9" w14:textId="77777777">
        <w:tc>
          <w:tcPr>
            <w:tcW w:w="9360" w:type="dxa"/>
            <w:shd w:val="clear" w:color="auto" w:fill="FFF3CD"/>
          </w:tcPr>
          <w:p w14:paraId="1B4C8255" w14:textId="77777777" w:rsidR="00AF0787" w:rsidRDefault="00000000">
            <w:r>
              <w:rPr>
                <w:rFonts w:ascii="Calibri" w:hAnsi="Calibri"/>
                <w:color w:val="854D0E"/>
                <w:sz w:val="20"/>
              </w:rPr>
              <w:t>⚠ Disclaimer: Always double check this advice and drug doses with the latest NICE/BNF guidance. This document is for educational purposes only.</w:t>
            </w:r>
          </w:p>
        </w:tc>
      </w:tr>
    </w:tbl>
    <w:p w14:paraId="27962219" w14:textId="77777777" w:rsidR="00BC5C4C" w:rsidRDefault="00BC5C4C"/>
    <w:sectPr w:rsidR="00BC5C4C" w:rsidSect="00034616"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22ABD" w14:textId="77777777" w:rsidR="00BC5C4C" w:rsidRDefault="00BC5C4C">
      <w:pPr>
        <w:spacing w:after="0" w:line="240" w:lineRule="auto"/>
      </w:pPr>
      <w:r>
        <w:separator/>
      </w:r>
    </w:p>
  </w:endnote>
  <w:endnote w:type="continuationSeparator" w:id="0">
    <w:p w14:paraId="03133FCD" w14:textId="77777777" w:rsidR="00BC5C4C" w:rsidRDefault="00BC5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75F69" w14:textId="77777777" w:rsidR="00AF0787" w:rsidRDefault="00000000">
    <w:pPr>
      <w:pStyle w:val="Footer"/>
      <w:jc w:val="center"/>
    </w:pPr>
    <w:r>
      <w:rPr>
        <w:color w:val="808080"/>
        <w:sz w:val="16"/>
      </w:rPr>
      <w:t>A free resource provided by www.bradfordvts.co.uk, Dr Ramesh Mehay | Revised May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999B0" w14:textId="77777777" w:rsidR="00BC5C4C" w:rsidRDefault="00BC5C4C">
      <w:pPr>
        <w:spacing w:after="0" w:line="240" w:lineRule="auto"/>
      </w:pPr>
      <w:r>
        <w:separator/>
      </w:r>
    </w:p>
  </w:footnote>
  <w:footnote w:type="continuationSeparator" w:id="0">
    <w:p w14:paraId="61E698F2" w14:textId="77777777" w:rsidR="00BC5C4C" w:rsidRDefault="00BC5C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A587999"/>
    <w:multiLevelType w:val="hybridMultilevel"/>
    <w:tmpl w:val="6D1A17E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25849796">
    <w:abstractNumId w:val="8"/>
  </w:num>
  <w:num w:numId="2" w16cid:durableId="1521579223">
    <w:abstractNumId w:val="6"/>
  </w:num>
  <w:num w:numId="3" w16cid:durableId="537356039">
    <w:abstractNumId w:val="5"/>
  </w:num>
  <w:num w:numId="4" w16cid:durableId="634525358">
    <w:abstractNumId w:val="4"/>
  </w:num>
  <w:num w:numId="5" w16cid:durableId="1306549132">
    <w:abstractNumId w:val="7"/>
  </w:num>
  <w:num w:numId="6" w16cid:durableId="1066801804">
    <w:abstractNumId w:val="3"/>
  </w:num>
  <w:num w:numId="7" w16cid:durableId="820854080">
    <w:abstractNumId w:val="2"/>
  </w:num>
  <w:num w:numId="8" w16cid:durableId="183177067">
    <w:abstractNumId w:val="1"/>
  </w:num>
  <w:num w:numId="9" w16cid:durableId="1928807728">
    <w:abstractNumId w:val="0"/>
  </w:num>
  <w:num w:numId="10" w16cid:durableId="21231807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6025D"/>
    <w:rsid w:val="0029639D"/>
    <w:rsid w:val="00326F90"/>
    <w:rsid w:val="007A506E"/>
    <w:rsid w:val="00AA1D8D"/>
    <w:rsid w:val="00AF0787"/>
    <w:rsid w:val="00B47730"/>
    <w:rsid w:val="00BC5C4C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363914"/>
  <w14:defaultImageDpi w14:val="300"/>
  <w15:docId w15:val="{0C1410FF-3661-42ED-83AC-AE3AB2D36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892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2026-05-23T18:02:00Z</dcterms:modified>
  <cp:category/>
</cp:coreProperties>
</file>