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446D11" w14:textId="77777777" w:rsidR="00570723" w:rsidRDefault="00570723"/>
    <w:p w14:paraId="1B18FF04" w14:textId="77777777" w:rsidR="009B460F" w:rsidRPr="009B460F" w:rsidRDefault="009B460F">
      <w:pPr>
        <w:rPr>
          <w:b/>
          <w:sz w:val="32"/>
          <w:u w:val="single"/>
        </w:rPr>
      </w:pPr>
      <w:r w:rsidRPr="009B460F">
        <w:rPr>
          <w:b/>
          <w:sz w:val="32"/>
          <w:u w:val="single"/>
        </w:rPr>
        <w:t xml:space="preserve">Advice for prescribing </w:t>
      </w:r>
      <w:r w:rsidR="009117A8">
        <w:rPr>
          <w:b/>
          <w:sz w:val="32"/>
          <w:u w:val="single"/>
        </w:rPr>
        <w:t>antimicrobials for long term UTI</w:t>
      </w:r>
      <w:r w:rsidRPr="009B460F">
        <w:rPr>
          <w:b/>
          <w:sz w:val="32"/>
          <w:u w:val="single"/>
        </w:rPr>
        <w:t xml:space="preserve"> prophylaxis</w:t>
      </w:r>
    </w:p>
    <w:p w14:paraId="28FC0E20" w14:textId="77777777" w:rsidR="00570723" w:rsidRDefault="009B460F">
      <w:r>
        <w:t xml:space="preserve">South West Yorkshire Area Prescribing Committee would like to bring </w:t>
      </w:r>
      <w:r w:rsidR="00E60EDD">
        <w:t>the following issue to your attention around the prescribing of antimicrobials</w:t>
      </w:r>
      <w:r w:rsidR="007A0AA2">
        <w:t xml:space="preserve"> for long term prophylaxis in patients with recurrent UTIs. There have been a number of cases highlighted where reviews have not been taking place or have not been documented</w:t>
      </w:r>
      <w:r w:rsidR="00956ECC">
        <w:t xml:space="preserve"> leading to potentially inappropriate lengths of antimicrobial treatment</w:t>
      </w:r>
      <w:r w:rsidR="007A0AA2">
        <w:t>.</w:t>
      </w:r>
    </w:p>
    <w:p w14:paraId="68B6BB03" w14:textId="77777777" w:rsidR="009B460F" w:rsidRDefault="007A0AA2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40F0A3" wp14:editId="325C426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4826000" cy="1492370"/>
                <wp:effectExtent l="0" t="0" r="12700" b="127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0" cy="1492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86D7D6" w14:textId="77777777" w:rsidR="009B460F" w:rsidRDefault="009B460F">
                            <w:pPr>
                              <w:rPr>
                                <w:b/>
                                <w:u w:val="single"/>
                              </w:rPr>
                            </w:pPr>
                            <w:r w:rsidRPr="009B460F">
                              <w:rPr>
                                <w:b/>
                                <w:u w:val="single"/>
                              </w:rPr>
                              <w:t>Case Study</w:t>
                            </w:r>
                          </w:p>
                          <w:p w14:paraId="4913102C" w14:textId="77777777" w:rsidR="00E60EDD" w:rsidRDefault="00E60EDD" w:rsidP="00E60EDD">
                            <w:r>
                              <w:t xml:space="preserve">There has been a case highlighted </w:t>
                            </w:r>
                            <w:r w:rsidR="007A0AA2">
                              <w:t xml:space="preserve">involving a patient who had been prescribed </w:t>
                            </w:r>
                            <w:r w:rsidR="001C04A1">
                              <w:t>trimethoprim prophylaxis for over 2</w:t>
                            </w:r>
                            <w:r w:rsidR="007A0AA2">
                              <w:t>0 years. This was started by a specialist in secondary care</w:t>
                            </w:r>
                            <w:r w:rsidR="00F50E7E">
                              <w:t xml:space="preserve"> and was continued in primary care. </w:t>
                            </w:r>
                            <w:r w:rsidR="001C04A1">
                              <w:t>Despite multiple hospital appointments and primary care reviews t</w:t>
                            </w:r>
                            <w:r w:rsidR="00F50E7E">
                              <w:t xml:space="preserve">he </w:t>
                            </w:r>
                            <w:r w:rsidR="001C04A1">
                              <w:t xml:space="preserve">prophylactic trimethoprim on the repeat prescription was not reviewed or </w:t>
                            </w:r>
                            <w:r w:rsidR="00F50E7E">
                              <w:t>ques</w:t>
                            </w:r>
                            <w:r w:rsidR="001C04A1">
                              <w:t>tioned</w:t>
                            </w:r>
                            <w:r w:rsidR="00F50E7E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40F0A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380pt;height:117.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">
                <v:textbox>
                  <w:txbxContent>
                    <w:p w14:paraId="4D86D7D6" w14:textId="77777777" w:rsidR="009B460F" w:rsidRDefault="009B460F">
                      <w:pPr>
                        <w:rPr>
                          <w:b/>
                          <w:u w:val="single"/>
                        </w:rPr>
                      </w:pPr>
                      <w:r w:rsidRPr="009B460F">
                        <w:rPr>
                          <w:b/>
                          <w:u w:val="single"/>
                        </w:rPr>
                        <w:t>Case Study</w:t>
                      </w:r>
                    </w:p>
                    <w:p w14:paraId="4913102C" w14:textId="77777777" w:rsidR="00E60EDD" w:rsidRDefault="00E60EDD" w:rsidP="00E60EDD">
                      <w:r>
                        <w:t xml:space="preserve">There has been a case highlighted </w:t>
                      </w:r>
                      <w:r w:rsidR="007A0AA2">
                        <w:t xml:space="preserve">involving a patient who had been prescribed </w:t>
                      </w:r>
                      <w:r w:rsidR="001C04A1">
                        <w:t>trimethoprim prophylaxis for over 2</w:t>
                      </w:r>
                      <w:r w:rsidR="007A0AA2">
                        <w:t>0 years. This was started by a specialist in secondary care</w:t>
                      </w:r>
                      <w:r w:rsidR="00F50E7E">
                        <w:t xml:space="preserve"> and was continued in primary care. </w:t>
                      </w:r>
                      <w:r w:rsidR="001C04A1">
                        <w:t>Despite multiple hospital appointments and primary care reviews t</w:t>
                      </w:r>
                      <w:r w:rsidR="00F50E7E">
                        <w:t xml:space="preserve">he </w:t>
                      </w:r>
                      <w:r w:rsidR="001C04A1">
                        <w:t xml:space="preserve">prophylactic trimethoprim on the repeat prescription was not reviewed or </w:t>
                      </w:r>
                      <w:r w:rsidR="00F50E7E">
                        <w:t>ques</w:t>
                      </w:r>
                      <w:r w:rsidR="001C04A1">
                        <w:t>tioned</w:t>
                      </w:r>
                      <w:r w:rsidR="00F50E7E"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453156AE" w14:textId="77777777" w:rsidR="009B460F" w:rsidRDefault="009B460F"/>
    <w:p w14:paraId="10D71CF7" w14:textId="77777777" w:rsidR="009B460F" w:rsidRDefault="009B460F"/>
    <w:p w14:paraId="277EFBB6" w14:textId="77777777" w:rsidR="009B460F" w:rsidRDefault="009B460F"/>
    <w:p w14:paraId="4D8B2FA3" w14:textId="77777777" w:rsidR="009B460F" w:rsidRDefault="009B460F"/>
    <w:p w14:paraId="6FAF54BB" w14:textId="77777777" w:rsidR="00956ECC" w:rsidRPr="006E3B60" w:rsidRDefault="006E3B60" w:rsidP="00F50E7E">
      <w:pPr>
        <w:pStyle w:val="NoSpacing"/>
      </w:pPr>
      <w:r w:rsidRPr="006E3B60">
        <w:t>Inappropriate use of long term antimicrobial prophylaxis is known to contribute to antimicrobial resistance</w:t>
      </w:r>
      <w:r>
        <w:t>.</w:t>
      </w:r>
    </w:p>
    <w:p w14:paraId="345285F1" w14:textId="77777777" w:rsidR="006E3B60" w:rsidRDefault="006E3B60" w:rsidP="00F50E7E">
      <w:pPr>
        <w:pStyle w:val="NoSpacing"/>
        <w:rPr>
          <w:b/>
        </w:rPr>
      </w:pPr>
    </w:p>
    <w:p w14:paraId="5CE939B4" w14:textId="77777777" w:rsidR="00F85A30" w:rsidRPr="00F50E7E" w:rsidRDefault="00570723" w:rsidP="00F50E7E">
      <w:pPr>
        <w:pStyle w:val="NoSpacing"/>
        <w:rPr>
          <w:b/>
        </w:rPr>
      </w:pPr>
      <w:r w:rsidRPr="00F50E7E">
        <w:rPr>
          <w:b/>
        </w:rPr>
        <w:t>As a reminder NICE currently advise</w:t>
      </w:r>
      <w:r w:rsidR="00956ECC">
        <w:rPr>
          <w:b/>
        </w:rPr>
        <w:t xml:space="preserve"> that</w:t>
      </w:r>
      <w:r w:rsidR="00F85A30" w:rsidRPr="00F50E7E">
        <w:rPr>
          <w:b/>
        </w:rPr>
        <w:t xml:space="preserve"> </w:t>
      </w:r>
      <w:r w:rsidR="00F50E7E" w:rsidRPr="00F50E7E">
        <w:rPr>
          <w:b/>
        </w:rPr>
        <w:t>w</w:t>
      </w:r>
      <w:r w:rsidR="00F85A30" w:rsidRPr="00F50E7E">
        <w:rPr>
          <w:b/>
        </w:rPr>
        <w:t xml:space="preserve">hen a trial of daily antibiotic prophylaxis given, </w:t>
      </w:r>
      <w:r w:rsidR="00F50E7E" w:rsidRPr="00F50E7E">
        <w:rPr>
          <w:b/>
        </w:rPr>
        <w:t xml:space="preserve">patients should be </w:t>
      </w:r>
      <w:r w:rsidR="00F85A30" w:rsidRPr="00F50E7E">
        <w:rPr>
          <w:b/>
        </w:rPr>
        <w:t>advise</w:t>
      </w:r>
      <w:r w:rsidR="00F50E7E" w:rsidRPr="00F50E7E">
        <w:rPr>
          <w:b/>
        </w:rPr>
        <w:t>d on</w:t>
      </w:r>
      <w:r w:rsidR="00956ECC">
        <w:rPr>
          <w:b/>
        </w:rPr>
        <w:t xml:space="preserve"> the following</w:t>
      </w:r>
      <w:r w:rsidR="00F85A30" w:rsidRPr="00F50E7E">
        <w:rPr>
          <w:b/>
        </w:rPr>
        <w:t>:</w:t>
      </w:r>
    </w:p>
    <w:p w14:paraId="7A578F58" w14:textId="77777777" w:rsidR="00F85A30" w:rsidRDefault="00F85A30" w:rsidP="00F50E7E">
      <w:pPr>
        <w:pStyle w:val="NoSpacing"/>
        <w:numPr>
          <w:ilvl w:val="0"/>
          <w:numId w:val="3"/>
        </w:numPr>
      </w:pPr>
      <w:r>
        <w:t>The risk of antimicrobial resistance with long-term antibiotics</w:t>
      </w:r>
    </w:p>
    <w:p w14:paraId="0C2324D3" w14:textId="77777777" w:rsidR="00F85A30" w:rsidRDefault="00F85A30" w:rsidP="00F50E7E">
      <w:pPr>
        <w:pStyle w:val="NoSpacing"/>
        <w:numPr>
          <w:ilvl w:val="0"/>
          <w:numId w:val="3"/>
        </w:numPr>
      </w:pPr>
      <w:r>
        <w:t>The possible adverse effects of long-term antibiotic use</w:t>
      </w:r>
    </w:p>
    <w:p w14:paraId="3B485DE3" w14:textId="77777777" w:rsidR="00F85A30" w:rsidRDefault="00F85A30" w:rsidP="00F50E7E">
      <w:pPr>
        <w:pStyle w:val="NoSpacing"/>
        <w:numPr>
          <w:ilvl w:val="0"/>
          <w:numId w:val="3"/>
        </w:numPr>
      </w:pPr>
      <w:r>
        <w:t>The importance of returning for a prescribing review within 6 months</w:t>
      </w:r>
    </w:p>
    <w:p w14:paraId="62469FE2" w14:textId="77777777" w:rsidR="00F85A30" w:rsidRDefault="00F85A30" w:rsidP="00F50E7E">
      <w:pPr>
        <w:pStyle w:val="NoSpacing"/>
        <w:numPr>
          <w:ilvl w:val="0"/>
          <w:numId w:val="3"/>
        </w:numPr>
      </w:pPr>
      <w:r>
        <w:t>The importance of seeking medical help if symptoms of an acute UTI develop</w:t>
      </w:r>
    </w:p>
    <w:p w14:paraId="4A7099D0" w14:textId="77777777" w:rsidR="00F85A30" w:rsidRDefault="00F85A30" w:rsidP="00F85A30">
      <w:pPr>
        <w:pStyle w:val="Default"/>
      </w:pPr>
    </w:p>
    <w:p w14:paraId="5CC98BF0" w14:textId="77777777" w:rsidR="00F85A30" w:rsidRPr="00F85A30" w:rsidRDefault="00F50E7E" w:rsidP="00956ECC">
      <w:pPr>
        <w:pStyle w:val="NoSpacing"/>
      </w:pPr>
      <w:r>
        <w:rPr>
          <w:rStyle w:val="A4"/>
          <w:rFonts w:cstheme="minorHAnsi"/>
          <w:sz w:val="22"/>
          <w:szCs w:val="22"/>
        </w:rPr>
        <w:t>NICE also states that the r</w:t>
      </w:r>
      <w:r w:rsidR="00F85A30" w:rsidRPr="00F85A30">
        <w:rPr>
          <w:rStyle w:val="A4"/>
          <w:rFonts w:cstheme="minorHAnsi"/>
          <w:sz w:val="22"/>
          <w:szCs w:val="22"/>
        </w:rPr>
        <w:t>eview at least every 6 months should include:</w:t>
      </w:r>
    </w:p>
    <w:p w14:paraId="3B0A6C0D" w14:textId="77777777" w:rsidR="00F85A30" w:rsidRPr="00F85A30" w:rsidRDefault="001C04A1" w:rsidP="00F85A30">
      <w:pPr>
        <w:pStyle w:val="Default"/>
        <w:numPr>
          <w:ilvl w:val="0"/>
          <w:numId w:val="2"/>
        </w:numPr>
        <w:spacing w:after="3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</w:t>
      </w:r>
      <w:r w:rsidR="00F85A30" w:rsidRPr="00F85A30">
        <w:rPr>
          <w:rFonts w:asciiTheme="minorHAnsi" w:hAnsiTheme="minorHAnsi" w:cstheme="minorHAnsi"/>
          <w:sz w:val="22"/>
          <w:szCs w:val="22"/>
        </w:rPr>
        <w:t>ssessing prophylaxis success</w:t>
      </w:r>
    </w:p>
    <w:p w14:paraId="19DFFDD9" w14:textId="77777777" w:rsidR="00F85A30" w:rsidRPr="00F85A30" w:rsidRDefault="001C04A1" w:rsidP="00F85A30">
      <w:pPr>
        <w:pStyle w:val="Default"/>
        <w:numPr>
          <w:ilvl w:val="0"/>
          <w:numId w:val="2"/>
        </w:numPr>
        <w:spacing w:after="3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</w:t>
      </w:r>
      <w:r w:rsidR="00F85A30" w:rsidRPr="00F85A30">
        <w:rPr>
          <w:rFonts w:asciiTheme="minorHAnsi" w:hAnsiTheme="minorHAnsi" w:cstheme="minorHAnsi"/>
          <w:sz w:val="22"/>
          <w:szCs w:val="22"/>
        </w:rPr>
        <w:t xml:space="preserve">eminders about behavioural and personal hygiene measures, and self-care </w:t>
      </w:r>
    </w:p>
    <w:p w14:paraId="411A407A" w14:textId="77777777" w:rsidR="00F85A30" w:rsidRPr="00F85A30" w:rsidRDefault="001C04A1" w:rsidP="00F85A30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</w:t>
      </w:r>
      <w:r w:rsidR="00F85A30" w:rsidRPr="00F85A30">
        <w:rPr>
          <w:rFonts w:asciiTheme="minorHAnsi" w:hAnsiTheme="minorHAnsi" w:cstheme="minorHAnsi"/>
          <w:sz w:val="22"/>
          <w:szCs w:val="22"/>
        </w:rPr>
        <w:t xml:space="preserve">iscussing whether to continue, stop or change antibiotic prophylaxis </w:t>
      </w:r>
    </w:p>
    <w:p w14:paraId="27286F93" w14:textId="77777777" w:rsidR="00F85A30" w:rsidRDefault="00F85A3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956ECC" w14:paraId="48CE42B2" w14:textId="77777777" w:rsidTr="00956ECC">
        <w:tc>
          <w:tcPr>
            <w:tcW w:w="4621" w:type="dxa"/>
          </w:tcPr>
          <w:p w14:paraId="554D196B" w14:textId="77777777" w:rsidR="00956ECC" w:rsidRPr="00956ECC" w:rsidRDefault="00956ECC" w:rsidP="00956ECC">
            <w:pPr>
              <w:pStyle w:val="NoSpacing"/>
              <w:jc w:val="center"/>
            </w:pPr>
            <w:r w:rsidRPr="00956ECC">
              <w:rPr>
                <w:b/>
              </w:rPr>
              <w:t>Advice for primary care clinicians</w:t>
            </w:r>
          </w:p>
        </w:tc>
        <w:tc>
          <w:tcPr>
            <w:tcW w:w="4621" w:type="dxa"/>
          </w:tcPr>
          <w:p w14:paraId="09D4EE7F" w14:textId="77777777" w:rsidR="00956ECC" w:rsidRPr="00956ECC" w:rsidRDefault="00956ECC" w:rsidP="00956ECC">
            <w:pPr>
              <w:pStyle w:val="NoSpacing"/>
              <w:jc w:val="center"/>
            </w:pPr>
            <w:r w:rsidRPr="00956ECC">
              <w:rPr>
                <w:b/>
              </w:rPr>
              <w:t>Advice for secondary care clinicians</w:t>
            </w:r>
          </w:p>
        </w:tc>
      </w:tr>
      <w:tr w:rsidR="00956ECC" w14:paraId="419FB4C1" w14:textId="77777777" w:rsidTr="00956ECC">
        <w:tc>
          <w:tcPr>
            <w:tcW w:w="4621" w:type="dxa"/>
          </w:tcPr>
          <w:p w14:paraId="2BE18839" w14:textId="77777777" w:rsidR="00956ECC" w:rsidRDefault="00956ECC" w:rsidP="00956ECC">
            <w:pPr>
              <w:pStyle w:val="ListParagraph"/>
              <w:numPr>
                <w:ilvl w:val="0"/>
                <w:numId w:val="4"/>
              </w:numPr>
            </w:pPr>
            <w:r>
              <w:t>When reviewing regular medication for patients on antimicrobial prophylaxis confirm whether a review has been undertaken within the last 6 months.</w:t>
            </w:r>
          </w:p>
          <w:p w14:paraId="0633B938" w14:textId="77777777" w:rsidR="00956ECC" w:rsidRDefault="00956ECC" w:rsidP="00956ECC">
            <w:pPr>
              <w:pStyle w:val="ListParagraph"/>
              <w:numPr>
                <w:ilvl w:val="0"/>
                <w:numId w:val="4"/>
              </w:numPr>
            </w:pPr>
            <w:r>
              <w:t>If a review hasn’t been undertaken and isn’t planned consider scheduling one as soon as possible.</w:t>
            </w:r>
          </w:p>
          <w:p w14:paraId="095549E7" w14:textId="77777777" w:rsidR="00956ECC" w:rsidRDefault="00956ECC" w:rsidP="00956ECC">
            <w:pPr>
              <w:pStyle w:val="ListParagraph"/>
              <w:numPr>
                <w:ilvl w:val="0"/>
                <w:numId w:val="4"/>
              </w:numPr>
            </w:pPr>
            <w:r>
              <w:t xml:space="preserve">Always document these reviews </w:t>
            </w:r>
            <w:r w:rsidR="004F741A">
              <w:t>in patient notes</w:t>
            </w:r>
          </w:p>
        </w:tc>
        <w:tc>
          <w:tcPr>
            <w:tcW w:w="4621" w:type="dxa"/>
          </w:tcPr>
          <w:p w14:paraId="2800CB02" w14:textId="77777777" w:rsidR="004F741A" w:rsidRDefault="004F741A" w:rsidP="004F741A">
            <w:pPr>
              <w:pStyle w:val="NoSpacing"/>
              <w:numPr>
                <w:ilvl w:val="0"/>
                <w:numId w:val="4"/>
              </w:numPr>
            </w:pPr>
            <w:r>
              <w:t>When initiating antimicrobial prophylaxis please ensure clear time periods for review are set in advance.</w:t>
            </w:r>
          </w:p>
          <w:p w14:paraId="4178C605" w14:textId="77777777" w:rsidR="004F741A" w:rsidRDefault="004F741A" w:rsidP="004F741A">
            <w:pPr>
              <w:pStyle w:val="NoSpacing"/>
              <w:numPr>
                <w:ilvl w:val="0"/>
                <w:numId w:val="4"/>
              </w:numPr>
            </w:pPr>
            <w:r>
              <w:t>Ensure this information is clearly documented and communicated to the GP at the point of referral including whether the patient review</w:t>
            </w:r>
            <w:r w:rsidR="000E2A4F">
              <w:t xml:space="preserve"> should occur in primary care or whether they will be followed up in secondary care</w:t>
            </w:r>
            <w:r>
              <w:t>.</w:t>
            </w:r>
          </w:p>
          <w:p w14:paraId="515193CB" w14:textId="77777777" w:rsidR="00956ECC" w:rsidRDefault="00956ECC"/>
        </w:tc>
      </w:tr>
    </w:tbl>
    <w:p w14:paraId="26E61A12" w14:textId="77777777" w:rsidR="00D85944" w:rsidRDefault="00D85944" w:rsidP="00F50E7E">
      <w:pPr>
        <w:pStyle w:val="NoSpacing"/>
      </w:pPr>
    </w:p>
    <w:p w14:paraId="6482E2BA" w14:textId="77777777" w:rsidR="00570723" w:rsidRDefault="00570723">
      <w:r>
        <w:t>Further informati</w:t>
      </w:r>
      <w:r w:rsidR="00F50E7E">
        <w:t xml:space="preserve">on is available from NICE NG112 </w:t>
      </w:r>
      <w:hyperlink r:id="rId7" w:history="1">
        <w:r w:rsidRPr="009E1628">
          <w:rPr>
            <w:rStyle w:val="Hyperlink"/>
          </w:rPr>
          <w:t>https://www.nice.org.uk/guidance/ng112/resources/visual-summary-pdf-6544163629</w:t>
        </w:r>
      </w:hyperlink>
    </w:p>
    <w:sectPr w:rsidR="00570723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946DCB" w14:textId="77777777" w:rsidR="001044E0" w:rsidRDefault="001044E0" w:rsidP="009B460F">
      <w:pPr>
        <w:spacing w:after="0" w:line="240" w:lineRule="auto"/>
      </w:pPr>
      <w:r>
        <w:separator/>
      </w:r>
    </w:p>
  </w:endnote>
  <w:endnote w:type="continuationSeparator" w:id="0">
    <w:p w14:paraId="50924F64" w14:textId="77777777" w:rsidR="001044E0" w:rsidRDefault="001044E0" w:rsidP="009B46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o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CFC798" w14:textId="77777777" w:rsidR="001044E0" w:rsidRDefault="001044E0" w:rsidP="009B460F">
      <w:pPr>
        <w:spacing w:after="0" w:line="240" w:lineRule="auto"/>
      </w:pPr>
      <w:r>
        <w:separator/>
      </w:r>
    </w:p>
  </w:footnote>
  <w:footnote w:type="continuationSeparator" w:id="0">
    <w:p w14:paraId="1A4BB749" w14:textId="77777777" w:rsidR="001044E0" w:rsidRDefault="001044E0" w:rsidP="009B46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81D5A1" w14:textId="77777777" w:rsidR="009B460F" w:rsidRDefault="009B460F">
    <w:pPr>
      <w:pStyle w:val="Header"/>
    </w:pPr>
    <w:r>
      <w:ptab w:relativeTo="margin" w:alignment="center" w:leader="none"/>
    </w:r>
    <w:r>
      <w:ptab w:relativeTo="margin" w:alignment="right" w:leader="none"/>
    </w:r>
    <w:r>
      <w:rPr>
        <w:noProof/>
        <w:lang w:eastAsia="en-GB"/>
      </w:rPr>
      <w:drawing>
        <wp:inline distT="0" distB="0" distL="0" distR="0" wp14:anchorId="25060A85" wp14:editId="73CE5459">
          <wp:extent cx="1790700" cy="537052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WYAPC-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6341" cy="5387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034C58"/>
    <w:multiLevelType w:val="hybridMultilevel"/>
    <w:tmpl w:val="376206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06587F"/>
    <w:multiLevelType w:val="hybridMultilevel"/>
    <w:tmpl w:val="00D4FE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8C1EFB"/>
    <w:multiLevelType w:val="hybridMultilevel"/>
    <w:tmpl w:val="649E62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5480BB"/>
    <w:multiLevelType w:val="hybridMultilevel"/>
    <w:tmpl w:val="E025542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dgnword-docGUID" w:val="{20F45ECD-8F2D-4CE8-8163-786AAE9A4E2F}"/>
    <w:docVar w:name="dgnword-eventsink" w:val="388177848"/>
  </w:docVars>
  <w:rsids>
    <w:rsidRoot w:val="00570723"/>
    <w:rsid w:val="00035013"/>
    <w:rsid w:val="000E2A4F"/>
    <w:rsid w:val="001044E0"/>
    <w:rsid w:val="001C04A1"/>
    <w:rsid w:val="00255461"/>
    <w:rsid w:val="00281BBF"/>
    <w:rsid w:val="004F741A"/>
    <w:rsid w:val="00570723"/>
    <w:rsid w:val="006E3B60"/>
    <w:rsid w:val="0071150D"/>
    <w:rsid w:val="007A0AA2"/>
    <w:rsid w:val="009117A8"/>
    <w:rsid w:val="00956ECC"/>
    <w:rsid w:val="009B460F"/>
    <w:rsid w:val="00BC3906"/>
    <w:rsid w:val="00D85944"/>
    <w:rsid w:val="00E60EDD"/>
    <w:rsid w:val="00F50E7E"/>
    <w:rsid w:val="00F85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113072"/>
  <w15:docId w15:val="{FA49F784-3434-432A-8B36-373012C42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70723"/>
    <w:rPr>
      <w:color w:val="0000FF" w:themeColor="hyperlink"/>
      <w:u w:val="single"/>
    </w:rPr>
  </w:style>
  <w:style w:type="paragraph" w:customStyle="1" w:styleId="Default">
    <w:name w:val="Default"/>
    <w:rsid w:val="00F85A30"/>
    <w:pPr>
      <w:autoSpaceDE w:val="0"/>
      <w:autoSpaceDN w:val="0"/>
      <w:adjustRightInd w:val="0"/>
      <w:spacing w:after="0" w:line="240" w:lineRule="auto"/>
    </w:pPr>
    <w:rPr>
      <w:rFonts w:ascii="Lato" w:hAnsi="Lato" w:cs="Lato"/>
      <w:color w:val="00000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F85A30"/>
    <w:pPr>
      <w:spacing w:line="241" w:lineRule="atLeast"/>
    </w:pPr>
    <w:rPr>
      <w:rFonts w:cstheme="minorBidi"/>
      <w:color w:val="auto"/>
    </w:rPr>
  </w:style>
  <w:style w:type="character" w:customStyle="1" w:styleId="A4">
    <w:name w:val="A4"/>
    <w:uiPriority w:val="99"/>
    <w:rsid w:val="00F85A30"/>
    <w:rPr>
      <w:rFonts w:cs="Lato"/>
      <w:b/>
      <w:bCs/>
      <w:color w:val="000000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B46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460F"/>
  </w:style>
  <w:style w:type="paragraph" w:styleId="Footer">
    <w:name w:val="footer"/>
    <w:basedOn w:val="Normal"/>
    <w:link w:val="FooterChar"/>
    <w:uiPriority w:val="99"/>
    <w:unhideWhenUsed/>
    <w:rsid w:val="009B46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460F"/>
  </w:style>
  <w:style w:type="paragraph" w:styleId="BalloonText">
    <w:name w:val="Balloon Text"/>
    <w:basedOn w:val="Normal"/>
    <w:link w:val="BalloonTextChar"/>
    <w:uiPriority w:val="99"/>
    <w:semiHidden/>
    <w:unhideWhenUsed/>
    <w:rsid w:val="009B4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460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F50E7E"/>
    <w:pPr>
      <w:spacing w:after="0" w:line="240" w:lineRule="auto"/>
    </w:pPr>
  </w:style>
  <w:style w:type="table" w:styleId="TableGrid">
    <w:name w:val="Table Grid"/>
    <w:basedOn w:val="TableNormal"/>
    <w:uiPriority w:val="59"/>
    <w:rsid w:val="00956E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56E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nice.org.uk/guidance/ng112/resources/visual-summary-pdf-654416362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martin.sheppard2</dc:creator>
  <cp:lastModifiedBy>Ramesh Mehay</cp:lastModifiedBy>
  <cp:revision>2</cp:revision>
  <dcterms:created xsi:type="dcterms:W3CDTF">2021-04-16T13:18:00Z</dcterms:created>
  <dcterms:modified xsi:type="dcterms:W3CDTF">2021-04-16T13:18:00Z</dcterms:modified>
</cp:coreProperties>
</file>