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169C3B" w14:textId="77777777" w:rsidR="00B66C6D" w:rsidRDefault="00B31230">
      <w:pPr>
        <w:spacing w:after="201"/>
      </w:pPr>
      <w:r>
        <w:rPr>
          <w:i/>
        </w:rPr>
        <w:t xml:space="preserve">Factoid: With appropriate investigation and management most people with incontinence can be cure or improved. </w:t>
      </w:r>
    </w:p>
    <w:p w14:paraId="6B74637D" w14:textId="77777777" w:rsidR="00B66C6D" w:rsidRDefault="00B31230">
      <w:pPr>
        <w:spacing w:after="0"/>
        <w:ind w:left="360"/>
        <w:jc w:val="center"/>
      </w:pPr>
      <w:r>
        <w:rPr>
          <w:b/>
          <w:color w:val="005EB8"/>
          <w:sz w:val="32"/>
        </w:rPr>
        <w:t xml:space="preserve"> </w:t>
      </w:r>
    </w:p>
    <w:p w14:paraId="6B19AD5D" w14:textId="77777777" w:rsidR="00B66C6D" w:rsidRDefault="00B31230">
      <w:pPr>
        <w:spacing w:after="0"/>
        <w:ind w:left="862"/>
      </w:pPr>
      <w:r>
        <w:rPr>
          <w:noProof/>
        </w:rPr>
        <mc:AlternateContent>
          <mc:Choice Requires="wpg">
            <w:drawing>
              <wp:anchor distT="0" distB="0" distL="114300" distR="114300" simplePos="0" relativeHeight="251658240" behindDoc="1" locked="0" layoutInCell="1" allowOverlap="1" wp14:anchorId="272964FA" wp14:editId="7A139ED0">
                <wp:simplePos x="0" y="0"/>
                <wp:positionH relativeFrom="column">
                  <wp:posOffset>-158114</wp:posOffset>
                </wp:positionH>
                <wp:positionV relativeFrom="paragraph">
                  <wp:posOffset>-95249</wp:posOffset>
                </wp:positionV>
                <wp:extent cx="3705225" cy="428625"/>
                <wp:effectExtent l="0" t="0" r="0" b="0"/>
                <wp:wrapNone/>
                <wp:docPr id="3363" name="Group 3363"/>
                <wp:cNvGraphicFramePr/>
                <a:graphic xmlns:a="http://schemas.openxmlformats.org/drawingml/2006/main">
                  <a:graphicData uri="http://schemas.microsoft.com/office/word/2010/wordprocessingGroup">
                    <wpg:wgp>
                      <wpg:cNvGrpSpPr/>
                      <wpg:grpSpPr>
                        <a:xfrm>
                          <a:off x="0" y="0"/>
                          <a:ext cx="3705225" cy="428625"/>
                          <a:chOff x="0" y="0"/>
                          <a:chExt cx="3705225" cy="428625"/>
                        </a:xfrm>
                      </wpg:grpSpPr>
                      <wps:wsp>
                        <wps:cNvPr id="379" name="Shape 379"/>
                        <wps:cNvSpPr/>
                        <wps:spPr>
                          <a:xfrm>
                            <a:off x="0" y="0"/>
                            <a:ext cx="3705225" cy="428625"/>
                          </a:xfrm>
                          <a:custGeom>
                            <a:avLst/>
                            <a:gdLst/>
                            <a:ahLst/>
                            <a:cxnLst/>
                            <a:rect l="0" t="0" r="0" b="0"/>
                            <a:pathLst>
                              <a:path w="3705225" h="428625">
                                <a:moveTo>
                                  <a:pt x="0" y="0"/>
                                </a:moveTo>
                                <a:lnTo>
                                  <a:pt x="3481705" y="0"/>
                                </a:lnTo>
                                <a:cubicBezTo>
                                  <a:pt x="3517519" y="0"/>
                                  <a:pt x="3550412" y="12573"/>
                                  <a:pt x="3568319" y="34417"/>
                                </a:cubicBezTo>
                                <a:lnTo>
                                  <a:pt x="3687318" y="178943"/>
                                </a:lnTo>
                                <a:cubicBezTo>
                                  <a:pt x="3705225" y="200660"/>
                                  <a:pt x="3705225" y="227076"/>
                                  <a:pt x="3687318" y="248920"/>
                                </a:cubicBezTo>
                                <a:lnTo>
                                  <a:pt x="3568319" y="393446"/>
                                </a:lnTo>
                                <a:cubicBezTo>
                                  <a:pt x="3550412" y="415163"/>
                                  <a:pt x="3517519" y="428625"/>
                                  <a:pt x="3481705" y="428625"/>
                                </a:cubicBezTo>
                                <a:lnTo>
                                  <a:pt x="0" y="428625"/>
                                </a:lnTo>
                                <a:lnTo>
                                  <a:pt x="0" y="0"/>
                                </a:lnTo>
                                <a:close/>
                              </a:path>
                            </a:pathLst>
                          </a:custGeom>
                          <a:ln w="0" cap="flat">
                            <a:miter lim="127000"/>
                          </a:ln>
                        </wps:spPr>
                        <wps:style>
                          <a:lnRef idx="0">
                            <a:srgbClr val="000000">
                              <a:alpha val="0"/>
                            </a:srgbClr>
                          </a:lnRef>
                          <a:fillRef idx="1">
                            <a:srgbClr val="0070C0"/>
                          </a:fillRef>
                          <a:effectRef idx="0">
                            <a:scrgbClr r="0" g="0" b="0"/>
                          </a:effectRef>
                          <a:fontRef idx="none"/>
                        </wps:style>
                        <wps:bodyPr/>
                      </wps:wsp>
                    </wpg:wgp>
                  </a:graphicData>
                </a:graphic>
              </wp:anchor>
            </w:drawing>
          </mc:Choice>
          <mc:Fallback xmlns:a="http://schemas.openxmlformats.org/drawingml/2006/main">
            <w:pict>
              <v:group id="Group 3363" style="width:291.75pt;height:33.75pt;position:absolute;z-index:-2147483275;mso-position-horizontal-relative:text;mso-position-horizontal:absolute;margin-left:-12.45pt;mso-position-vertical-relative:text;margin-top:-7.5pt;" coordsize="37052,4286">
                <v:shape id="Shape 379" style="position:absolute;width:37052;height:4286;left:0;top:0;" coordsize="3705225,428625" path="m0,0l3481705,0c3517519,0,3550412,12573,3568319,34417l3687318,178943c3705225,200660,3705225,227076,3687318,248920l3568319,393446c3550412,415163,3517519,428625,3481705,428625l0,428625l0,0x">
                  <v:stroke weight="0pt" endcap="flat" joinstyle="miter" miterlimit="10" on="false" color="#000000" opacity="0"/>
                  <v:fill on="true" color="#0070c0"/>
                </v:shape>
              </v:group>
            </w:pict>
          </mc:Fallback>
        </mc:AlternateContent>
      </w:r>
      <w:r>
        <w:rPr>
          <w:b/>
          <w:color w:val="FFFFFF"/>
          <w:sz w:val="40"/>
        </w:rPr>
        <w:t xml:space="preserve">Top Tips for Clinicians </w:t>
      </w:r>
    </w:p>
    <w:tbl>
      <w:tblPr>
        <w:tblStyle w:val="TableGrid"/>
        <w:tblW w:w="11122" w:type="dxa"/>
        <w:tblInd w:w="-326" w:type="dxa"/>
        <w:tblCellMar>
          <w:top w:w="67" w:type="dxa"/>
          <w:left w:w="108" w:type="dxa"/>
          <w:bottom w:w="0" w:type="dxa"/>
          <w:right w:w="82" w:type="dxa"/>
        </w:tblCellMar>
        <w:tblLook w:val="04A0" w:firstRow="1" w:lastRow="0" w:firstColumn="1" w:lastColumn="0" w:noHBand="0" w:noVBand="1"/>
      </w:tblPr>
      <w:tblGrid>
        <w:gridCol w:w="1313"/>
        <w:gridCol w:w="9809"/>
      </w:tblGrid>
      <w:tr w:rsidR="00B66C6D" w14:paraId="1C0ABC3D" w14:textId="77777777">
        <w:trPr>
          <w:trHeight w:val="406"/>
        </w:trPr>
        <w:tc>
          <w:tcPr>
            <w:tcW w:w="1313" w:type="dxa"/>
            <w:tcBorders>
              <w:top w:val="single" w:sz="4" w:space="0" w:color="000000"/>
              <w:left w:val="single" w:sz="4" w:space="0" w:color="000000"/>
              <w:bottom w:val="single" w:sz="4" w:space="0" w:color="000000"/>
              <w:right w:val="single" w:sz="4" w:space="0" w:color="000000"/>
            </w:tcBorders>
          </w:tcPr>
          <w:p w14:paraId="531CCBD5" w14:textId="77777777" w:rsidR="00B66C6D" w:rsidRDefault="00B31230">
            <w:pPr>
              <w:spacing w:after="0"/>
              <w:ind w:right="27"/>
              <w:jc w:val="center"/>
            </w:pPr>
            <w:r>
              <w:rPr>
                <w:b/>
              </w:rPr>
              <w:t xml:space="preserve">Specialist </w:t>
            </w:r>
          </w:p>
        </w:tc>
        <w:tc>
          <w:tcPr>
            <w:tcW w:w="9808" w:type="dxa"/>
            <w:tcBorders>
              <w:top w:val="single" w:sz="4" w:space="0" w:color="000000"/>
              <w:left w:val="single" w:sz="4" w:space="0" w:color="000000"/>
              <w:bottom w:val="single" w:sz="4" w:space="0" w:color="000000"/>
              <w:right w:val="single" w:sz="4" w:space="0" w:color="000000"/>
            </w:tcBorders>
          </w:tcPr>
          <w:p w14:paraId="12C49EBF" w14:textId="77777777" w:rsidR="00B66C6D" w:rsidRDefault="00B31230">
            <w:pPr>
              <w:spacing w:after="0"/>
            </w:pPr>
            <w:r>
              <w:rPr>
                <w:b/>
              </w:rPr>
              <w:t xml:space="preserve">Loren Pilling     Continence Nurse Specialist </w:t>
            </w:r>
          </w:p>
        </w:tc>
      </w:tr>
      <w:tr w:rsidR="00B66C6D" w14:paraId="1160990B" w14:textId="77777777">
        <w:trPr>
          <w:trHeight w:val="408"/>
        </w:trPr>
        <w:tc>
          <w:tcPr>
            <w:tcW w:w="1313" w:type="dxa"/>
            <w:tcBorders>
              <w:top w:val="single" w:sz="4" w:space="0" w:color="000000"/>
              <w:left w:val="single" w:sz="4" w:space="0" w:color="000000"/>
              <w:bottom w:val="single" w:sz="4" w:space="0" w:color="000000"/>
              <w:right w:val="single" w:sz="4" w:space="0" w:color="000000"/>
            </w:tcBorders>
          </w:tcPr>
          <w:p w14:paraId="62E42223" w14:textId="77777777" w:rsidR="00B66C6D" w:rsidRDefault="00B31230">
            <w:pPr>
              <w:spacing w:after="0"/>
              <w:ind w:right="24"/>
              <w:jc w:val="center"/>
            </w:pPr>
            <w:r>
              <w:rPr>
                <w:b/>
              </w:rPr>
              <w:t xml:space="preserve">Subject </w:t>
            </w:r>
          </w:p>
        </w:tc>
        <w:tc>
          <w:tcPr>
            <w:tcW w:w="9808" w:type="dxa"/>
            <w:tcBorders>
              <w:top w:val="single" w:sz="4" w:space="0" w:color="000000"/>
              <w:left w:val="single" w:sz="4" w:space="0" w:color="000000"/>
              <w:bottom w:val="single" w:sz="4" w:space="0" w:color="000000"/>
              <w:right w:val="single" w:sz="4" w:space="0" w:color="000000"/>
            </w:tcBorders>
          </w:tcPr>
          <w:p w14:paraId="64FE7879" w14:textId="77777777" w:rsidR="00B66C6D" w:rsidRDefault="00B31230">
            <w:pPr>
              <w:spacing w:after="0"/>
            </w:pPr>
            <w:r>
              <w:rPr>
                <w:b/>
              </w:rPr>
              <w:t xml:space="preserve">Assessing, </w:t>
            </w:r>
            <w:proofErr w:type="gramStart"/>
            <w:r>
              <w:rPr>
                <w:b/>
              </w:rPr>
              <w:t>identifying</w:t>
            </w:r>
            <w:proofErr w:type="gramEnd"/>
            <w:r>
              <w:rPr>
                <w:b/>
              </w:rPr>
              <w:t xml:space="preserve"> and supporting patients with continence issues </w:t>
            </w:r>
          </w:p>
        </w:tc>
      </w:tr>
      <w:tr w:rsidR="00B66C6D" w14:paraId="68896CC7" w14:textId="77777777">
        <w:trPr>
          <w:trHeight w:val="406"/>
        </w:trPr>
        <w:tc>
          <w:tcPr>
            <w:tcW w:w="1313" w:type="dxa"/>
            <w:tcBorders>
              <w:top w:val="single" w:sz="4" w:space="0" w:color="000000"/>
              <w:left w:val="single" w:sz="4" w:space="0" w:color="000000"/>
              <w:bottom w:val="single" w:sz="4" w:space="0" w:color="000000"/>
              <w:right w:val="single" w:sz="4" w:space="0" w:color="000000"/>
            </w:tcBorders>
          </w:tcPr>
          <w:p w14:paraId="41DC01BB" w14:textId="77777777" w:rsidR="00B66C6D" w:rsidRDefault="00B31230">
            <w:pPr>
              <w:spacing w:after="0"/>
              <w:ind w:right="26"/>
              <w:jc w:val="center"/>
            </w:pPr>
            <w:r>
              <w:rPr>
                <w:b/>
              </w:rPr>
              <w:t xml:space="preserve">Date </w:t>
            </w:r>
          </w:p>
        </w:tc>
        <w:tc>
          <w:tcPr>
            <w:tcW w:w="9808" w:type="dxa"/>
            <w:tcBorders>
              <w:top w:val="single" w:sz="4" w:space="0" w:color="000000"/>
              <w:left w:val="single" w:sz="4" w:space="0" w:color="000000"/>
              <w:bottom w:val="single" w:sz="4" w:space="0" w:color="000000"/>
              <w:right w:val="single" w:sz="4" w:space="0" w:color="000000"/>
            </w:tcBorders>
          </w:tcPr>
          <w:p w14:paraId="303B2865" w14:textId="1F1A84D7" w:rsidR="00B66C6D" w:rsidRDefault="00B31230">
            <w:pPr>
              <w:spacing w:after="0"/>
            </w:pPr>
            <w:r>
              <w:t xml:space="preserve">2020 </w:t>
            </w:r>
          </w:p>
        </w:tc>
      </w:tr>
      <w:tr w:rsidR="00B66C6D" w14:paraId="56FFC1FA" w14:textId="77777777">
        <w:trPr>
          <w:trHeight w:val="408"/>
        </w:trPr>
        <w:tc>
          <w:tcPr>
            <w:tcW w:w="1313" w:type="dxa"/>
            <w:tcBorders>
              <w:top w:val="single" w:sz="4" w:space="0" w:color="000000"/>
              <w:left w:val="single" w:sz="4" w:space="0" w:color="000000"/>
              <w:bottom w:val="single" w:sz="4" w:space="0" w:color="000000"/>
              <w:right w:val="single" w:sz="4" w:space="0" w:color="000000"/>
            </w:tcBorders>
          </w:tcPr>
          <w:p w14:paraId="7B1EF012" w14:textId="77777777" w:rsidR="00B66C6D" w:rsidRDefault="00B31230">
            <w:pPr>
              <w:spacing w:after="0"/>
              <w:ind w:left="70"/>
            </w:pPr>
            <w:r>
              <w:rPr>
                <w:b/>
              </w:rPr>
              <w:t xml:space="preserve">Disclaimer </w:t>
            </w:r>
          </w:p>
        </w:tc>
        <w:tc>
          <w:tcPr>
            <w:tcW w:w="9808" w:type="dxa"/>
            <w:tcBorders>
              <w:top w:val="single" w:sz="4" w:space="0" w:color="000000"/>
              <w:left w:val="single" w:sz="4" w:space="0" w:color="000000"/>
              <w:bottom w:val="single" w:sz="4" w:space="0" w:color="000000"/>
              <w:right w:val="single" w:sz="4" w:space="0" w:color="000000"/>
            </w:tcBorders>
          </w:tcPr>
          <w:p w14:paraId="6CECE450" w14:textId="77777777" w:rsidR="00B66C6D" w:rsidRDefault="00B31230">
            <w:pPr>
              <w:spacing w:after="0"/>
            </w:pPr>
            <w:r>
              <w:t xml:space="preserve">These are intended only as good practice prompts.  Use your clinical judgement. </w:t>
            </w:r>
          </w:p>
        </w:tc>
      </w:tr>
      <w:tr w:rsidR="00B66C6D" w14:paraId="2106DB5C" w14:textId="77777777">
        <w:trPr>
          <w:trHeight w:val="1435"/>
        </w:trPr>
        <w:tc>
          <w:tcPr>
            <w:tcW w:w="1313" w:type="dxa"/>
            <w:tcBorders>
              <w:top w:val="single" w:sz="4" w:space="0" w:color="000000"/>
              <w:left w:val="single" w:sz="4" w:space="0" w:color="000000"/>
              <w:bottom w:val="single" w:sz="4" w:space="0" w:color="000000"/>
              <w:right w:val="single" w:sz="4" w:space="0" w:color="000000"/>
            </w:tcBorders>
          </w:tcPr>
          <w:p w14:paraId="2CC189D5" w14:textId="77777777" w:rsidR="00B66C6D" w:rsidRDefault="00B31230">
            <w:pPr>
              <w:spacing w:after="0"/>
              <w:ind w:right="25"/>
              <w:jc w:val="center"/>
            </w:pPr>
            <w:r>
              <w:rPr>
                <w:b/>
                <w:color w:val="0070C0"/>
              </w:rPr>
              <w:t xml:space="preserve">Top Tip 1 </w:t>
            </w:r>
          </w:p>
        </w:tc>
        <w:tc>
          <w:tcPr>
            <w:tcW w:w="9808" w:type="dxa"/>
            <w:tcBorders>
              <w:top w:val="single" w:sz="4" w:space="0" w:color="000000"/>
              <w:left w:val="single" w:sz="4" w:space="0" w:color="000000"/>
              <w:bottom w:val="single" w:sz="4" w:space="0" w:color="000000"/>
              <w:right w:val="single" w:sz="4" w:space="0" w:color="000000"/>
            </w:tcBorders>
          </w:tcPr>
          <w:p w14:paraId="17D18D71" w14:textId="77777777" w:rsidR="00B66C6D" w:rsidRDefault="00B31230">
            <w:pPr>
              <w:spacing w:after="43"/>
            </w:pPr>
            <w:r>
              <w:rPr>
                <w:b/>
                <w:color w:val="0070C0"/>
              </w:rPr>
              <w:t xml:space="preserve">Before you refer </w:t>
            </w:r>
          </w:p>
          <w:p w14:paraId="5D2BF274" w14:textId="77777777" w:rsidR="00B66C6D" w:rsidRDefault="00B31230">
            <w:pPr>
              <w:numPr>
                <w:ilvl w:val="0"/>
                <w:numId w:val="1"/>
              </w:numPr>
              <w:spacing w:after="48" w:line="237" w:lineRule="auto"/>
              <w:ind w:hanging="360"/>
            </w:pPr>
            <w:r>
              <w:t>Consider duration of symptoms and potential reversible cause e.g. diarrhoea, new medication side effects, UTI, or dietary related</w:t>
            </w:r>
            <w:r>
              <w:rPr>
                <w:b/>
              </w:rPr>
              <w:t xml:space="preserve"> </w:t>
            </w:r>
          </w:p>
          <w:p w14:paraId="7A013423" w14:textId="77777777" w:rsidR="00B66C6D" w:rsidRDefault="00B31230">
            <w:pPr>
              <w:numPr>
                <w:ilvl w:val="0"/>
                <w:numId w:val="1"/>
              </w:numPr>
              <w:spacing w:after="0"/>
              <w:ind w:hanging="360"/>
            </w:pPr>
            <w:r>
              <w:t xml:space="preserve">If change in bowel habit and no reversible cause identified may need onward referral to colorectal </w:t>
            </w:r>
            <w:r>
              <w:rPr>
                <w:b/>
              </w:rPr>
              <w:t xml:space="preserve"> </w:t>
            </w:r>
          </w:p>
          <w:p w14:paraId="1B3A276A" w14:textId="77777777" w:rsidR="00B66C6D" w:rsidRDefault="00B31230">
            <w:pPr>
              <w:numPr>
                <w:ilvl w:val="0"/>
                <w:numId w:val="1"/>
              </w:numPr>
              <w:spacing w:after="0"/>
              <w:ind w:hanging="360"/>
            </w:pPr>
            <w:r>
              <w:t xml:space="preserve">Continence products are </w:t>
            </w:r>
            <w:r>
              <w:t xml:space="preserve">not provided for likely short-term incontinence or new onset incontinence. </w:t>
            </w:r>
            <w:r>
              <w:rPr>
                <w:rFonts w:ascii="Arial" w:eastAsia="Arial" w:hAnsi="Arial" w:cs="Arial"/>
                <w:b/>
                <w:sz w:val="20"/>
              </w:rPr>
              <w:t xml:space="preserve"> </w:t>
            </w:r>
          </w:p>
        </w:tc>
      </w:tr>
      <w:tr w:rsidR="00B66C6D" w14:paraId="0176BBC0" w14:textId="77777777" w:rsidTr="006642B8">
        <w:trPr>
          <w:trHeight w:val="1038"/>
        </w:trPr>
        <w:tc>
          <w:tcPr>
            <w:tcW w:w="1313" w:type="dxa"/>
            <w:tcBorders>
              <w:top w:val="single" w:sz="4" w:space="0" w:color="000000"/>
              <w:left w:val="single" w:sz="4" w:space="0" w:color="000000"/>
              <w:bottom w:val="single" w:sz="4" w:space="0" w:color="000000"/>
              <w:right w:val="single" w:sz="4" w:space="0" w:color="000000"/>
            </w:tcBorders>
          </w:tcPr>
          <w:p w14:paraId="1F1A27B3" w14:textId="77777777" w:rsidR="00B66C6D" w:rsidRDefault="00B31230">
            <w:pPr>
              <w:spacing w:after="0"/>
              <w:ind w:right="24"/>
              <w:jc w:val="center"/>
            </w:pPr>
            <w:r>
              <w:rPr>
                <w:b/>
                <w:color w:val="0070C0"/>
              </w:rPr>
              <w:t xml:space="preserve">Top Tip 2 </w:t>
            </w:r>
          </w:p>
        </w:tc>
        <w:tc>
          <w:tcPr>
            <w:tcW w:w="9808" w:type="dxa"/>
            <w:tcBorders>
              <w:top w:val="single" w:sz="4" w:space="0" w:color="000000"/>
              <w:left w:val="single" w:sz="4" w:space="0" w:color="000000"/>
              <w:bottom w:val="single" w:sz="4" w:space="0" w:color="000000"/>
              <w:right w:val="single" w:sz="4" w:space="0" w:color="000000"/>
            </w:tcBorders>
          </w:tcPr>
          <w:p w14:paraId="4971B83F" w14:textId="77777777" w:rsidR="00B66C6D" w:rsidRDefault="00B31230">
            <w:pPr>
              <w:spacing w:after="0"/>
            </w:pPr>
            <w:r>
              <w:rPr>
                <w:b/>
                <w:color w:val="0070C0"/>
              </w:rPr>
              <w:t xml:space="preserve">Referring to the Continence Service </w:t>
            </w:r>
          </w:p>
          <w:p w14:paraId="29256252" w14:textId="77777777" w:rsidR="00B66C6D" w:rsidRDefault="00B31230">
            <w:pPr>
              <w:numPr>
                <w:ilvl w:val="0"/>
                <w:numId w:val="2"/>
              </w:numPr>
              <w:spacing w:after="0"/>
              <w:ind w:hanging="360"/>
            </w:pPr>
            <w:r>
              <w:t xml:space="preserve">Please ensure as much information is completed as possible to avoid return of referral </w:t>
            </w:r>
          </w:p>
          <w:p w14:paraId="34998B03" w14:textId="7599D581" w:rsidR="00B66C6D" w:rsidRDefault="00B31230" w:rsidP="006642B8">
            <w:pPr>
              <w:numPr>
                <w:ilvl w:val="0"/>
                <w:numId w:val="2"/>
              </w:numPr>
              <w:spacing w:after="0"/>
              <w:ind w:hanging="360"/>
            </w:pPr>
            <w:r>
              <w:t xml:space="preserve">For urinary issues, it is </w:t>
            </w:r>
            <w:r>
              <w:t xml:space="preserve">essential a UTI is excluded pre-referral </w:t>
            </w:r>
          </w:p>
        </w:tc>
      </w:tr>
      <w:tr w:rsidR="00B66C6D" w14:paraId="5AD07A32" w14:textId="77777777">
        <w:trPr>
          <w:trHeight w:val="2004"/>
        </w:trPr>
        <w:tc>
          <w:tcPr>
            <w:tcW w:w="1313" w:type="dxa"/>
            <w:tcBorders>
              <w:top w:val="single" w:sz="4" w:space="0" w:color="000000"/>
              <w:left w:val="single" w:sz="4" w:space="0" w:color="000000"/>
              <w:bottom w:val="single" w:sz="4" w:space="0" w:color="000000"/>
              <w:right w:val="single" w:sz="4" w:space="0" w:color="000000"/>
            </w:tcBorders>
          </w:tcPr>
          <w:p w14:paraId="430D5711" w14:textId="77777777" w:rsidR="00B66C6D" w:rsidRDefault="00B31230">
            <w:pPr>
              <w:spacing w:after="0"/>
              <w:ind w:right="25"/>
              <w:jc w:val="center"/>
            </w:pPr>
            <w:r>
              <w:rPr>
                <w:b/>
                <w:color w:val="0070C0"/>
              </w:rPr>
              <w:t xml:space="preserve">Top Tip 3 </w:t>
            </w:r>
          </w:p>
        </w:tc>
        <w:tc>
          <w:tcPr>
            <w:tcW w:w="9808" w:type="dxa"/>
            <w:tcBorders>
              <w:top w:val="single" w:sz="4" w:space="0" w:color="000000"/>
              <w:left w:val="single" w:sz="4" w:space="0" w:color="000000"/>
              <w:bottom w:val="single" w:sz="4" w:space="0" w:color="000000"/>
              <w:right w:val="single" w:sz="4" w:space="0" w:color="000000"/>
            </w:tcBorders>
          </w:tcPr>
          <w:p w14:paraId="71D2085B" w14:textId="77777777" w:rsidR="00B66C6D" w:rsidRDefault="00B31230">
            <w:pPr>
              <w:spacing w:after="0"/>
            </w:pPr>
            <w:r>
              <w:rPr>
                <w:b/>
                <w:color w:val="0070C0"/>
              </w:rPr>
              <w:t xml:space="preserve">Fluid advice   </w:t>
            </w:r>
          </w:p>
          <w:p w14:paraId="219786EB" w14:textId="77777777" w:rsidR="00B66C6D" w:rsidRDefault="00B31230">
            <w:pPr>
              <w:spacing w:after="61" w:line="241" w:lineRule="auto"/>
            </w:pPr>
            <w:r>
              <w:t>A quick conversation about what the patient is drin</w:t>
            </w:r>
            <w:r>
              <w:t xml:space="preserve">king can make all the difference in improving symptoms. Click on the link [to add] below for fluids to avoid advice that can be printed for the patient.  </w:t>
            </w:r>
          </w:p>
          <w:p w14:paraId="4D1FA296" w14:textId="77777777" w:rsidR="00B66C6D" w:rsidRDefault="00B31230">
            <w:pPr>
              <w:numPr>
                <w:ilvl w:val="0"/>
                <w:numId w:val="3"/>
              </w:numPr>
              <w:spacing w:after="0"/>
              <w:ind w:hanging="360"/>
            </w:pPr>
            <w:r>
              <w:t xml:space="preserve">Important to change to healthy fluids such as decaf/stop fizzy drinks and alcohol </w:t>
            </w:r>
          </w:p>
          <w:p w14:paraId="51AD3DB1" w14:textId="77777777" w:rsidR="00B66C6D" w:rsidRDefault="00B31230">
            <w:pPr>
              <w:numPr>
                <w:ilvl w:val="0"/>
                <w:numId w:val="3"/>
              </w:numPr>
              <w:spacing w:after="0"/>
              <w:ind w:hanging="360"/>
            </w:pPr>
            <w:r>
              <w:t xml:space="preserve">Drink adequately (as we know concentrated urine worsens urgency) </w:t>
            </w:r>
          </w:p>
          <w:p w14:paraId="7E248A09" w14:textId="6D36D74F" w:rsidR="00B66C6D" w:rsidRDefault="00B31230">
            <w:pPr>
              <w:numPr>
                <w:ilvl w:val="0"/>
                <w:numId w:val="3"/>
              </w:numPr>
              <w:spacing w:after="0"/>
              <w:ind w:hanging="360"/>
            </w:pPr>
            <w:r>
              <w:t>Stop drinking at least 2 hours before they intend to go to sleep to improve nocturia / enuresis. See link t</w:t>
            </w:r>
            <w:r>
              <w:t xml:space="preserve">o </w:t>
            </w:r>
            <w:hyperlink r:id="rId7">
              <w:r>
                <w:rPr>
                  <w:b/>
                  <w:color w:val="0000FF"/>
                  <w:u w:val="single" w:color="0000FF"/>
                </w:rPr>
                <w:t>food and drinks which can irritate the bladder</w:t>
              </w:r>
            </w:hyperlink>
            <w:hyperlink r:id="rId8">
              <w:r>
                <w:t>.</w:t>
              </w:r>
            </w:hyperlink>
            <w:r>
              <w:t xml:space="preserve">  </w:t>
            </w:r>
          </w:p>
        </w:tc>
      </w:tr>
      <w:tr w:rsidR="00B66C6D" w14:paraId="3FC11E9E" w14:textId="77777777">
        <w:trPr>
          <w:trHeight w:val="898"/>
        </w:trPr>
        <w:tc>
          <w:tcPr>
            <w:tcW w:w="1313" w:type="dxa"/>
            <w:tcBorders>
              <w:top w:val="single" w:sz="4" w:space="0" w:color="000000"/>
              <w:left w:val="single" w:sz="4" w:space="0" w:color="000000"/>
              <w:bottom w:val="single" w:sz="4" w:space="0" w:color="000000"/>
              <w:right w:val="single" w:sz="4" w:space="0" w:color="000000"/>
            </w:tcBorders>
          </w:tcPr>
          <w:p w14:paraId="0AECC4FB" w14:textId="77777777" w:rsidR="00B66C6D" w:rsidRDefault="00B31230">
            <w:pPr>
              <w:spacing w:after="0"/>
              <w:ind w:right="25"/>
              <w:jc w:val="center"/>
            </w:pPr>
            <w:r>
              <w:rPr>
                <w:b/>
                <w:color w:val="0070C0"/>
              </w:rPr>
              <w:t xml:space="preserve">Top Tip 4 </w:t>
            </w:r>
          </w:p>
        </w:tc>
        <w:tc>
          <w:tcPr>
            <w:tcW w:w="9808" w:type="dxa"/>
            <w:tcBorders>
              <w:top w:val="single" w:sz="4" w:space="0" w:color="000000"/>
              <w:left w:val="single" w:sz="4" w:space="0" w:color="000000"/>
              <w:bottom w:val="single" w:sz="4" w:space="0" w:color="000000"/>
              <w:right w:val="single" w:sz="4" w:space="0" w:color="000000"/>
            </w:tcBorders>
          </w:tcPr>
          <w:p w14:paraId="384D8B7B" w14:textId="77777777" w:rsidR="00B66C6D" w:rsidRDefault="00B31230">
            <w:pPr>
              <w:spacing w:after="0"/>
            </w:pPr>
            <w:r>
              <w:rPr>
                <w:b/>
                <w:color w:val="0070C0"/>
              </w:rPr>
              <w:t xml:space="preserve">Lifestyle Advice </w:t>
            </w:r>
          </w:p>
          <w:p w14:paraId="11ECAD4D" w14:textId="23B1060E" w:rsidR="00B66C6D" w:rsidRDefault="00B31230">
            <w:pPr>
              <w:spacing w:after="0"/>
              <w:ind w:right="313"/>
            </w:pPr>
            <w:r>
              <w:t>Along with the fluid advice above, general lifestyle advice should be given to the patient</w:t>
            </w:r>
            <w:r w:rsidR="006642B8">
              <w:t>.  NHS links:</w:t>
            </w:r>
            <w:r>
              <w:t xml:space="preserve">      </w:t>
            </w:r>
            <w:hyperlink r:id="rId9">
              <w:r>
                <w:rPr>
                  <w:b/>
                  <w:color w:val="0000FF"/>
                  <w:u w:val="single" w:color="0000FF"/>
                </w:rPr>
                <w:t>Eat well</w:t>
              </w:r>
            </w:hyperlink>
            <w:hyperlink r:id="rId10">
              <w:r>
                <w:rPr>
                  <w:b/>
                </w:rPr>
                <w:t xml:space="preserve"> </w:t>
              </w:r>
            </w:hyperlink>
            <w:r>
              <w:rPr>
                <w:b/>
              </w:rPr>
              <w:t xml:space="preserve">  </w:t>
            </w:r>
            <w:r>
              <w:t xml:space="preserve"> </w:t>
            </w:r>
            <w:hyperlink r:id="rId11">
              <w:r>
                <w:rPr>
                  <w:b/>
                  <w:color w:val="0000FF"/>
                  <w:u w:val="single" w:color="0000FF"/>
                </w:rPr>
                <w:t>10 ways to stop leaks</w:t>
              </w:r>
            </w:hyperlink>
            <w:hyperlink r:id="rId12">
              <w:r>
                <w:rPr>
                  <w:b/>
                </w:rPr>
                <w:t xml:space="preserve"> </w:t>
              </w:r>
            </w:hyperlink>
            <w:r>
              <w:rPr>
                <w:b/>
              </w:rPr>
              <w:t xml:space="preserve">  </w:t>
            </w:r>
            <w:hyperlink r:id="rId13">
              <w:r>
                <w:rPr>
                  <w:b/>
                  <w:color w:val="0000FF"/>
                  <w:u w:val="single" w:color="0000FF"/>
                </w:rPr>
                <w:t>Reducing alcohol</w:t>
              </w:r>
            </w:hyperlink>
            <w:hyperlink r:id="rId14">
              <w:r>
                <w:rPr>
                  <w:b/>
                </w:rPr>
                <w:t xml:space="preserve"> </w:t>
              </w:r>
            </w:hyperlink>
            <w:r>
              <w:rPr>
                <w:b/>
              </w:rPr>
              <w:t xml:space="preserve">  </w:t>
            </w:r>
            <w:hyperlink r:id="rId15">
              <w:r>
                <w:rPr>
                  <w:b/>
                  <w:color w:val="0000FF"/>
                  <w:u w:val="single" w:color="0000FF"/>
                </w:rPr>
                <w:t>Weight loss plan</w:t>
              </w:r>
            </w:hyperlink>
            <w:hyperlink r:id="rId16">
              <w:r>
                <w:rPr>
                  <w:b/>
                </w:rPr>
                <w:t xml:space="preserve"> </w:t>
              </w:r>
            </w:hyperlink>
            <w:r>
              <w:rPr>
                <w:b/>
              </w:rPr>
              <w:t xml:space="preserve">  </w:t>
            </w:r>
            <w:hyperlink r:id="rId17">
              <w:r>
                <w:rPr>
                  <w:b/>
                  <w:color w:val="0000FF"/>
                  <w:u w:val="single" w:color="0000FF"/>
                </w:rPr>
                <w:t>Stop Smoking</w:t>
              </w:r>
            </w:hyperlink>
            <w:hyperlink r:id="rId18">
              <w:r>
                <w:rPr>
                  <w:b/>
                </w:rPr>
                <w:t xml:space="preserve"> </w:t>
              </w:r>
            </w:hyperlink>
            <w:hyperlink r:id="rId19">
              <w:r>
                <w:rPr>
                  <w:b/>
                </w:rPr>
                <w:t xml:space="preserve">  </w:t>
              </w:r>
            </w:hyperlink>
            <w:hyperlink r:id="rId20">
              <w:r>
                <w:rPr>
                  <w:b/>
                  <w:color w:val="0000FF"/>
                  <w:u w:val="single" w:color="0000FF"/>
                </w:rPr>
                <w:t>Pelvic floor exercises?</w:t>
              </w:r>
            </w:hyperlink>
            <w:hyperlink r:id="rId21">
              <w:r>
                <w:t xml:space="preserve"> </w:t>
              </w:r>
            </w:hyperlink>
          </w:p>
        </w:tc>
      </w:tr>
      <w:tr w:rsidR="00B66C6D" w14:paraId="1AF7732A" w14:textId="77777777">
        <w:trPr>
          <w:trHeight w:val="3896"/>
        </w:trPr>
        <w:tc>
          <w:tcPr>
            <w:tcW w:w="1313" w:type="dxa"/>
            <w:tcBorders>
              <w:top w:val="single" w:sz="4" w:space="0" w:color="000000"/>
              <w:left w:val="single" w:sz="4" w:space="0" w:color="000000"/>
              <w:bottom w:val="single" w:sz="4" w:space="0" w:color="000000"/>
              <w:right w:val="single" w:sz="4" w:space="0" w:color="000000"/>
            </w:tcBorders>
          </w:tcPr>
          <w:p w14:paraId="6EC05D5A" w14:textId="77777777" w:rsidR="00B66C6D" w:rsidRDefault="00B31230">
            <w:pPr>
              <w:spacing w:after="0"/>
              <w:ind w:right="25"/>
              <w:jc w:val="center"/>
            </w:pPr>
            <w:r>
              <w:rPr>
                <w:b/>
                <w:color w:val="0070C0"/>
              </w:rPr>
              <w:t xml:space="preserve">Top Tip 5 </w:t>
            </w:r>
          </w:p>
        </w:tc>
        <w:tc>
          <w:tcPr>
            <w:tcW w:w="9808" w:type="dxa"/>
            <w:tcBorders>
              <w:top w:val="single" w:sz="4" w:space="0" w:color="000000"/>
              <w:left w:val="single" w:sz="4" w:space="0" w:color="000000"/>
              <w:bottom w:val="single" w:sz="4" w:space="0" w:color="000000"/>
              <w:right w:val="single" w:sz="4" w:space="0" w:color="000000"/>
            </w:tcBorders>
          </w:tcPr>
          <w:p w14:paraId="64CA2A3F" w14:textId="77777777" w:rsidR="00B66C6D" w:rsidRDefault="00B31230">
            <w:pPr>
              <w:spacing w:after="0"/>
            </w:pPr>
            <w:r>
              <w:rPr>
                <w:b/>
                <w:color w:val="0070C0"/>
              </w:rPr>
              <w:t xml:space="preserve">Anticholinergic medication </w:t>
            </w:r>
          </w:p>
          <w:p w14:paraId="3AC3AA19" w14:textId="77777777" w:rsidR="00B66C6D" w:rsidRDefault="00B31230">
            <w:pPr>
              <w:spacing w:after="41"/>
            </w:pPr>
            <w:r>
              <w:t xml:space="preserve">After a full holistic </w:t>
            </w:r>
            <w:proofErr w:type="gramStart"/>
            <w:r>
              <w:t>assessment,  we</w:t>
            </w:r>
            <w:proofErr w:type="gramEnd"/>
            <w:r>
              <w:t xml:space="preserve"> ensure that prior to commencing any anticholinergic medication: </w:t>
            </w:r>
          </w:p>
          <w:p w14:paraId="7F615A8B" w14:textId="77777777" w:rsidR="00B66C6D" w:rsidRDefault="00B31230">
            <w:pPr>
              <w:numPr>
                <w:ilvl w:val="0"/>
                <w:numId w:val="4"/>
              </w:numPr>
              <w:spacing w:after="0"/>
              <w:ind w:hanging="360"/>
            </w:pPr>
            <w:r>
              <w:t xml:space="preserve">Factors such as lifestyle/relevant medical history are excluded to ensure medication is appropriate </w:t>
            </w:r>
          </w:p>
          <w:p w14:paraId="54DB820D" w14:textId="77777777" w:rsidR="00B66C6D" w:rsidRDefault="00B31230">
            <w:pPr>
              <w:numPr>
                <w:ilvl w:val="0"/>
                <w:numId w:val="4"/>
              </w:numPr>
              <w:spacing w:after="46" w:line="240" w:lineRule="auto"/>
              <w:ind w:hanging="360"/>
            </w:pPr>
            <w:r>
              <w:t>A trial of behavioural t</w:t>
            </w:r>
            <w:r>
              <w:t xml:space="preserve">herapy when appropriate such as bladder retraining prior to considering medications (as per NICE guidance) is recommended </w:t>
            </w:r>
          </w:p>
          <w:p w14:paraId="04191ACC" w14:textId="77777777" w:rsidR="00B66C6D" w:rsidRDefault="00B31230">
            <w:pPr>
              <w:numPr>
                <w:ilvl w:val="0"/>
                <w:numId w:val="4"/>
              </w:numPr>
              <w:spacing w:after="0"/>
              <w:ind w:hanging="360"/>
            </w:pPr>
            <w:r>
              <w:t xml:space="preserve">Potential side effects such as constipation, dry mouth and urinary retention are considered </w:t>
            </w:r>
          </w:p>
          <w:p w14:paraId="5225B111" w14:textId="77777777" w:rsidR="00B66C6D" w:rsidRDefault="00B31230">
            <w:pPr>
              <w:numPr>
                <w:ilvl w:val="0"/>
                <w:numId w:val="4"/>
              </w:numPr>
              <w:spacing w:after="2" w:line="238" w:lineRule="auto"/>
              <w:ind w:hanging="360"/>
            </w:pPr>
            <w:r>
              <w:t>The potential for anticholinergic burden</w:t>
            </w:r>
            <w:r>
              <w:t xml:space="preserve">, which is associated with the use of multiple medications with anticholinergic effects, is considered.  </w:t>
            </w:r>
          </w:p>
          <w:p w14:paraId="0B06B26B" w14:textId="77777777" w:rsidR="00B66C6D" w:rsidRDefault="00B31230">
            <w:pPr>
              <w:spacing w:after="0"/>
              <w:ind w:left="360"/>
            </w:pPr>
            <w:r>
              <w:t>Older adults are particularly susceptible to the adverse effects of these medications, which include the side effects listed above along with the potential to cause increased confusion and falls, particularly in the elderly.  It is crucial when considering</w:t>
            </w:r>
            <w:r>
              <w:t xml:space="preserve"> medications of this nature to balance the risks along with the intended benefits.  Certain medications such as TROSPIUM, would be preferable in patients with cognitive decline as it does not penetrate the central nervous system. We would usually trial thi</w:t>
            </w:r>
            <w:r>
              <w:t xml:space="preserve">s medication for 4-6 weeks before reviewing effectiveness.  </w:t>
            </w:r>
          </w:p>
        </w:tc>
      </w:tr>
      <w:tr w:rsidR="00B66C6D" w14:paraId="0E841B65" w14:textId="77777777">
        <w:trPr>
          <w:trHeight w:val="2528"/>
        </w:trPr>
        <w:tc>
          <w:tcPr>
            <w:tcW w:w="1313" w:type="dxa"/>
            <w:tcBorders>
              <w:top w:val="single" w:sz="4" w:space="0" w:color="000000"/>
              <w:left w:val="single" w:sz="4" w:space="0" w:color="000000"/>
              <w:bottom w:val="single" w:sz="4" w:space="0" w:color="000000"/>
              <w:right w:val="single" w:sz="4" w:space="0" w:color="000000"/>
            </w:tcBorders>
          </w:tcPr>
          <w:p w14:paraId="2209BFE4" w14:textId="77777777" w:rsidR="00B66C6D" w:rsidRDefault="00B31230">
            <w:pPr>
              <w:spacing w:after="0"/>
              <w:ind w:right="25"/>
              <w:jc w:val="center"/>
            </w:pPr>
            <w:r>
              <w:rPr>
                <w:b/>
                <w:color w:val="0070C0"/>
              </w:rPr>
              <w:lastRenderedPageBreak/>
              <w:t xml:space="preserve">Top Tip 6 </w:t>
            </w:r>
          </w:p>
        </w:tc>
        <w:tc>
          <w:tcPr>
            <w:tcW w:w="9808" w:type="dxa"/>
            <w:tcBorders>
              <w:top w:val="single" w:sz="4" w:space="0" w:color="000000"/>
              <w:left w:val="single" w:sz="4" w:space="0" w:color="000000"/>
              <w:bottom w:val="single" w:sz="4" w:space="0" w:color="000000"/>
              <w:right w:val="single" w:sz="4" w:space="0" w:color="000000"/>
            </w:tcBorders>
          </w:tcPr>
          <w:p w14:paraId="6B13590E" w14:textId="77777777" w:rsidR="00B66C6D" w:rsidRDefault="00B31230">
            <w:pPr>
              <w:spacing w:after="0"/>
            </w:pPr>
            <w:r>
              <w:rPr>
                <w:b/>
                <w:color w:val="0070C0"/>
              </w:rPr>
              <w:t xml:space="preserve">Containment products  </w:t>
            </w:r>
          </w:p>
          <w:p w14:paraId="604C5603" w14:textId="77777777" w:rsidR="00B66C6D" w:rsidRDefault="00B31230">
            <w:pPr>
              <w:spacing w:after="0"/>
            </w:pPr>
            <w:r>
              <w:t xml:space="preserve">Please remember that containment products are </w:t>
            </w:r>
            <w:r>
              <w:rPr>
                <w:b/>
              </w:rPr>
              <w:t xml:space="preserve">not </w:t>
            </w:r>
            <w:r>
              <w:t xml:space="preserve">a first line intervention incontinence.   </w:t>
            </w:r>
          </w:p>
          <w:p w14:paraId="6B8C8887" w14:textId="77777777" w:rsidR="00B66C6D" w:rsidRDefault="00B31230">
            <w:pPr>
              <w:spacing w:after="17" w:line="240" w:lineRule="auto"/>
            </w:pPr>
            <w:r>
              <w:t xml:space="preserve">All adults with an identified problem </w:t>
            </w:r>
            <w:r>
              <w:rPr>
                <w:b/>
              </w:rPr>
              <w:t xml:space="preserve">must </w:t>
            </w:r>
            <w:r>
              <w:t>be offered a comprehensi</w:t>
            </w:r>
            <w:r>
              <w:t xml:space="preserve">ve assessment of their continence condition.  For adults where it is known or anticipated there may be difficulties with maintaining bladder and/or bowel health e.g. learning disabilities, dementia or frailty, they should </w:t>
            </w:r>
            <w:r>
              <w:rPr>
                <w:b/>
              </w:rPr>
              <w:t>still have</w:t>
            </w:r>
            <w:r>
              <w:t xml:space="preserve"> the opportunity for tre</w:t>
            </w:r>
            <w:r>
              <w:t xml:space="preserve">atment before containment management options are implemented. </w:t>
            </w:r>
          </w:p>
          <w:p w14:paraId="095EA246" w14:textId="77777777" w:rsidR="00B66C6D" w:rsidRDefault="00B31230">
            <w:pPr>
              <w:spacing w:after="0"/>
            </w:pPr>
            <w:r>
              <w:rPr>
                <w:b/>
              </w:rPr>
              <w:t xml:space="preserve">Containment products are a prescribed item and there must be a valid clinical need for these products - just as there should be for any medication that is prescribed. </w:t>
            </w:r>
            <w:r>
              <w:rPr>
                <w:b/>
                <w:color w:val="0000FF"/>
              </w:rPr>
              <w:t>See link t</w:t>
            </w:r>
            <w:hyperlink r:id="rId22">
              <w:r>
                <w:rPr>
                  <w:b/>
                  <w:color w:val="0000FF"/>
                </w:rPr>
                <w:t xml:space="preserve">o </w:t>
              </w:r>
            </w:hyperlink>
            <w:hyperlink r:id="rId23">
              <w:r>
                <w:rPr>
                  <w:b/>
                  <w:color w:val="0000FF"/>
                  <w:u w:val="single" w:color="0000FF"/>
                </w:rPr>
                <w:t>guidance for the provision of</w:t>
              </w:r>
            </w:hyperlink>
            <w:hyperlink r:id="rId24">
              <w:r>
                <w:rPr>
                  <w:b/>
                  <w:color w:val="0000FF"/>
                </w:rPr>
                <w:t xml:space="preserve"> </w:t>
              </w:r>
            </w:hyperlink>
            <w:hyperlink r:id="rId25">
              <w:r>
                <w:rPr>
                  <w:b/>
                  <w:color w:val="0000FF"/>
                  <w:u w:val="single" w:color="0000FF"/>
                </w:rPr>
                <w:t>containment products for adult incon</w:t>
              </w:r>
              <w:r>
                <w:rPr>
                  <w:b/>
                  <w:color w:val="0000FF"/>
                  <w:u w:val="single" w:color="0000FF"/>
                </w:rPr>
                <w:t>tinence.</w:t>
              </w:r>
            </w:hyperlink>
            <w:hyperlink r:id="rId26">
              <w:r>
                <w:rPr>
                  <w:b/>
                  <w:color w:val="0000FF"/>
                </w:rPr>
                <w:t xml:space="preserve"> </w:t>
              </w:r>
            </w:hyperlink>
            <w:hyperlink r:id="rId27">
              <w:r>
                <w:rPr>
                  <w:i/>
                  <w:color w:val="0000FF"/>
                  <w:sz w:val="24"/>
                </w:rPr>
                <w:t xml:space="preserve"> </w:t>
              </w:r>
            </w:hyperlink>
            <w:hyperlink r:id="rId28">
              <w:r>
                <w:rPr>
                  <w:b/>
                </w:rPr>
                <w:t xml:space="preserve"> </w:t>
              </w:r>
            </w:hyperlink>
          </w:p>
        </w:tc>
      </w:tr>
    </w:tbl>
    <w:p w14:paraId="7D1B9B7F" w14:textId="77777777" w:rsidR="00B66C6D" w:rsidRDefault="00B31230">
      <w:pPr>
        <w:tabs>
          <w:tab w:val="center" w:pos="4513"/>
          <w:tab w:val="center" w:pos="9028"/>
        </w:tabs>
        <w:spacing w:after="0"/>
      </w:pPr>
      <w:r>
        <w:rPr>
          <w:rFonts w:ascii="Arial" w:eastAsia="Arial" w:hAnsi="Arial" w:cs="Arial"/>
          <w:color w:val="7F7F7F"/>
          <w:sz w:val="16"/>
        </w:rPr>
        <w:t>2020_November_Continence_Top_Tips</w:t>
      </w:r>
      <w:r>
        <w:rPr>
          <w:rFonts w:ascii="Arial" w:eastAsia="Arial" w:hAnsi="Arial" w:cs="Arial"/>
          <w:color w:val="808080"/>
          <w:sz w:val="16"/>
        </w:rPr>
        <w:t xml:space="preserve"> </w:t>
      </w:r>
      <w:r>
        <w:rPr>
          <w:rFonts w:ascii="Arial" w:eastAsia="Arial" w:hAnsi="Arial" w:cs="Arial"/>
          <w:color w:val="808080"/>
          <w:sz w:val="16"/>
        </w:rPr>
        <w:tab/>
        <w:t xml:space="preserve"> </w:t>
      </w:r>
      <w:r>
        <w:rPr>
          <w:rFonts w:ascii="Arial" w:eastAsia="Arial" w:hAnsi="Arial" w:cs="Arial"/>
          <w:color w:val="808080"/>
          <w:sz w:val="16"/>
        </w:rPr>
        <w:tab/>
        <w:t xml:space="preserve">  </w:t>
      </w:r>
    </w:p>
    <w:sectPr w:rsidR="00B66C6D">
      <w:headerReference w:type="even" r:id="rId29"/>
      <w:headerReference w:type="default" r:id="rId30"/>
      <w:footerReference w:type="even" r:id="rId31"/>
      <w:footerReference w:type="default" r:id="rId32"/>
      <w:headerReference w:type="first" r:id="rId33"/>
      <w:footerReference w:type="first" r:id="rId34"/>
      <w:pgSz w:w="11906" w:h="16838"/>
      <w:pgMar w:top="1351" w:right="1009" w:bottom="804"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CC5D815" w14:textId="77777777" w:rsidR="00B31230" w:rsidRDefault="00B31230" w:rsidP="006642B8">
      <w:pPr>
        <w:spacing w:after="0" w:line="240" w:lineRule="auto"/>
      </w:pPr>
      <w:r>
        <w:separator/>
      </w:r>
    </w:p>
  </w:endnote>
  <w:endnote w:type="continuationSeparator" w:id="0">
    <w:p w14:paraId="2D10455E" w14:textId="77777777" w:rsidR="00B31230" w:rsidRDefault="00B31230" w:rsidP="006642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0B39A9" w14:textId="77777777" w:rsidR="006642B8" w:rsidRDefault="006642B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110EC5" w14:textId="77777777" w:rsidR="006642B8" w:rsidRDefault="006642B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BBBF64" w14:textId="77777777" w:rsidR="006642B8" w:rsidRDefault="006642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68C9A5" w14:textId="77777777" w:rsidR="00B31230" w:rsidRDefault="00B31230" w:rsidP="006642B8">
      <w:pPr>
        <w:spacing w:after="0" w:line="240" w:lineRule="auto"/>
      </w:pPr>
      <w:r>
        <w:separator/>
      </w:r>
    </w:p>
  </w:footnote>
  <w:footnote w:type="continuationSeparator" w:id="0">
    <w:p w14:paraId="6E36D7DA" w14:textId="77777777" w:rsidR="00B31230" w:rsidRDefault="00B31230" w:rsidP="006642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5B4008C" w14:textId="77777777" w:rsidR="006642B8" w:rsidRDefault="006642B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D3D005" w14:textId="6A7C8FA1" w:rsidR="006642B8" w:rsidRPr="006642B8" w:rsidRDefault="006642B8" w:rsidP="006642B8">
    <w:pPr>
      <w:pStyle w:val="Title"/>
      <w:jc w:val="center"/>
      <w:rPr>
        <w:rFonts w:ascii="Arial" w:hAnsi="Arial" w:cs="Arial"/>
        <w:b/>
        <w:bCs/>
        <w:color w:val="0070C0"/>
        <w:sz w:val="40"/>
        <w:szCs w:val="40"/>
      </w:rPr>
    </w:pPr>
    <w:r w:rsidRPr="006642B8">
      <w:rPr>
        <w:rFonts w:ascii="Arial" w:hAnsi="Arial" w:cs="Arial"/>
        <w:b/>
        <w:bCs/>
        <w:color w:val="0070C0"/>
        <w:sz w:val="40"/>
        <w:szCs w:val="40"/>
      </w:rPr>
      <w:t>Continence Issues</w:t>
    </w:r>
  </w:p>
  <w:p w14:paraId="06DFF5A9" w14:textId="77777777" w:rsidR="006642B8" w:rsidRDefault="006642B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96AE75" w14:textId="77777777" w:rsidR="006642B8" w:rsidRDefault="006642B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9B24A2"/>
    <w:multiLevelType w:val="hybridMultilevel"/>
    <w:tmpl w:val="26525B9C"/>
    <w:lvl w:ilvl="0" w:tplc="CA28DF3E">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1C4FBDE">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37DAF326">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65C029E">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C65A1F98">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72A4768C">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46688280">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F2403C0A">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B34CF2AC">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1BC0562F"/>
    <w:multiLevelType w:val="hybridMultilevel"/>
    <w:tmpl w:val="3B883792"/>
    <w:lvl w:ilvl="0" w:tplc="3FF60FE6">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569AD768">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4352F380">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01649630">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2D069D14">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8D66F0E8">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97204904">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4F8569A">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994EF3C">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2" w15:restartNumberingAfterBreak="0">
    <w:nsid w:val="3E197AD7"/>
    <w:multiLevelType w:val="hybridMultilevel"/>
    <w:tmpl w:val="AF7474B4"/>
    <w:lvl w:ilvl="0" w:tplc="A7DE805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BBE86976">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6DF4A482">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A962686">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4ABEE722">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B15A5A90">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D07A89CA">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09ADDC6">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74FEA63E">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 w15:restartNumberingAfterBreak="0">
    <w:nsid w:val="491F6EEB"/>
    <w:multiLevelType w:val="hybridMultilevel"/>
    <w:tmpl w:val="04FE0140"/>
    <w:lvl w:ilvl="0" w:tplc="658C32A4">
      <w:start w:val="1"/>
      <w:numFmt w:val="bullet"/>
      <w:lvlText w:val="•"/>
      <w:lvlJc w:val="left"/>
      <w:pPr>
        <w:ind w:left="3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2542A1A6">
      <w:start w:val="1"/>
      <w:numFmt w:val="bullet"/>
      <w:lvlText w:val="o"/>
      <w:lvlJc w:val="left"/>
      <w:pPr>
        <w:ind w:left="118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6A06246">
      <w:start w:val="1"/>
      <w:numFmt w:val="bullet"/>
      <w:lvlText w:val="▪"/>
      <w:lvlJc w:val="left"/>
      <w:pPr>
        <w:ind w:left="19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85383C18">
      <w:start w:val="1"/>
      <w:numFmt w:val="bullet"/>
      <w:lvlText w:val="•"/>
      <w:lvlJc w:val="left"/>
      <w:pPr>
        <w:ind w:left="262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9CEC400">
      <w:start w:val="1"/>
      <w:numFmt w:val="bullet"/>
      <w:lvlText w:val="o"/>
      <w:lvlJc w:val="left"/>
      <w:pPr>
        <w:ind w:left="334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A8F8BE52">
      <w:start w:val="1"/>
      <w:numFmt w:val="bullet"/>
      <w:lvlText w:val="▪"/>
      <w:lvlJc w:val="left"/>
      <w:pPr>
        <w:ind w:left="406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FFF272EA">
      <w:start w:val="1"/>
      <w:numFmt w:val="bullet"/>
      <w:lvlText w:val="•"/>
      <w:lvlJc w:val="left"/>
      <w:pPr>
        <w:ind w:left="4788"/>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D9A3034">
      <w:start w:val="1"/>
      <w:numFmt w:val="bullet"/>
      <w:lvlText w:val="o"/>
      <w:lvlJc w:val="left"/>
      <w:pPr>
        <w:ind w:left="550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C0A65848">
      <w:start w:val="1"/>
      <w:numFmt w:val="bullet"/>
      <w:lvlText w:val="▪"/>
      <w:lvlJc w:val="left"/>
      <w:pPr>
        <w:ind w:left="6228"/>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bCwMDYxNjE0MjE3MTRU0lEKTi0uzszPAykwrAUAXMswaSwAAAA="/>
  </w:docVars>
  <w:rsids>
    <w:rsidRoot w:val="00B66C6D"/>
    <w:rsid w:val="00521A2F"/>
    <w:rsid w:val="006642B8"/>
    <w:rsid w:val="00B31230"/>
    <w:rsid w:val="00B66C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3AC7B"/>
  <w15:docId w15:val="{B2505EC2-45C4-4886-A54D-C1FCA3287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6642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42B8"/>
    <w:rPr>
      <w:rFonts w:ascii="Calibri" w:eastAsia="Calibri" w:hAnsi="Calibri" w:cs="Calibri"/>
      <w:color w:val="000000"/>
    </w:rPr>
  </w:style>
  <w:style w:type="paragraph" w:styleId="Footer">
    <w:name w:val="footer"/>
    <w:basedOn w:val="Normal"/>
    <w:link w:val="FooterChar"/>
    <w:uiPriority w:val="99"/>
    <w:unhideWhenUsed/>
    <w:rsid w:val="006642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42B8"/>
    <w:rPr>
      <w:rFonts w:ascii="Calibri" w:eastAsia="Calibri" w:hAnsi="Calibri" w:cs="Calibri"/>
      <w:color w:val="000000"/>
    </w:rPr>
  </w:style>
  <w:style w:type="paragraph" w:styleId="Title">
    <w:name w:val="Title"/>
    <w:basedOn w:val="Normal"/>
    <w:next w:val="Normal"/>
    <w:link w:val="TitleChar"/>
    <w:uiPriority w:val="10"/>
    <w:qFormat/>
    <w:rsid w:val="006642B8"/>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6642B8"/>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s://nhsbradfordcravenccg.intradoc247.cloud/practices/practice-information/view-content/6769" TargetMode="External"/><Relationship Id="rId13" Type="http://schemas.openxmlformats.org/officeDocument/2006/relationships/hyperlink" Target="https://www.nhs.uk/live-well/alcohol-support/tips-on-cutting-down-alcohol/" TargetMode="External"/><Relationship Id="rId18" Type="http://schemas.openxmlformats.org/officeDocument/2006/relationships/hyperlink" Target="https://www.nhs.uk/live-well/quit-smoking/10-self-help-tips-to-stop-smoking/" TargetMode="External"/><Relationship Id="rId26" Type="http://schemas.openxmlformats.org/officeDocument/2006/relationships/hyperlink" Target="https://nhsbradfordcravenccg.intradoc247.cloud/practices/practice-information/view-content/6768" TargetMode="External"/><Relationship Id="rId3" Type="http://schemas.openxmlformats.org/officeDocument/2006/relationships/settings" Target="settings.xml"/><Relationship Id="rId21" Type="http://schemas.openxmlformats.org/officeDocument/2006/relationships/hyperlink" Target="https://www.nhs.uk/common-health-questions/womens-health/what-are-pelvic-floor-exercises/" TargetMode="External"/><Relationship Id="rId34" Type="http://schemas.openxmlformats.org/officeDocument/2006/relationships/footer" Target="footer3.xml"/><Relationship Id="rId7" Type="http://schemas.openxmlformats.org/officeDocument/2006/relationships/hyperlink" Target="https://www.bradfordvts.co.uk/wp-content/onlineresources/clinical-knowledge/urology/incontinence%20-%20food%20and%20drinks%20which%20can%20irritate%20the%20bladder.pdf" TargetMode="External"/><Relationship Id="rId12" Type="http://schemas.openxmlformats.org/officeDocument/2006/relationships/hyperlink" Target="https://www.nhs.uk/conditions/urinary-incontinence/10-ways-to-stop-leaks/" TargetMode="External"/><Relationship Id="rId17" Type="http://schemas.openxmlformats.org/officeDocument/2006/relationships/hyperlink" Target="https://www.nhs.uk/live-well/quit-smoking/10-self-help-tips-to-stop-smoking/" TargetMode="External"/><Relationship Id="rId25" Type="http://schemas.openxmlformats.org/officeDocument/2006/relationships/hyperlink" Target="https://nhsbradfordcravenccg.intradoc247.cloud/practices/practice-information/view-content/6768" TargetMode="External"/><Relationship Id="rId33"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s://www.nhs.uk/live-well/healthy-weight/start-the-nhs-weight-loss-plan/" TargetMode="External"/><Relationship Id="rId20" Type="http://schemas.openxmlformats.org/officeDocument/2006/relationships/hyperlink" Target="https://www.nhs.uk/common-health-questions/womens-health/what-are-pelvic-floor-exercises/"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nhs.uk/conditions/urinary-incontinence/10-ways-to-stop-leaks/" TargetMode="External"/><Relationship Id="rId24" Type="http://schemas.openxmlformats.org/officeDocument/2006/relationships/hyperlink" Target="https://nhsbradfordcravenccg.intradoc247.cloud/practices/practice-information/view-content/6768" TargetMode="External"/><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s://www.nhs.uk/live-well/healthy-weight/start-the-nhs-weight-loss-plan/" TargetMode="External"/><Relationship Id="rId23" Type="http://schemas.openxmlformats.org/officeDocument/2006/relationships/hyperlink" Target="https://nhsbradfordcravenccg.intradoc247.cloud/practices/practice-information/view-content/6768" TargetMode="External"/><Relationship Id="rId28" Type="http://schemas.openxmlformats.org/officeDocument/2006/relationships/hyperlink" Target="https://nhsbradfordcravenccg.intradoc247.cloud/practices/practice-information/view-content/6768" TargetMode="External"/><Relationship Id="rId36" Type="http://schemas.openxmlformats.org/officeDocument/2006/relationships/theme" Target="theme/theme1.xml"/><Relationship Id="rId10" Type="http://schemas.openxmlformats.org/officeDocument/2006/relationships/hyperlink" Target="https://www.nhs.uk/live-well/eat-well/" TargetMode="External"/><Relationship Id="rId19" Type="http://schemas.openxmlformats.org/officeDocument/2006/relationships/hyperlink" Target="https://www.nhs.uk/common-health-questions/womens-health/what-are-pelvic-floor-exercises/"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nhs.uk/live-well/eat-well/" TargetMode="External"/><Relationship Id="rId14" Type="http://schemas.openxmlformats.org/officeDocument/2006/relationships/hyperlink" Target="https://www.nhs.uk/live-well/alcohol-support/tips-on-cutting-down-alcohol/" TargetMode="External"/><Relationship Id="rId22" Type="http://schemas.openxmlformats.org/officeDocument/2006/relationships/hyperlink" Target="https://nhsbradfordcravenccg.intradoc247.cloud/practices/practice-information/view-content/6768" TargetMode="External"/><Relationship Id="rId27" Type="http://schemas.openxmlformats.org/officeDocument/2006/relationships/hyperlink" Target="https://nhsbradfordcravenccg.intradoc247.cloud/practices/practice-information/view-content/6768" TargetMode="External"/><Relationship Id="rId30" Type="http://schemas.openxmlformats.org/officeDocument/2006/relationships/header" Target="header2.xm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905</Words>
  <Characters>5165</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SmartC</dc:creator>
  <cp:keywords/>
  <cp:lastModifiedBy>Ramesh Mehay</cp:lastModifiedBy>
  <cp:revision>2</cp:revision>
  <dcterms:created xsi:type="dcterms:W3CDTF">2020-11-03T13:34:00Z</dcterms:created>
  <dcterms:modified xsi:type="dcterms:W3CDTF">2020-11-03T13:34:00Z</dcterms:modified>
</cp:coreProperties>
</file>