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8EF40B9" w14:textId="3FC6EDB9" w:rsidR="00834D9F" w:rsidRPr="00834D9F" w:rsidRDefault="00834D9F" w:rsidP="00834D9F">
      <w:pPr>
        <w:pStyle w:val="Heading4"/>
        <w:jc w:val="center"/>
        <w:rPr>
          <w:sz w:val="36"/>
          <w:szCs w:val="36"/>
        </w:rPr>
      </w:pPr>
      <w:bookmarkStart w:id="0" w:name="_GoBack"/>
      <w:r>
        <w:rPr>
          <w:sz w:val="36"/>
          <w:szCs w:val="36"/>
        </w:rPr>
        <w:t>5</w:t>
      </w:r>
      <w:r w:rsidRPr="00834D9F">
        <w:rPr>
          <w:sz w:val="36"/>
          <w:szCs w:val="36"/>
        </w:rPr>
        <w:t xml:space="preserve"> steps for managing uncertainty </w:t>
      </w:r>
      <w:r>
        <w:rPr>
          <w:sz w:val="36"/>
          <w:szCs w:val="36"/>
        </w:rPr>
        <w:t>&amp;</w:t>
      </w:r>
      <w:r w:rsidRPr="00834D9F">
        <w:rPr>
          <w:sz w:val="36"/>
          <w:szCs w:val="36"/>
        </w:rPr>
        <w:t xml:space="preserve"> diagnostic error</w:t>
      </w:r>
    </w:p>
    <w:bookmarkEnd w:id="0"/>
    <w:p w14:paraId="22D17AE4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outlineLvl w:val="3"/>
        <w:rPr>
          <w:rFonts w:ascii="FranklinGothicURW-Boo" w:eastAsia="Times New Roman" w:hAnsi="FranklinGothicURW-Boo" w:cs="Times New Roman"/>
          <w:b/>
          <w:bCs/>
          <w:color w:val="0070C0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b/>
          <w:bCs/>
          <w:color w:val="0070C0"/>
          <w:sz w:val="24"/>
          <w:szCs w:val="24"/>
          <w:lang w:eastAsia="en-GB"/>
        </w:rPr>
        <w:t>1. Understand it</w:t>
      </w:r>
    </w:p>
    <w:p w14:paraId="596435C6" w14:textId="51948495" w:rsid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We all make mistakes - to err is human! Even conservative estimates of diagnostic error rates in published literature suggest around a 20% misdiagnosis rate. We will therefore all make diagnostic errors, </w:t>
      </w:r>
      <w:proofErr w:type="gram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irrespective  of</w:t>
      </w:r>
      <w:proofErr w:type="gram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 expertise, because of our innate and evolutionarily ancient tendency to rely on heuristic-based thinking. Heuristics are cognitive shortcuts our brains intuitively, automatically use to solve particular problems; they are quick and </w:t>
      </w:r>
      <w:proofErr w:type="gram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reflexive, and</w:t>
      </w:r>
      <w:proofErr w:type="gram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 used to generate an approximate answer to a reasoning question, but are prone to error, often introducing or relying upon bias and prejudice. Decision making ability is particularly impaired when tired, unwell or over-worked - familiar circumstances!</w:t>
      </w:r>
    </w:p>
    <w:p w14:paraId="49AF1CA6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</w:p>
    <w:p w14:paraId="746FC890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outlineLvl w:val="3"/>
        <w:rPr>
          <w:rFonts w:ascii="FranklinGothicURW-Boo" w:eastAsia="Times New Roman" w:hAnsi="FranklinGothicURW-Boo" w:cs="Times New Roman"/>
          <w:b/>
          <w:bCs/>
          <w:color w:val="0070C0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b/>
          <w:bCs/>
          <w:color w:val="0070C0"/>
          <w:sz w:val="24"/>
          <w:szCs w:val="24"/>
          <w:lang w:eastAsia="en-GB"/>
        </w:rPr>
        <w:t>2. Accept it</w:t>
      </w:r>
    </w:p>
    <w:p w14:paraId="7F6E4222" w14:textId="5DEAE1F2" w:rsid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The Physician's Reaction to Uncertainty (PRU) scale shows that urologists and orthopaedic surgeons typically encounter the least uncertainty, and general physicians, GPs and psychiatrists the most - perhaps no surprises there! Higher scores are also found in younger physicians. Uncertainty as a recently appointed consultant physician is therefore inevitable.</w:t>
      </w:r>
    </w:p>
    <w:p w14:paraId="16EAF25C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</w:p>
    <w:p w14:paraId="43EBFC13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outlineLvl w:val="3"/>
        <w:rPr>
          <w:rFonts w:ascii="FranklinGothicURW-Boo" w:eastAsia="Times New Roman" w:hAnsi="FranklinGothicURW-Boo" w:cs="Times New Roman"/>
          <w:b/>
          <w:bCs/>
          <w:color w:val="0070C0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b/>
          <w:bCs/>
          <w:color w:val="0070C0"/>
          <w:sz w:val="24"/>
          <w:szCs w:val="24"/>
          <w:lang w:eastAsia="en-GB"/>
        </w:rPr>
        <w:t>3. Share it</w:t>
      </w:r>
    </w:p>
    <w:p w14:paraId="4F324A21" w14:textId="4E60670C" w:rsid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Your colleagues all share the same insecurities about uncertainty/diagnostic </w:t>
      </w:r>
      <w:proofErr w:type="gram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error, and</w:t>
      </w:r>
      <w:proofErr w:type="gram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 are there to help you! There </w:t>
      </w:r>
      <w:proofErr w:type="gram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are</w:t>
      </w:r>
      <w:proofErr w:type="gram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 also a wealth of resources available to support decision making, usually available to your Board/Trust for free, e.g. via the Knowledge Network (Scotland), including UpToDate, </w:t>
      </w:r>
      <w:proofErr w:type="spell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Toxbase</w:t>
      </w:r>
      <w:proofErr w:type="spell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, SIGN/NICE guidelines etc.</w:t>
      </w:r>
    </w:p>
    <w:p w14:paraId="635E16F7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</w:p>
    <w:p w14:paraId="5752BD09" w14:textId="2BA3F93E" w:rsid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Learning from our own and others’ mistakes is hard but useful - e.g. shared as an organisation/department via </w:t>
      </w:r>
      <w:proofErr w:type="spell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Datix</w:t>
      </w:r>
      <w:proofErr w:type="spell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 or M&amp;M meetings. Involving trainees in these during early stages of training will help embed this as normal practice and hopefully make these less intimidating for generations to come.</w:t>
      </w:r>
    </w:p>
    <w:p w14:paraId="4C9D8E7F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</w:p>
    <w:p w14:paraId="1C2AF570" w14:textId="53708935" w:rsid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Patients will generally accept uncertainty if it is skilfully handled. For example, there is good evidence that patients prefer </w:t>
      </w:r>
      <w:r w:rsidRPr="00834D9F">
        <w:rPr>
          <w:rFonts w:ascii="FranklinGothicURW-Boo" w:eastAsia="Times New Roman" w:hAnsi="FranklinGothicURW-Boo" w:cs="Times New Roman"/>
          <w:i/>
          <w:iCs/>
          <w:color w:val="63666A"/>
          <w:sz w:val="24"/>
          <w:szCs w:val="24"/>
          <w:lang w:eastAsia="en-GB"/>
        </w:rPr>
        <w:t>behavioural</w:t>
      </w: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 expressions of uncertainty (looking something up; calling a specialty colleague) to </w:t>
      </w:r>
      <w:r w:rsidRPr="00834D9F">
        <w:rPr>
          <w:rFonts w:ascii="FranklinGothicURW-Boo" w:eastAsia="Times New Roman" w:hAnsi="FranklinGothicURW-Boo" w:cs="Times New Roman"/>
          <w:i/>
          <w:iCs/>
          <w:color w:val="63666A"/>
          <w:sz w:val="24"/>
          <w:szCs w:val="24"/>
          <w:lang w:eastAsia="en-GB"/>
        </w:rPr>
        <w:t>verbal</w:t>
      </w: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 expressions of uncertainty ('I don't know', 'we'll have to see'). A widely shared format for handling medical uncertainty is included in section 4 below.</w:t>
      </w:r>
    </w:p>
    <w:p w14:paraId="1F4CA5C0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</w:p>
    <w:p w14:paraId="37168422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outlineLvl w:val="3"/>
        <w:rPr>
          <w:rFonts w:ascii="FranklinGothicURW-Boo" w:eastAsia="Times New Roman" w:hAnsi="FranklinGothicURW-Boo" w:cs="Times New Roman"/>
          <w:b/>
          <w:bCs/>
          <w:color w:val="0070C0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b/>
          <w:bCs/>
          <w:color w:val="0070C0"/>
          <w:sz w:val="24"/>
          <w:szCs w:val="24"/>
          <w:lang w:eastAsia="en-GB"/>
        </w:rPr>
        <w:t>4. Safety net it</w:t>
      </w:r>
    </w:p>
    <w:p w14:paraId="75D7D9E6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One recognised strategy for handling medical uncertainty and complexity is as follows:</w:t>
      </w:r>
    </w:p>
    <w:p w14:paraId="74CF4CAE" w14:textId="77777777" w:rsidR="00834D9F" w:rsidRPr="00834D9F" w:rsidRDefault="00834D9F" w:rsidP="00834D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Definite the context of the diagnosis and explain the patient's symptoms and signs as part of the expected spectrum of the disease;</w:t>
      </w:r>
    </w:p>
    <w:p w14:paraId="4FBDA06D" w14:textId="77777777" w:rsidR="00834D9F" w:rsidRPr="00834D9F" w:rsidRDefault="00834D9F" w:rsidP="00834D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Eliminate alternative diagnoses by dealing with patient fears, giving reasons in the context of the patient's belief system;</w:t>
      </w:r>
    </w:p>
    <w:p w14:paraId="38C0611F" w14:textId="77777777" w:rsidR="00834D9F" w:rsidRPr="00834D9F" w:rsidRDefault="00834D9F" w:rsidP="00834D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Describe the prognosis in terms of the likely course of the disease and expectations of treatment;</w:t>
      </w:r>
    </w:p>
    <w:p w14:paraId="475AAED7" w14:textId="77777777" w:rsidR="00834D9F" w:rsidRPr="00834D9F" w:rsidRDefault="00834D9F" w:rsidP="00834D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Negotiate key problems or issues that are important to both patient and physician;</w:t>
      </w:r>
    </w:p>
    <w:p w14:paraId="7CF23A01" w14:textId="77777777" w:rsidR="00834D9F" w:rsidRPr="00834D9F" w:rsidRDefault="00834D9F" w:rsidP="00834D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lastRenderedPageBreak/>
        <w:t xml:space="preserve">Negotiate the plan and ensure the patient understands, and is willing and able to comply, given their </w:t>
      </w:r>
      <w:proofErr w:type="gram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particular context</w:t>
      </w:r>
      <w:proofErr w:type="gram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;</w:t>
      </w:r>
    </w:p>
    <w:p w14:paraId="73A838A3" w14:textId="77777777" w:rsidR="00834D9F" w:rsidRPr="00834D9F" w:rsidRDefault="00834D9F" w:rsidP="00834D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Keep diagnostic options open by making provisional diagnoses while keeping alternatives in mind;</w:t>
      </w:r>
    </w:p>
    <w:p w14:paraId="1791C439" w14:textId="77777777" w:rsidR="00834D9F" w:rsidRPr="00834D9F" w:rsidRDefault="00834D9F" w:rsidP="00834D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Remain circumspect and take action to minimise the possibility of missing other critical diagnoses;</w:t>
      </w:r>
    </w:p>
    <w:p w14:paraId="4E216DB0" w14:textId="77777777" w:rsidR="00834D9F" w:rsidRPr="00834D9F" w:rsidRDefault="00834D9F" w:rsidP="00834D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Play for time if </w:t>
      </w:r>
      <w:proofErr w:type="gram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necessary</w:t>
      </w:r>
      <w:proofErr w:type="gram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 by allowing signs and symptoms to develop to help clarify the diagnosis;</w:t>
      </w:r>
    </w:p>
    <w:p w14:paraId="7379CE81" w14:textId="77777777" w:rsidR="00834D9F" w:rsidRPr="00834D9F" w:rsidRDefault="00834D9F" w:rsidP="00834D9F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Plan for contingencies by providing appropriate if/then statements concerning situations requiring further action.</w:t>
      </w:r>
    </w:p>
    <w:p w14:paraId="22F41557" w14:textId="5A7F7504" w:rsid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We are also surrounded by a wealth of validated tools, bundles and checklists to support this process.</w:t>
      </w:r>
    </w:p>
    <w:p w14:paraId="66B8F21E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</w:p>
    <w:p w14:paraId="08E3626E" w14:textId="602D56AB" w:rsid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Diagnostic support apps, such as Isabel and </w:t>
      </w:r>
      <w:proofErr w:type="spell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Dxplain</w:t>
      </w:r>
      <w:proofErr w:type="spell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, are more commonly used in the USA, but are likely to become more commonplace as digital solutions are integrated and accepted in the UK.</w:t>
      </w:r>
    </w:p>
    <w:p w14:paraId="4662BBEE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</w:p>
    <w:p w14:paraId="1643D5CD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outlineLvl w:val="3"/>
        <w:rPr>
          <w:rFonts w:ascii="FranklinGothicURW-Boo" w:eastAsia="Times New Roman" w:hAnsi="FranklinGothicURW-Boo" w:cs="Times New Roman"/>
          <w:b/>
          <w:bCs/>
          <w:color w:val="0070C0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b/>
          <w:bCs/>
          <w:color w:val="0070C0"/>
          <w:sz w:val="24"/>
          <w:szCs w:val="24"/>
          <w:lang w:eastAsia="en-GB"/>
        </w:rPr>
        <w:t>5. Teach it!</w:t>
      </w:r>
    </w:p>
    <w:p w14:paraId="436DEA05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This is part of the unwritten curriculum that we can help embed in undergraduate teaching and postgraduate training. Consider including aspects of the following:</w:t>
      </w:r>
    </w:p>
    <w:p w14:paraId="6AB7A5C5" w14:textId="77777777" w:rsidR="00834D9F" w:rsidRPr="00834D9F" w:rsidRDefault="00834D9F" w:rsidP="00834D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Learning about common heuristics and cognitive bias.</w:t>
      </w:r>
    </w:p>
    <w:p w14:paraId="225F5C3F" w14:textId="77777777" w:rsidR="00834D9F" w:rsidRPr="00834D9F" w:rsidRDefault="00834D9F" w:rsidP="00834D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Encouragement of systematic critical thinking.</w:t>
      </w:r>
    </w:p>
    <w:p w14:paraId="3F62A305" w14:textId="77777777" w:rsidR="00834D9F" w:rsidRPr="00834D9F" w:rsidRDefault="00834D9F" w:rsidP="00834D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Embracing </w:t>
      </w:r>
      <w:proofErr w:type="gram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zebras !</w:t>
      </w:r>
      <w:proofErr w:type="gram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 'Zebra' is common medical slang for arriving at an esoteric or exotic diagnosis where a more commonplace explanation is significantly more likely, as in 'if you hear hoof beats outside, think horse, not zebra'.</w:t>
      </w:r>
    </w:p>
    <w:p w14:paraId="4614D141" w14:textId="77777777" w:rsidR="00834D9F" w:rsidRPr="00834D9F" w:rsidRDefault="00834D9F" w:rsidP="00834D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Admitting one's own mistakes and lead by example, e.g. submit a </w:t>
      </w:r>
      <w:proofErr w:type="spell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Datix</w:t>
      </w:r>
      <w:proofErr w:type="spell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 report with your trainee; invite them to co-present at an M&amp;M meeting.</w:t>
      </w:r>
    </w:p>
    <w:p w14:paraId="27AC8DAC" w14:textId="77777777" w:rsidR="00834D9F" w:rsidRPr="00834D9F" w:rsidRDefault="00834D9F" w:rsidP="00834D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Encouraging trainees to seek advice more readily (a key recommendation in consecutive NCEPOD reports).</w:t>
      </w:r>
    </w:p>
    <w:p w14:paraId="21C3B7E8" w14:textId="77777777" w:rsidR="00834D9F" w:rsidRPr="00834D9F" w:rsidRDefault="00834D9F" w:rsidP="00834D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Empowering trainees not to be afraid of 'covering your bases</w:t>
      </w:r>
      <w:proofErr w:type="gram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', and</w:t>
      </w:r>
      <w:proofErr w:type="gram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 promote 'worst case scenario medicine'.</w:t>
      </w:r>
    </w:p>
    <w:p w14:paraId="6C731080" w14:textId="77777777" w:rsidR="00834D9F" w:rsidRPr="00834D9F" w:rsidRDefault="00834D9F" w:rsidP="00834D9F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312" w:lineRule="atLeast"/>
        <w:jc w:val="both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Seeking evidence for things that fit AND things that </w:t>
      </w:r>
      <w:proofErr w:type="gramStart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don't, and</w:t>
      </w:r>
      <w:proofErr w:type="gramEnd"/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 xml:space="preserve"> have a shortlist of things to exclude (for an acute physician, sepsis and pulmonary embolism are always on that list, for example!)</w:t>
      </w:r>
    </w:p>
    <w:p w14:paraId="154CFACF" w14:textId="77777777" w:rsidR="00834D9F" w:rsidRPr="00834D9F" w:rsidRDefault="00834D9F" w:rsidP="00834D9F">
      <w:pPr>
        <w:shd w:val="clear" w:color="auto" w:fill="FFFFFF"/>
        <w:spacing w:after="0" w:line="240" w:lineRule="auto"/>
        <w:jc w:val="both"/>
        <w:outlineLvl w:val="3"/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4"/>
          <w:szCs w:val="24"/>
          <w:lang w:eastAsia="en-GB"/>
        </w:rPr>
        <w:t>References</w:t>
      </w:r>
    </w:p>
    <w:p w14:paraId="453E97DD" w14:textId="77777777" w:rsidR="00834D9F" w:rsidRPr="00834D9F" w:rsidRDefault="00834D9F" w:rsidP="00834D9F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  <w:t>Hewson MG </w:t>
      </w:r>
      <w:r w:rsidRPr="00834D9F">
        <w:rPr>
          <w:rFonts w:ascii="FranklinGothicURW-Boo" w:eastAsia="Times New Roman" w:hAnsi="FranklinGothicURW-Boo" w:cs="Times New Roman"/>
          <w:i/>
          <w:iCs/>
          <w:color w:val="63666A"/>
          <w:sz w:val="20"/>
          <w:szCs w:val="20"/>
          <w:lang w:eastAsia="en-GB"/>
        </w:rPr>
        <w:t>et al</w:t>
      </w:r>
      <w:r w:rsidRPr="00834D9F"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  <w:t>. </w:t>
      </w:r>
      <w:hyperlink r:id="rId7" w:tgtFrame="_blank" w:history="1">
        <w:r w:rsidRPr="00834D9F">
          <w:rPr>
            <w:rFonts w:ascii="FranklinGothicURW-Boo" w:eastAsia="Times New Roman" w:hAnsi="FranklinGothicURW-Boo" w:cs="Times New Roman"/>
            <w:color w:val="0000FF"/>
            <w:sz w:val="20"/>
            <w:szCs w:val="20"/>
            <w:u w:val="single"/>
            <w:lang w:eastAsia="en-GB"/>
          </w:rPr>
          <w:t>Strategies for managing uncertainty and complexity</w:t>
        </w:r>
        <w:r w:rsidRPr="00834D9F">
          <w:rPr>
            <w:rFonts w:ascii="FranklinGothicURW-Boo" w:eastAsia="Times New Roman" w:hAnsi="FranklinGothicURW-Boo" w:cs="Times New Roman"/>
            <w:color w:val="0000FF"/>
            <w:sz w:val="20"/>
            <w:szCs w:val="20"/>
            <w:lang w:eastAsia="en-GB"/>
          </w:rPr>
          <w:t>(link is external)</w:t>
        </w:r>
      </w:hyperlink>
      <w:r w:rsidRPr="00834D9F"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  <w:t>. </w:t>
      </w:r>
      <w:r w:rsidRPr="00834D9F">
        <w:rPr>
          <w:rFonts w:ascii="FranklinGothicURW-Boo" w:eastAsia="Times New Roman" w:hAnsi="FranklinGothicURW-Boo" w:cs="Times New Roman"/>
          <w:i/>
          <w:iCs/>
          <w:color w:val="63666A"/>
          <w:sz w:val="20"/>
          <w:szCs w:val="20"/>
          <w:lang w:eastAsia="en-GB"/>
        </w:rPr>
        <w:t>J Gen Intern Med</w:t>
      </w:r>
      <w:r w:rsidRPr="00834D9F"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  <w:t>. 1996;11(8):481-5. </w:t>
      </w:r>
    </w:p>
    <w:p w14:paraId="0D54C9C3" w14:textId="77777777" w:rsidR="00834D9F" w:rsidRPr="00834D9F" w:rsidRDefault="00834D9F" w:rsidP="00834D9F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</w:pPr>
      <w:r w:rsidRPr="00834D9F"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  <w:t>Trowbridge RL. </w:t>
      </w:r>
      <w:hyperlink r:id="rId8" w:tgtFrame="_blank" w:history="1">
        <w:r w:rsidRPr="00834D9F">
          <w:rPr>
            <w:rFonts w:ascii="FranklinGothicURW-Boo" w:eastAsia="Times New Roman" w:hAnsi="FranklinGothicURW-Boo" w:cs="Times New Roman"/>
            <w:color w:val="0000FF"/>
            <w:sz w:val="20"/>
            <w:szCs w:val="20"/>
            <w:u w:val="single"/>
            <w:lang w:eastAsia="en-GB"/>
          </w:rPr>
          <w:t xml:space="preserve">Twelve tips for teaching avoidance of diagnostic </w:t>
        </w:r>
        <w:proofErr w:type="gramStart"/>
        <w:r w:rsidRPr="00834D9F">
          <w:rPr>
            <w:rFonts w:ascii="FranklinGothicURW-Boo" w:eastAsia="Times New Roman" w:hAnsi="FranklinGothicURW-Boo" w:cs="Times New Roman"/>
            <w:color w:val="0000FF"/>
            <w:sz w:val="20"/>
            <w:szCs w:val="20"/>
            <w:u w:val="single"/>
            <w:lang w:eastAsia="en-GB"/>
          </w:rPr>
          <w:t>errors</w:t>
        </w:r>
        <w:r w:rsidRPr="00834D9F">
          <w:rPr>
            <w:rFonts w:ascii="FranklinGothicURW-Boo" w:eastAsia="Times New Roman" w:hAnsi="FranklinGothicURW-Boo" w:cs="Times New Roman"/>
            <w:color w:val="0000FF"/>
            <w:sz w:val="20"/>
            <w:szCs w:val="20"/>
            <w:lang w:eastAsia="en-GB"/>
          </w:rPr>
          <w:t>(</w:t>
        </w:r>
        <w:proofErr w:type="gramEnd"/>
        <w:r w:rsidRPr="00834D9F">
          <w:rPr>
            <w:rFonts w:ascii="FranklinGothicURW-Boo" w:eastAsia="Times New Roman" w:hAnsi="FranklinGothicURW-Boo" w:cs="Times New Roman"/>
            <w:color w:val="0000FF"/>
            <w:sz w:val="20"/>
            <w:szCs w:val="20"/>
            <w:lang w:eastAsia="en-GB"/>
          </w:rPr>
          <w:t>link is external)</w:t>
        </w:r>
      </w:hyperlink>
      <w:r w:rsidRPr="00834D9F"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  <w:t xml:space="preserve">. Medical </w:t>
      </w:r>
      <w:proofErr w:type="gramStart"/>
      <w:r w:rsidRPr="00834D9F"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  <w:t>Teacher  2008</w:t>
      </w:r>
      <w:proofErr w:type="gramEnd"/>
      <w:r w:rsidRPr="00834D9F"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  <w:t>;30:496-500.</w:t>
      </w:r>
    </w:p>
    <w:p w14:paraId="08CCF477" w14:textId="77777777" w:rsidR="00834D9F" w:rsidRPr="00834D9F" w:rsidRDefault="00834D9F" w:rsidP="00834D9F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jc w:val="both"/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</w:pPr>
      <w:r w:rsidRPr="00834D9F">
        <w:rPr>
          <w:rFonts w:ascii="FranklinGothicURW-Boo" w:eastAsia="Times New Roman" w:hAnsi="FranklinGothicURW-Boo" w:cs="Times New Roman"/>
          <w:b/>
          <w:bCs/>
          <w:color w:val="63666A"/>
          <w:sz w:val="20"/>
          <w:szCs w:val="20"/>
          <w:lang w:eastAsia="en-GB"/>
        </w:rPr>
        <w:t>Speaker</w:t>
      </w:r>
      <w:r w:rsidRPr="00834D9F">
        <w:rPr>
          <w:rFonts w:ascii="FranklinGothicURW-Boo" w:eastAsia="Times New Roman" w:hAnsi="FranklinGothicURW-Boo" w:cs="Times New Roman"/>
          <w:color w:val="63666A"/>
          <w:sz w:val="20"/>
          <w:szCs w:val="20"/>
          <w:lang w:eastAsia="en-GB"/>
        </w:rPr>
        <w:t>: Dr Kerri Baker, Consultant in Acute Medicine, Department of Acute Medicine, Victoria Hospital, Kirkcaldy, Fife</w:t>
      </w:r>
    </w:p>
    <w:p w14:paraId="39CB3CAB" w14:textId="77777777" w:rsidR="0088515B" w:rsidRDefault="0088515B" w:rsidP="00834D9F">
      <w:pPr>
        <w:jc w:val="both"/>
      </w:pPr>
    </w:p>
    <w:sectPr w:rsidR="0088515B"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A9D685" w14:textId="77777777" w:rsidR="007A76CE" w:rsidRDefault="007A76CE" w:rsidP="00834D9F">
      <w:pPr>
        <w:spacing w:after="0" w:line="240" w:lineRule="auto"/>
      </w:pPr>
      <w:r>
        <w:separator/>
      </w:r>
    </w:p>
  </w:endnote>
  <w:endnote w:type="continuationSeparator" w:id="0">
    <w:p w14:paraId="6FE5BF7E" w14:textId="77777777" w:rsidR="007A76CE" w:rsidRDefault="007A76CE" w:rsidP="00834D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GothicURW-Bo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DEA19F3" w14:textId="5D9519BF" w:rsidR="00834D9F" w:rsidRPr="00834D9F" w:rsidRDefault="00834D9F" w:rsidP="00834D9F">
    <w:pPr>
      <w:shd w:val="clear" w:color="auto" w:fill="FFFFFF"/>
      <w:spacing w:after="0" w:line="240" w:lineRule="auto"/>
      <w:jc w:val="both"/>
      <w:rPr>
        <w:rFonts w:asciiTheme="majorHAnsi" w:eastAsia="Times New Roman" w:hAnsiTheme="majorHAnsi" w:cstheme="majorHAnsi"/>
        <w:color w:val="63666A"/>
        <w:sz w:val="16"/>
        <w:szCs w:val="16"/>
        <w:lang w:eastAsia="en-GB"/>
      </w:rPr>
    </w:pPr>
    <w:r w:rsidRPr="00834D9F">
      <w:rPr>
        <w:rFonts w:asciiTheme="majorHAnsi" w:eastAsia="Times New Roman" w:hAnsiTheme="majorHAnsi" w:cstheme="majorHAnsi"/>
        <w:color w:val="63666A"/>
        <w:sz w:val="16"/>
        <w:szCs w:val="16"/>
        <w:lang w:eastAsia="en-GB"/>
      </w:rPr>
      <w:t xml:space="preserve">Source of document: </w:t>
    </w:r>
  </w:p>
  <w:p w14:paraId="7911AA53" w14:textId="3C09A800" w:rsidR="00834D9F" w:rsidRPr="00834D9F" w:rsidRDefault="00834D9F" w:rsidP="00834D9F">
    <w:pPr>
      <w:shd w:val="clear" w:color="auto" w:fill="FFFFFF"/>
      <w:spacing w:after="0" w:line="240" w:lineRule="auto"/>
      <w:jc w:val="both"/>
      <w:rPr>
        <w:rFonts w:asciiTheme="majorHAnsi" w:hAnsiTheme="majorHAnsi" w:cstheme="majorHAnsi"/>
        <w:sz w:val="16"/>
        <w:szCs w:val="16"/>
      </w:rPr>
    </w:pPr>
    <w:hyperlink r:id="rId1" w:history="1">
      <w:r w:rsidRPr="00834D9F">
        <w:rPr>
          <w:rStyle w:val="Hyperlink"/>
          <w:rFonts w:asciiTheme="majorHAnsi" w:hAnsiTheme="majorHAnsi" w:cstheme="majorHAnsi"/>
          <w:sz w:val="16"/>
          <w:szCs w:val="16"/>
        </w:rPr>
        <w:t>https://www.rcpe.ac.uk/careers-training/managing-uncertainty-and-diagnostic-error</w:t>
      </w:r>
    </w:hyperlink>
  </w:p>
  <w:p w14:paraId="061257D0" w14:textId="77777777" w:rsidR="00834D9F" w:rsidRDefault="00834D9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4AE597" w14:textId="77777777" w:rsidR="007A76CE" w:rsidRDefault="007A76CE" w:rsidP="00834D9F">
      <w:pPr>
        <w:spacing w:after="0" w:line="240" w:lineRule="auto"/>
      </w:pPr>
      <w:r>
        <w:separator/>
      </w:r>
    </w:p>
  </w:footnote>
  <w:footnote w:type="continuationSeparator" w:id="0">
    <w:p w14:paraId="001278E7" w14:textId="77777777" w:rsidR="007A76CE" w:rsidRDefault="007A76CE" w:rsidP="00834D9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9A38A2"/>
    <w:multiLevelType w:val="multilevel"/>
    <w:tmpl w:val="AD3C5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4CF5E44"/>
    <w:multiLevelType w:val="hybridMultilevel"/>
    <w:tmpl w:val="58C26F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CF2F99"/>
    <w:multiLevelType w:val="multilevel"/>
    <w:tmpl w:val="6268C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D9F"/>
    <w:rsid w:val="007A76CE"/>
    <w:rsid w:val="00834D9F"/>
    <w:rsid w:val="0088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555921"/>
  <w15:chartTrackingRefBased/>
  <w15:docId w15:val="{3110707B-C6A3-4094-B594-FF216B10E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834D9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834D9F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834D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834D9F"/>
    <w:rPr>
      <w:i/>
      <w:iCs/>
    </w:rPr>
  </w:style>
  <w:style w:type="character" w:styleId="Hyperlink">
    <w:name w:val="Hyperlink"/>
    <w:basedOn w:val="DefaultParagraphFont"/>
    <w:uiPriority w:val="99"/>
    <w:unhideWhenUsed/>
    <w:rsid w:val="00834D9F"/>
    <w:rPr>
      <w:color w:val="0000FF"/>
      <w:u w:val="single"/>
    </w:rPr>
  </w:style>
  <w:style w:type="character" w:customStyle="1" w:styleId="element-invisible">
    <w:name w:val="element-invisible"/>
    <w:basedOn w:val="DefaultParagraphFont"/>
    <w:rsid w:val="00834D9F"/>
  </w:style>
  <w:style w:type="character" w:styleId="Strong">
    <w:name w:val="Strong"/>
    <w:basedOn w:val="DefaultParagraphFont"/>
    <w:uiPriority w:val="22"/>
    <w:qFormat/>
    <w:rsid w:val="00834D9F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834D9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34D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4D9F"/>
  </w:style>
  <w:style w:type="paragraph" w:styleId="Footer">
    <w:name w:val="footer"/>
    <w:basedOn w:val="Normal"/>
    <w:link w:val="FooterChar"/>
    <w:uiPriority w:val="99"/>
    <w:unhideWhenUsed/>
    <w:rsid w:val="00834D9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4D9F"/>
  </w:style>
  <w:style w:type="paragraph" w:styleId="ListParagraph">
    <w:name w:val="List Paragraph"/>
    <w:basedOn w:val="Normal"/>
    <w:uiPriority w:val="34"/>
    <w:qFormat/>
    <w:rsid w:val="00834D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636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79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pubmed/18576188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ncbi.nlm.nih.gov/pubmed/887278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rcpe.ac.uk/careers-training/managing-uncertainty-and-diagnostic-erro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767</Words>
  <Characters>4377</Characters>
  <Application>Microsoft Office Word</Application>
  <DocSecurity>0</DocSecurity>
  <Lines>36</Lines>
  <Paragraphs>10</Paragraphs>
  <ScaleCrop>false</ScaleCrop>
  <Company/>
  <LinksUpToDate>false</LinksUpToDate>
  <CharactersWithSpaces>5134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1</cp:revision>
  <dcterms:created xsi:type="dcterms:W3CDTF">2020-01-21T18:08:00Z</dcterms:created>
  <dcterms:modified xsi:type="dcterms:W3CDTF">2020-01-21T18:12:00Z</dcterms:modified>
</cp:coreProperties>
</file>