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F0A445" w14:textId="77777777" w:rsidR="009D2AE0" w:rsidRDefault="009D2AE0" w:rsidP="009D2AE0">
      <w:pPr>
        <w:pStyle w:val="NormalWeb"/>
        <w:shd w:val="clear" w:color="auto" w:fill="FFFFFF"/>
        <w:spacing w:before="0" w:beforeAutospacing="0" w:after="240" w:afterAutospacing="0"/>
        <w:jc w:val="both"/>
        <w:rPr>
          <w:rFonts w:ascii="Arial" w:hAnsi="Arial" w:cs="Arial"/>
          <w:color w:val="333333"/>
          <w:sz w:val="21"/>
          <w:szCs w:val="21"/>
        </w:rPr>
      </w:pPr>
      <w:r>
        <w:rPr>
          <w:rFonts w:ascii="Arial" w:hAnsi="Arial" w:cs="Arial"/>
          <w:color w:val="333333"/>
          <w:sz w:val="21"/>
          <w:szCs w:val="21"/>
        </w:rPr>
        <w:t>Safety netting is a management strategy of patients, tests and referrals used in the context of diagnostic uncertainty in healthcare.  It aims to ensure patients are monitored until signs and symptoms are explained or resolved. </w:t>
      </w:r>
    </w:p>
    <w:p w14:paraId="164ADBAC" w14:textId="77777777" w:rsidR="009D2AE0" w:rsidRDefault="009D2AE0" w:rsidP="009D2AE0">
      <w:pPr>
        <w:pStyle w:val="Heading1"/>
        <w:jc w:val="both"/>
        <w:rPr>
          <w:b/>
          <w:bCs/>
        </w:rPr>
      </w:pPr>
    </w:p>
    <w:p w14:paraId="64897C02" w14:textId="64C5E0B8" w:rsidR="009D2AE0" w:rsidRPr="009D2AE0" w:rsidRDefault="009D2AE0" w:rsidP="009D2AE0">
      <w:pPr>
        <w:pStyle w:val="Heading1"/>
        <w:jc w:val="both"/>
        <w:rPr>
          <w:b/>
          <w:bCs/>
        </w:rPr>
      </w:pPr>
      <w:r w:rsidRPr="009D2AE0">
        <w:rPr>
          <w:b/>
          <w:bCs/>
        </w:rPr>
        <w:t>What is Safety Netting?</w:t>
      </w:r>
    </w:p>
    <w:p w14:paraId="355BEB22" w14:textId="77777777" w:rsidR="009D2AE0" w:rsidRPr="009D2AE0" w:rsidRDefault="009D2AE0" w:rsidP="009D2AE0">
      <w:pPr>
        <w:shd w:val="clear" w:color="auto" w:fill="FFFFFF"/>
        <w:spacing w:after="240"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Patients often present with </w:t>
      </w:r>
      <w:hyperlink r:id="rId7" w:history="1">
        <w:r w:rsidRPr="009D2AE0">
          <w:rPr>
            <w:rFonts w:ascii="Arial" w:eastAsia="Times New Roman" w:hAnsi="Arial" w:cs="Arial"/>
            <w:color w:val="2E008B"/>
            <w:sz w:val="21"/>
            <w:szCs w:val="21"/>
            <w:u w:val="single"/>
            <w:lang w:eastAsia="en-GB"/>
          </w:rPr>
          <w:t>symptoms</w:t>
        </w:r>
      </w:hyperlink>
      <w:r w:rsidRPr="009D2AE0">
        <w:rPr>
          <w:rFonts w:ascii="Arial" w:eastAsia="Times New Roman" w:hAnsi="Arial" w:cs="Arial"/>
          <w:color w:val="333333"/>
          <w:sz w:val="21"/>
          <w:szCs w:val="21"/>
          <w:lang w:eastAsia="en-GB"/>
        </w:rPr>
        <w:t> that c</w:t>
      </w:r>
      <w:bookmarkStart w:id="0" w:name="_GoBack"/>
      <w:bookmarkEnd w:id="0"/>
      <w:r w:rsidRPr="009D2AE0">
        <w:rPr>
          <w:rFonts w:ascii="Arial" w:eastAsia="Times New Roman" w:hAnsi="Arial" w:cs="Arial"/>
          <w:color w:val="333333"/>
          <w:sz w:val="21"/>
          <w:szCs w:val="21"/>
          <w:lang w:eastAsia="en-GB"/>
        </w:rPr>
        <w:t>ould indicate a new cancer diagnosis. Some will be easily recognised as potentially serious and acted upon, but many will be non-specific or vague e.g. fatigue, weight loss or abdominal pain [1, 2].</w:t>
      </w:r>
    </w:p>
    <w:p w14:paraId="22583BC3" w14:textId="77777777" w:rsidR="009D2AE0" w:rsidRPr="009D2AE0" w:rsidRDefault="009D2AE0" w:rsidP="009D2AE0">
      <w:pPr>
        <w:shd w:val="clear" w:color="auto" w:fill="FFFFFF"/>
        <w:spacing w:after="240"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The non-specific, undifferentiated nature of cancer symptoms is a key challenge to early diagnosis and part of the reason why so many cancers are diagnosed at a late stage, when the chance of a successful outcome is lower. Safety netting is an important process to help manage diagnostic uncertainty and support timely diagnosis of cancer.</w:t>
      </w:r>
    </w:p>
    <w:p w14:paraId="2DF97B76" w14:textId="77777777" w:rsidR="009D2AE0" w:rsidRPr="009D2AE0" w:rsidRDefault="009D2AE0" w:rsidP="009D2AE0">
      <w:pPr>
        <w:shd w:val="clear" w:color="auto" w:fill="FFFFFF"/>
        <w:spacing w:after="240"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 xml:space="preserve">The evidence for safety netting comes from retrospective studies on missed opportunities to diagnose cancer earlier. GPs’ examination of clinical records indicated that one in five cancers diagnosed in England in 2014 had some diagnostic delay within primary care [3]. UK’s primary practices have been found to retain less responsibility for the communication </w:t>
      </w:r>
      <w:proofErr w:type="gramStart"/>
      <w:r w:rsidRPr="009D2AE0">
        <w:rPr>
          <w:rFonts w:ascii="Arial" w:eastAsia="Times New Roman" w:hAnsi="Arial" w:cs="Arial"/>
          <w:color w:val="333333"/>
          <w:sz w:val="21"/>
          <w:szCs w:val="21"/>
          <w:lang w:eastAsia="en-GB"/>
        </w:rPr>
        <w:t>of  test</w:t>
      </w:r>
      <w:proofErr w:type="gramEnd"/>
      <w:r w:rsidRPr="009D2AE0">
        <w:rPr>
          <w:rFonts w:ascii="Arial" w:eastAsia="Times New Roman" w:hAnsi="Arial" w:cs="Arial"/>
          <w:color w:val="333333"/>
          <w:sz w:val="21"/>
          <w:szCs w:val="21"/>
          <w:lang w:eastAsia="en-GB"/>
        </w:rPr>
        <w:t xml:space="preserve"> results and non-attenders than countries with higher cancer survival [4]. </w:t>
      </w:r>
    </w:p>
    <w:p w14:paraId="57022C9E" w14:textId="77777777" w:rsidR="009D2AE0" w:rsidRPr="009D2AE0" w:rsidRDefault="009D2AE0" w:rsidP="009D2AE0">
      <w:pPr>
        <w:shd w:val="clear" w:color="auto" w:fill="FFFFFF"/>
        <w:spacing w:after="240"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Learning events from a group of practices in England identified three groups of safety netting issues:  symptom follow-up, responsibility over the test and referral monitoring, and diagnostic accuracy, linked to false negative chest X ray results and lung cancer [5]. National guidelines on suspected cancer recognition and referral touch on each of the three group of safety netting issues, either in their recommendations on safety netting and patient information and support (see </w:t>
      </w:r>
      <w:hyperlink r:id="rId8" w:tgtFrame="_blank" w:history="1">
        <w:r w:rsidRPr="009D2AE0">
          <w:rPr>
            <w:rFonts w:ascii="Arial" w:eastAsia="Times New Roman" w:hAnsi="Arial" w:cs="Arial"/>
            <w:color w:val="2E008B"/>
            <w:sz w:val="21"/>
            <w:szCs w:val="21"/>
            <w:u w:val="single"/>
            <w:lang w:eastAsia="en-GB"/>
          </w:rPr>
          <w:t>NICE NG12</w:t>
        </w:r>
      </w:hyperlink>
      <w:r w:rsidRPr="009D2AE0">
        <w:rPr>
          <w:rFonts w:ascii="Arial" w:eastAsia="Times New Roman" w:hAnsi="Arial" w:cs="Arial"/>
          <w:color w:val="333333"/>
          <w:sz w:val="21"/>
          <w:szCs w:val="21"/>
          <w:lang w:eastAsia="en-GB"/>
        </w:rPr>
        <w:t>,  </w:t>
      </w:r>
      <w:hyperlink r:id="rId9" w:tgtFrame="_blank" w:history="1">
        <w:r w:rsidRPr="009D2AE0">
          <w:rPr>
            <w:rFonts w:ascii="Arial" w:eastAsia="Times New Roman" w:hAnsi="Arial" w:cs="Arial"/>
            <w:color w:val="2E008B"/>
            <w:sz w:val="21"/>
            <w:szCs w:val="21"/>
            <w:u w:val="single"/>
            <w:lang w:eastAsia="en-GB"/>
          </w:rPr>
          <w:t>Scottish Cancer Referral Guideline</w:t>
        </w:r>
      </w:hyperlink>
      <w:r w:rsidRPr="009D2AE0">
        <w:rPr>
          <w:rFonts w:ascii="Arial" w:eastAsia="Times New Roman" w:hAnsi="Arial" w:cs="Arial"/>
          <w:color w:val="333333"/>
          <w:sz w:val="21"/>
          <w:szCs w:val="21"/>
          <w:lang w:eastAsia="en-GB"/>
        </w:rPr>
        <w:t>) or  within each cancer site (see Scottish Cancer Referral Guideline: ‘</w:t>
      </w:r>
      <w:hyperlink r:id="rId10" w:tgtFrame="_blank" w:history="1">
        <w:r w:rsidRPr="009D2AE0">
          <w:rPr>
            <w:rFonts w:ascii="Arial" w:eastAsia="Times New Roman" w:hAnsi="Arial" w:cs="Arial"/>
            <w:color w:val="2E008B"/>
            <w:sz w:val="21"/>
            <w:szCs w:val="21"/>
            <w:u w:val="single"/>
            <w:lang w:eastAsia="en-GB"/>
          </w:rPr>
          <w:t>Lung cancer</w:t>
        </w:r>
      </w:hyperlink>
      <w:r w:rsidRPr="009D2AE0">
        <w:rPr>
          <w:rFonts w:ascii="Arial" w:eastAsia="Times New Roman" w:hAnsi="Arial" w:cs="Arial"/>
          <w:color w:val="333333"/>
          <w:sz w:val="21"/>
          <w:szCs w:val="21"/>
          <w:lang w:eastAsia="en-GB"/>
        </w:rPr>
        <w:t>’). More specific and comprehensive tools have been developed by a few national and local organisations to support putting some of the safety netting steps practice (see sections below).</w:t>
      </w:r>
    </w:p>
    <w:p w14:paraId="09767F92" w14:textId="77777777" w:rsidR="009D2AE0" w:rsidRPr="009D2AE0" w:rsidRDefault="009D2AE0" w:rsidP="009D2AE0">
      <w:pPr>
        <w:shd w:val="clear" w:color="auto" w:fill="FFFFFF"/>
        <w:spacing w:after="240" w:line="240" w:lineRule="auto"/>
        <w:jc w:val="both"/>
        <w:rPr>
          <w:rFonts w:ascii="Arial" w:eastAsia="Times New Roman" w:hAnsi="Arial" w:cs="Arial"/>
          <w:color w:val="333333"/>
          <w:sz w:val="21"/>
          <w:szCs w:val="21"/>
          <w:lang w:eastAsia="en-GB"/>
        </w:rPr>
      </w:pPr>
      <w:r w:rsidRPr="009D2AE0">
        <w:rPr>
          <w:rFonts w:ascii="Arial" w:eastAsia="Times New Roman" w:hAnsi="Arial" w:cs="Arial"/>
          <w:b/>
          <w:bCs/>
          <w:color w:val="333333"/>
          <w:sz w:val="21"/>
          <w:szCs w:val="21"/>
          <w:lang w:eastAsia="en-GB"/>
        </w:rPr>
        <w:t>References</w:t>
      </w:r>
    </w:p>
    <w:p w14:paraId="2208B32C" w14:textId="77777777" w:rsidR="009D2AE0" w:rsidRPr="009D2AE0" w:rsidRDefault="009D2AE0" w:rsidP="009D2AE0">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Koo, M.M., et al., Symptom Signatures and Diagnostic Timeliness in Cancer Patients: A Review of Current Evidence. Neoplasia, 2018. 20(2): p. 165-174.</w:t>
      </w:r>
    </w:p>
    <w:p w14:paraId="42CE5C20" w14:textId="77777777" w:rsidR="009D2AE0" w:rsidRPr="009D2AE0" w:rsidRDefault="009D2AE0" w:rsidP="009D2AE0">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 xml:space="preserve">Foot, C. and T. Harrison, </w:t>
      </w:r>
      <w:proofErr w:type="gramStart"/>
      <w:r w:rsidRPr="009D2AE0">
        <w:rPr>
          <w:rFonts w:ascii="Arial" w:eastAsia="Times New Roman" w:hAnsi="Arial" w:cs="Arial"/>
          <w:color w:val="333333"/>
          <w:sz w:val="21"/>
          <w:szCs w:val="21"/>
          <w:lang w:eastAsia="en-GB"/>
        </w:rPr>
        <w:t>How</w:t>
      </w:r>
      <w:proofErr w:type="gramEnd"/>
      <w:r w:rsidRPr="009D2AE0">
        <w:rPr>
          <w:rFonts w:ascii="Arial" w:eastAsia="Times New Roman" w:hAnsi="Arial" w:cs="Arial"/>
          <w:color w:val="333333"/>
          <w:sz w:val="21"/>
          <w:szCs w:val="21"/>
          <w:lang w:eastAsia="en-GB"/>
        </w:rPr>
        <w:t xml:space="preserve"> to improve cancer survival: Explaining England’s relatively poor rates. 2011, King's Fund.</w:t>
      </w:r>
    </w:p>
    <w:p w14:paraId="01B119DC" w14:textId="77777777" w:rsidR="009D2AE0" w:rsidRPr="009D2AE0" w:rsidRDefault="009D2AE0" w:rsidP="009D2AE0">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Swann, R., et al., Diagnosing cancer in primary care: results from the National Cancer Diagnosis Audit. British Journal of General Practice, 2018. 68(666): p. e63-e72.</w:t>
      </w:r>
    </w:p>
    <w:p w14:paraId="0239C56C" w14:textId="77777777" w:rsidR="009D2AE0" w:rsidRPr="009D2AE0" w:rsidRDefault="009D2AE0" w:rsidP="009D2AE0">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Nicholson, B.D., et al., Responsibility for follow-up during the diagnostic process in primary care: a secondary analysis of International Cancer Benchmarking Partnership data. British Journal of General Practice, 2018. 68(670): p. e323-e332.</w:t>
      </w:r>
    </w:p>
    <w:p w14:paraId="7D577210" w14:textId="77777777" w:rsidR="009D2AE0" w:rsidRPr="009D2AE0" w:rsidRDefault="009D2AE0" w:rsidP="009D2AE0">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Jones, D., et al., Safety netting for primary care: evidence from a literature review. British Journal of General Practice, 2019. 69(678): p. e70-e79.</w:t>
      </w:r>
    </w:p>
    <w:p w14:paraId="58402F68" w14:textId="77777777" w:rsidR="009D2AE0" w:rsidRDefault="009D2AE0" w:rsidP="009D2AE0">
      <w:pPr>
        <w:pStyle w:val="Heading1"/>
        <w:jc w:val="both"/>
      </w:pPr>
    </w:p>
    <w:p w14:paraId="4EC081D4" w14:textId="77777777" w:rsidR="009D2AE0" w:rsidRDefault="009D2AE0" w:rsidP="009D2AE0">
      <w:pPr>
        <w:jc w:val="both"/>
        <w:rPr>
          <w:rFonts w:asciiTheme="majorHAnsi" w:eastAsiaTheme="majorEastAsia" w:hAnsiTheme="majorHAnsi" w:cstheme="majorBidi"/>
          <w:color w:val="2F5496" w:themeColor="accent1" w:themeShade="BF"/>
          <w:sz w:val="32"/>
          <w:szCs w:val="32"/>
        </w:rPr>
      </w:pPr>
      <w:r>
        <w:br w:type="page"/>
      </w:r>
    </w:p>
    <w:p w14:paraId="33CAAF99" w14:textId="4601D120" w:rsidR="009D2AE0" w:rsidRDefault="009D2AE0" w:rsidP="009D2AE0">
      <w:pPr>
        <w:pStyle w:val="Heading1"/>
        <w:jc w:val="both"/>
      </w:pPr>
      <w:r>
        <w:lastRenderedPageBreak/>
        <w:t>What steps are important in safety-netting</w:t>
      </w:r>
    </w:p>
    <w:p w14:paraId="2EEE6B06" w14:textId="77777777" w:rsidR="009D2AE0" w:rsidRPr="009D2AE0" w:rsidRDefault="009D2AE0" w:rsidP="009D2AE0">
      <w:pPr>
        <w:shd w:val="clear" w:color="auto" w:fill="FFFFFF"/>
        <w:spacing w:after="0"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Safety netting in primary care is a set of steps and actions that can be taken during a GP-patient consultation and within primary practice systems. These ensure patients are monitored until their symptoms and signs are explained and results acted upon. Safety netting is relevant to each step of the diagnostic pathway. For example:</w:t>
      </w:r>
    </w:p>
    <w:p w14:paraId="0B8C9761" w14:textId="77777777" w:rsidR="009D2AE0" w:rsidRPr="009D2AE0" w:rsidRDefault="009D2AE0" w:rsidP="009D2AE0">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Patients presenting with symptoms that are potentially alarming but not of immediate concern, need to know which symptoms to look out for and when, why and how to book a follow-up appointment. In some cases, checking patient understanding or giving written instructions may be appropriate. </w:t>
      </w:r>
    </w:p>
    <w:p w14:paraId="2B9821AE" w14:textId="77777777" w:rsidR="009D2AE0" w:rsidRPr="009D2AE0" w:rsidRDefault="009D2AE0" w:rsidP="009D2AE0">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Patients may re-consult with a different GP in hope of a re-appraisal of their symptoms [1]. Thorough history taking and clinical coding of symptoms, investigations and results, helps with continuity of care within practices. This is particularly relevant for notes and actions taken by part-time clinical staff and locums.  </w:t>
      </w:r>
    </w:p>
    <w:p w14:paraId="0650E7F5" w14:textId="77777777" w:rsidR="009D2AE0" w:rsidRPr="009D2AE0" w:rsidRDefault="009D2AE0" w:rsidP="009D2AE0">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 xml:space="preserve">Patients presenting with red flag symptoms, or symptoms that trigger the two </w:t>
      </w:r>
      <w:proofErr w:type="gramStart"/>
      <w:r w:rsidRPr="009D2AE0">
        <w:rPr>
          <w:rFonts w:ascii="Arial" w:eastAsia="Times New Roman" w:hAnsi="Arial" w:cs="Arial"/>
          <w:color w:val="333333"/>
          <w:sz w:val="21"/>
          <w:szCs w:val="21"/>
          <w:lang w:eastAsia="en-GB"/>
        </w:rPr>
        <w:t>week</w:t>
      </w:r>
      <w:proofErr w:type="gramEnd"/>
      <w:r w:rsidRPr="009D2AE0">
        <w:rPr>
          <w:rFonts w:ascii="Arial" w:eastAsia="Times New Roman" w:hAnsi="Arial" w:cs="Arial"/>
          <w:color w:val="333333"/>
          <w:sz w:val="21"/>
          <w:szCs w:val="21"/>
          <w:lang w:eastAsia="en-GB"/>
        </w:rPr>
        <w:t xml:space="preserve"> wait or urgent referrals, are not always guaranteed to attend their appointments.  GPs play an important role in explaining the reason for suspected referral to the patients and assessing barriers to understanding and attendance. Patient information leaflets can aid GPs in patient communication and support at the time of referral (for example, see Your urgent referral leaflet for </w:t>
      </w:r>
      <w:hyperlink r:id="rId11" w:history="1">
        <w:r w:rsidRPr="009D2AE0">
          <w:rPr>
            <w:rFonts w:ascii="Arial" w:eastAsia="Times New Roman" w:hAnsi="Arial" w:cs="Arial"/>
            <w:color w:val="2E008B"/>
            <w:sz w:val="21"/>
            <w:szCs w:val="21"/>
            <w:u w:val="single"/>
            <w:lang w:eastAsia="en-GB"/>
          </w:rPr>
          <w:t>England</w:t>
        </w:r>
      </w:hyperlink>
      <w:r w:rsidRPr="009D2AE0">
        <w:rPr>
          <w:rFonts w:ascii="Arial" w:eastAsia="Times New Roman" w:hAnsi="Arial" w:cs="Arial"/>
          <w:color w:val="333333"/>
          <w:sz w:val="21"/>
          <w:szCs w:val="21"/>
          <w:lang w:eastAsia="en-GB"/>
        </w:rPr>
        <w:t> and for </w:t>
      </w:r>
      <w:hyperlink r:id="rId12" w:tgtFrame="_blank" w:history="1">
        <w:r w:rsidRPr="009D2AE0">
          <w:rPr>
            <w:rFonts w:ascii="Arial" w:eastAsia="Times New Roman" w:hAnsi="Arial" w:cs="Arial"/>
            <w:color w:val="2E008B"/>
            <w:sz w:val="21"/>
            <w:szCs w:val="21"/>
            <w:u w:val="single"/>
            <w:lang w:eastAsia="en-GB"/>
          </w:rPr>
          <w:t>Scotland</w:t>
        </w:r>
      </w:hyperlink>
      <w:r w:rsidRPr="009D2AE0">
        <w:rPr>
          <w:rFonts w:ascii="Arial" w:eastAsia="Times New Roman" w:hAnsi="Arial" w:cs="Arial"/>
          <w:color w:val="333333"/>
          <w:sz w:val="21"/>
          <w:szCs w:val="21"/>
          <w:lang w:eastAsia="en-GB"/>
        </w:rPr>
        <w:t>). </w:t>
      </w:r>
    </w:p>
    <w:p w14:paraId="68DF4A03" w14:textId="77777777" w:rsidR="009D2AE0" w:rsidRPr="009D2AE0" w:rsidRDefault="009D2AE0" w:rsidP="009D2AE0">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A negative test does not always rule out cancer, especially among patients with unresolved symptoms.  Chest X-ray can give up to 1 in 5 </w:t>
      </w:r>
      <w:hyperlink r:id="rId13" w:anchor="heading-Twenty-Seven" w:history="1">
        <w:r w:rsidRPr="009D2AE0">
          <w:rPr>
            <w:rFonts w:ascii="Arial" w:eastAsia="Times New Roman" w:hAnsi="Arial" w:cs="Arial"/>
            <w:color w:val="2E008B"/>
            <w:sz w:val="21"/>
            <w:szCs w:val="21"/>
            <w:u w:val="single"/>
            <w:lang w:eastAsia="en-GB"/>
          </w:rPr>
          <w:t>false negative</w:t>
        </w:r>
      </w:hyperlink>
      <w:r w:rsidRPr="009D2AE0">
        <w:rPr>
          <w:rFonts w:ascii="Arial" w:eastAsia="Times New Roman" w:hAnsi="Arial" w:cs="Arial"/>
          <w:color w:val="333333"/>
          <w:sz w:val="21"/>
          <w:szCs w:val="21"/>
          <w:lang w:eastAsia="en-GB"/>
        </w:rPr>
        <w:t> results [2-4]. This may lead to over reassurance of patients and their GPs, and potentially delay the diagnosis of cancers or other serious conditions. Similarly, a previous negative FIT screening result does not rule out cancer in patients with symptoms, and usual clinical assessments are needed to investigate abdominal and related symptoms (see this </w:t>
      </w:r>
      <w:hyperlink r:id="rId14" w:history="1">
        <w:r w:rsidRPr="009D2AE0">
          <w:rPr>
            <w:rFonts w:ascii="Arial" w:eastAsia="Times New Roman" w:hAnsi="Arial" w:cs="Arial"/>
            <w:color w:val="2E008B"/>
            <w:sz w:val="21"/>
            <w:szCs w:val="21"/>
            <w:u w:val="single"/>
            <w:lang w:eastAsia="en-GB"/>
          </w:rPr>
          <w:t>infographic on FIT</w:t>
        </w:r>
      </w:hyperlink>
      <w:r w:rsidRPr="009D2AE0">
        <w:rPr>
          <w:rFonts w:ascii="Arial" w:eastAsia="Times New Roman" w:hAnsi="Arial" w:cs="Arial"/>
          <w:color w:val="333333"/>
          <w:sz w:val="21"/>
          <w:szCs w:val="21"/>
          <w:lang w:eastAsia="en-GB"/>
        </w:rPr>
        <w:t>).  </w:t>
      </w:r>
    </w:p>
    <w:p w14:paraId="59275524" w14:textId="77777777" w:rsidR="009D2AE0" w:rsidRPr="009D2AE0" w:rsidRDefault="009D2AE0" w:rsidP="009D2AE0">
      <w:pPr>
        <w:numPr>
          <w:ilvl w:val="0"/>
          <w:numId w:val="2"/>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IT clinical system alerts can allow administrative staff to run automated, regular checks on outstanding actions from the symptom follow-up to suspected cancer referrals and engage a recall system for missed appointments. </w:t>
      </w:r>
    </w:p>
    <w:p w14:paraId="54FA302D" w14:textId="77777777" w:rsidR="009D2AE0" w:rsidRPr="009D2AE0" w:rsidRDefault="009D2AE0" w:rsidP="009D2AE0">
      <w:pPr>
        <w:shd w:val="clear" w:color="auto" w:fill="FFFFFF"/>
        <w:spacing w:after="0"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Current safety netting practices vary among GPs and between primary care practices [5-7]. Sharing lessons and good practice are encouraged (see What is safety netting?).</w:t>
      </w:r>
    </w:p>
    <w:p w14:paraId="1D170FFB" w14:textId="77777777" w:rsidR="009D2AE0" w:rsidRPr="009D2AE0" w:rsidRDefault="009D2AE0" w:rsidP="009D2AE0">
      <w:pPr>
        <w:shd w:val="clear" w:color="auto" w:fill="FFFFFF"/>
        <w:spacing w:after="240" w:line="240" w:lineRule="auto"/>
        <w:jc w:val="both"/>
        <w:rPr>
          <w:rFonts w:ascii="Arial" w:eastAsia="Times New Roman" w:hAnsi="Arial" w:cs="Arial"/>
          <w:color w:val="333333"/>
          <w:sz w:val="21"/>
          <w:szCs w:val="21"/>
          <w:lang w:eastAsia="en-GB"/>
        </w:rPr>
      </w:pPr>
      <w:r w:rsidRPr="009D2AE0">
        <w:rPr>
          <w:rFonts w:ascii="Arial" w:eastAsia="Times New Roman" w:hAnsi="Arial" w:cs="Arial"/>
          <w:b/>
          <w:bCs/>
          <w:color w:val="333333"/>
          <w:sz w:val="21"/>
          <w:szCs w:val="21"/>
          <w:lang w:eastAsia="en-GB"/>
        </w:rPr>
        <w:t>References</w:t>
      </w:r>
    </w:p>
    <w:p w14:paraId="18CCDDAA"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Howell, D.A., et al., Myeloma: Patient accounts of their pathways to diagnosis. PLOS ONE, 2018. 13(4): p. e0194788.</w:t>
      </w:r>
    </w:p>
    <w:p w14:paraId="06606F32"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proofErr w:type="spellStart"/>
      <w:r w:rsidRPr="009D2AE0">
        <w:rPr>
          <w:rFonts w:ascii="Arial" w:eastAsia="Times New Roman" w:hAnsi="Arial" w:cs="Arial"/>
          <w:color w:val="333333"/>
          <w:sz w:val="21"/>
          <w:szCs w:val="21"/>
          <w:lang w:eastAsia="en-GB"/>
        </w:rPr>
        <w:t>Stapley</w:t>
      </w:r>
      <w:proofErr w:type="spellEnd"/>
      <w:r w:rsidRPr="009D2AE0">
        <w:rPr>
          <w:rFonts w:ascii="Arial" w:eastAsia="Times New Roman" w:hAnsi="Arial" w:cs="Arial"/>
          <w:color w:val="333333"/>
          <w:sz w:val="21"/>
          <w:szCs w:val="21"/>
          <w:lang w:eastAsia="en-GB"/>
        </w:rPr>
        <w:t xml:space="preserve">, S., D. Sharp, and W. Hamilton, Negative chest X-rays in primary care patients with lung cancer. Br J Gen </w:t>
      </w:r>
      <w:proofErr w:type="spellStart"/>
      <w:r w:rsidRPr="009D2AE0">
        <w:rPr>
          <w:rFonts w:ascii="Arial" w:eastAsia="Times New Roman" w:hAnsi="Arial" w:cs="Arial"/>
          <w:color w:val="333333"/>
          <w:sz w:val="21"/>
          <w:szCs w:val="21"/>
          <w:lang w:eastAsia="en-GB"/>
        </w:rPr>
        <w:t>Pract</w:t>
      </w:r>
      <w:proofErr w:type="spellEnd"/>
      <w:r w:rsidRPr="009D2AE0">
        <w:rPr>
          <w:rFonts w:ascii="Arial" w:eastAsia="Times New Roman" w:hAnsi="Arial" w:cs="Arial"/>
          <w:color w:val="333333"/>
          <w:sz w:val="21"/>
          <w:szCs w:val="21"/>
          <w:lang w:eastAsia="en-GB"/>
        </w:rPr>
        <w:t>, 2006. 56(529): p. 570-3.</w:t>
      </w:r>
    </w:p>
    <w:p w14:paraId="3C9679A0"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 xml:space="preserve">Bradley, S.H., M.P.T. Kennedy, and R.D. Neal, Recognising Lung Cancer in Primary Care. Adv </w:t>
      </w:r>
      <w:proofErr w:type="spellStart"/>
      <w:r w:rsidRPr="009D2AE0">
        <w:rPr>
          <w:rFonts w:ascii="Arial" w:eastAsia="Times New Roman" w:hAnsi="Arial" w:cs="Arial"/>
          <w:color w:val="333333"/>
          <w:sz w:val="21"/>
          <w:szCs w:val="21"/>
          <w:lang w:eastAsia="en-GB"/>
        </w:rPr>
        <w:t>Ther</w:t>
      </w:r>
      <w:proofErr w:type="spellEnd"/>
      <w:r w:rsidRPr="009D2AE0">
        <w:rPr>
          <w:rFonts w:ascii="Arial" w:eastAsia="Times New Roman" w:hAnsi="Arial" w:cs="Arial"/>
          <w:color w:val="333333"/>
          <w:sz w:val="21"/>
          <w:szCs w:val="21"/>
          <w:lang w:eastAsia="en-GB"/>
        </w:rPr>
        <w:t>, 2019. 36(1): p. 19-30.</w:t>
      </w:r>
    </w:p>
    <w:p w14:paraId="73C4CC42"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Neal, R.D., W. Hamilton, and T.K. Rogers, Lung cancer. BMJ, 2014. 349: p. g6560.</w:t>
      </w:r>
    </w:p>
    <w:p w14:paraId="5FDCF7B6"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Jones, D., et al., Safety netting for primary care: evidence from a literature review. British Journal of General Practice, 2019. 69(678): p. e70-e79.</w:t>
      </w:r>
    </w:p>
    <w:p w14:paraId="3B17E526"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Evans, J., et al., - GPs' understanding and practice of safety netting for potential cancer presentations: a qualitative study in primary care. LID - bjgp18X696233 [</w:t>
      </w:r>
      <w:proofErr w:type="spellStart"/>
      <w:r w:rsidRPr="009D2AE0">
        <w:rPr>
          <w:rFonts w:ascii="Arial" w:eastAsia="Times New Roman" w:hAnsi="Arial" w:cs="Arial"/>
          <w:color w:val="333333"/>
          <w:sz w:val="21"/>
          <w:szCs w:val="21"/>
          <w:lang w:eastAsia="en-GB"/>
        </w:rPr>
        <w:t>pii</w:t>
      </w:r>
      <w:proofErr w:type="spellEnd"/>
      <w:r w:rsidRPr="009D2AE0">
        <w:rPr>
          <w:rFonts w:ascii="Arial" w:eastAsia="Times New Roman" w:hAnsi="Arial" w:cs="Arial"/>
          <w:color w:val="333333"/>
          <w:sz w:val="21"/>
          <w:szCs w:val="21"/>
          <w:lang w:eastAsia="en-GB"/>
        </w:rPr>
        <w:t>] LID - 10.3399/bjgp18X696233 [</w:t>
      </w:r>
      <w:proofErr w:type="spellStart"/>
      <w:r w:rsidRPr="009D2AE0">
        <w:rPr>
          <w:rFonts w:ascii="Arial" w:eastAsia="Times New Roman" w:hAnsi="Arial" w:cs="Arial"/>
          <w:color w:val="333333"/>
          <w:sz w:val="21"/>
          <w:szCs w:val="21"/>
          <w:lang w:eastAsia="en-GB"/>
        </w:rPr>
        <w:t>doi</w:t>
      </w:r>
      <w:proofErr w:type="spellEnd"/>
      <w:r w:rsidRPr="009D2AE0">
        <w:rPr>
          <w:rFonts w:ascii="Arial" w:eastAsia="Times New Roman" w:hAnsi="Arial" w:cs="Arial"/>
          <w:color w:val="333333"/>
          <w:sz w:val="21"/>
          <w:szCs w:val="21"/>
          <w:lang w:eastAsia="en-GB"/>
        </w:rPr>
        <w:t xml:space="preserve">]. Br J Gen </w:t>
      </w:r>
      <w:proofErr w:type="spellStart"/>
      <w:r w:rsidRPr="009D2AE0">
        <w:rPr>
          <w:rFonts w:ascii="Arial" w:eastAsia="Times New Roman" w:hAnsi="Arial" w:cs="Arial"/>
          <w:color w:val="333333"/>
          <w:sz w:val="21"/>
          <w:szCs w:val="21"/>
          <w:lang w:eastAsia="en-GB"/>
        </w:rPr>
        <w:t>Pract</w:t>
      </w:r>
      <w:proofErr w:type="spellEnd"/>
      <w:r w:rsidRPr="009D2AE0">
        <w:rPr>
          <w:rFonts w:ascii="Arial" w:eastAsia="Times New Roman" w:hAnsi="Arial" w:cs="Arial"/>
          <w:color w:val="333333"/>
          <w:sz w:val="21"/>
          <w:szCs w:val="21"/>
          <w:lang w:eastAsia="en-GB"/>
        </w:rPr>
        <w:t>, 2018. 8(10).</w:t>
      </w:r>
    </w:p>
    <w:p w14:paraId="1EBEA917" w14:textId="77777777" w:rsidR="009D2AE0" w:rsidRPr="009D2AE0" w:rsidRDefault="009D2AE0" w:rsidP="009D2AE0">
      <w:pPr>
        <w:numPr>
          <w:ilvl w:val="0"/>
          <w:numId w:val="3"/>
        </w:numPr>
        <w:shd w:val="clear" w:color="auto" w:fill="FFFFFF"/>
        <w:spacing w:before="100" w:beforeAutospacing="1" w:after="100" w:afterAutospacing="1" w:line="240" w:lineRule="auto"/>
        <w:jc w:val="both"/>
        <w:rPr>
          <w:rFonts w:ascii="Arial" w:eastAsia="Times New Roman" w:hAnsi="Arial" w:cs="Arial"/>
          <w:color w:val="333333"/>
          <w:sz w:val="21"/>
          <w:szCs w:val="21"/>
          <w:lang w:eastAsia="en-GB"/>
        </w:rPr>
      </w:pPr>
      <w:r w:rsidRPr="009D2AE0">
        <w:rPr>
          <w:rFonts w:ascii="Arial" w:eastAsia="Times New Roman" w:hAnsi="Arial" w:cs="Arial"/>
          <w:color w:val="333333"/>
          <w:sz w:val="21"/>
          <w:szCs w:val="21"/>
          <w:lang w:eastAsia="en-GB"/>
        </w:rPr>
        <w:t xml:space="preserve">Nicholson, B.D., D. </w:t>
      </w:r>
      <w:proofErr w:type="spellStart"/>
      <w:r w:rsidRPr="009D2AE0">
        <w:rPr>
          <w:rFonts w:ascii="Arial" w:eastAsia="Times New Roman" w:hAnsi="Arial" w:cs="Arial"/>
          <w:color w:val="333333"/>
          <w:sz w:val="21"/>
          <w:szCs w:val="21"/>
          <w:lang w:eastAsia="en-GB"/>
        </w:rPr>
        <w:t>Mant</w:t>
      </w:r>
      <w:proofErr w:type="spellEnd"/>
      <w:r w:rsidRPr="009D2AE0">
        <w:rPr>
          <w:rFonts w:ascii="Arial" w:eastAsia="Times New Roman" w:hAnsi="Arial" w:cs="Arial"/>
          <w:color w:val="333333"/>
          <w:sz w:val="21"/>
          <w:szCs w:val="21"/>
          <w:lang w:eastAsia="en-GB"/>
        </w:rPr>
        <w:t xml:space="preserve">, and C. Bankhead, </w:t>
      </w:r>
      <w:proofErr w:type="gramStart"/>
      <w:r w:rsidRPr="009D2AE0">
        <w:rPr>
          <w:rFonts w:ascii="Arial" w:eastAsia="Times New Roman" w:hAnsi="Arial" w:cs="Arial"/>
          <w:color w:val="333333"/>
          <w:sz w:val="21"/>
          <w:szCs w:val="21"/>
          <w:lang w:eastAsia="en-GB"/>
        </w:rPr>
        <w:t>Can</w:t>
      </w:r>
      <w:proofErr w:type="gramEnd"/>
      <w:r w:rsidRPr="009D2AE0">
        <w:rPr>
          <w:rFonts w:ascii="Arial" w:eastAsia="Times New Roman" w:hAnsi="Arial" w:cs="Arial"/>
          <w:color w:val="333333"/>
          <w:sz w:val="21"/>
          <w:szCs w:val="21"/>
          <w:lang w:eastAsia="en-GB"/>
        </w:rPr>
        <w:t xml:space="preserve"> safety-netting improve cancer detection in patients with vague symptoms? </w:t>
      </w:r>
      <w:proofErr w:type="spellStart"/>
      <w:r w:rsidRPr="009D2AE0">
        <w:rPr>
          <w:rFonts w:ascii="Arial" w:eastAsia="Times New Roman" w:hAnsi="Arial" w:cs="Arial"/>
          <w:color w:val="333333"/>
          <w:sz w:val="21"/>
          <w:szCs w:val="21"/>
          <w:lang w:eastAsia="en-GB"/>
        </w:rPr>
        <w:t>Bmj</w:t>
      </w:r>
      <w:proofErr w:type="spellEnd"/>
      <w:r w:rsidRPr="009D2AE0">
        <w:rPr>
          <w:rFonts w:ascii="Arial" w:eastAsia="Times New Roman" w:hAnsi="Arial" w:cs="Arial"/>
          <w:color w:val="333333"/>
          <w:sz w:val="21"/>
          <w:szCs w:val="21"/>
          <w:lang w:eastAsia="en-GB"/>
        </w:rPr>
        <w:t>, 2016. 355: p. i5515.</w:t>
      </w:r>
    </w:p>
    <w:p w14:paraId="4FE29394" w14:textId="77777777" w:rsidR="009D2AE0" w:rsidRDefault="009D2AE0" w:rsidP="009D2AE0">
      <w:pPr>
        <w:jc w:val="both"/>
        <w:rPr>
          <w:rFonts w:asciiTheme="majorHAnsi" w:eastAsiaTheme="majorEastAsia" w:hAnsiTheme="majorHAnsi" w:cstheme="majorBidi"/>
          <w:color w:val="2F5496" w:themeColor="accent1" w:themeShade="BF"/>
          <w:sz w:val="32"/>
          <w:szCs w:val="32"/>
        </w:rPr>
      </w:pPr>
      <w:r>
        <w:br w:type="page"/>
      </w:r>
    </w:p>
    <w:p w14:paraId="44478795" w14:textId="4A418D9D" w:rsidR="009D2AE0" w:rsidRDefault="009D2AE0" w:rsidP="009D2AE0">
      <w:pPr>
        <w:pStyle w:val="Heading1"/>
        <w:jc w:val="both"/>
      </w:pPr>
      <w:r>
        <w:lastRenderedPageBreak/>
        <w:t>Diagnostic decision making and safety netting</w:t>
      </w:r>
    </w:p>
    <w:p w14:paraId="2D4D2D48" w14:textId="77777777" w:rsidR="009D2AE0" w:rsidRDefault="009D2AE0" w:rsidP="009D2AE0">
      <w:pPr>
        <w:pStyle w:val="Heading2"/>
        <w:spacing w:before="0" w:after="120" w:line="264" w:lineRule="atLeast"/>
        <w:jc w:val="both"/>
        <w:rPr>
          <w:rFonts w:ascii="Arial" w:hAnsi="Arial" w:cs="Arial"/>
          <w:color w:val="333333"/>
          <w:sz w:val="32"/>
          <w:szCs w:val="32"/>
        </w:rPr>
      </w:pPr>
      <w:r>
        <w:rPr>
          <w:rFonts w:ascii="Arial" w:hAnsi="Arial" w:cs="Arial"/>
          <w:b/>
          <w:bCs/>
          <w:color w:val="333333"/>
          <w:sz w:val="32"/>
          <w:szCs w:val="32"/>
        </w:rPr>
        <w:t>Safety netting questions and answers from practicing GPs</w:t>
      </w:r>
    </w:p>
    <w:p w14:paraId="04CEFE0C" w14:textId="77777777" w:rsidR="009D2AE0" w:rsidRDefault="009D2AE0" w:rsidP="009D2AE0">
      <w:pPr>
        <w:pStyle w:val="NormalWeb"/>
        <w:spacing w:before="0" w:beforeAutospacing="0" w:after="240" w:afterAutospacing="0"/>
        <w:jc w:val="both"/>
        <w:rPr>
          <w:rFonts w:ascii="Arial" w:hAnsi="Arial" w:cs="Arial"/>
          <w:color w:val="333333"/>
          <w:sz w:val="21"/>
          <w:szCs w:val="21"/>
        </w:rPr>
      </w:pPr>
      <w:r>
        <w:rPr>
          <w:rFonts w:ascii="Arial" w:hAnsi="Arial" w:cs="Arial"/>
          <w:color w:val="333333"/>
          <w:sz w:val="21"/>
          <w:szCs w:val="21"/>
        </w:rPr>
        <w:t>What is the main advantage of safety netting today over how it used to be done in the past?</w:t>
      </w:r>
    </w:p>
    <w:p w14:paraId="13F4D280"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 xml:space="preserve">The combination of face-to-face safety netting and IT systems could be </w:t>
      </w:r>
      <w:proofErr w:type="gramStart"/>
      <w:r w:rsidRPr="009D2AE0">
        <w:rPr>
          <w:rFonts w:ascii="Arial" w:hAnsi="Arial" w:cs="Arial"/>
          <w:color w:val="333333"/>
          <w:sz w:val="18"/>
          <w:szCs w:val="18"/>
        </w:rPr>
        <w:t>really powerful</w:t>
      </w:r>
      <w:proofErr w:type="gramEnd"/>
      <w:r w:rsidRPr="009D2AE0">
        <w:rPr>
          <w:rFonts w:ascii="Arial" w:hAnsi="Arial" w:cs="Arial"/>
          <w:color w:val="333333"/>
          <w:sz w:val="18"/>
          <w:szCs w:val="18"/>
        </w:rPr>
        <w:t>. A simple request to book a follow-up appointment could be supported by a system to identify patients who have not attended for their follow-up within a specified timeframe (Dr Brian Nicholson)</w:t>
      </w:r>
    </w:p>
    <w:p w14:paraId="323C3E8F" w14:textId="77777777" w:rsidR="009D2AE0" w:rsidRPr="009D2AE0" w:rsidRDefault="009D2AE0" w:rsidP="009D2AE0">
      <w:pPr>
        <w:pStyle w:val="NormalWeb"/>
        <w:spacing w:before="0" w:beforeAutospacing="0" w:after="240" w:afterAutospacing="0"/>
        <w:jc w:val="both"/>
        <w:rPr>
          <w:rFonts w:ascii="Arial" w:hAnsi="Arial" w:cs="Arial"/>
          <w:color w:val="333333"/>
          <w:sz w:val="18"/>
          <w:szCs w:val="18"/>
        </w:rPr>
      </w:pPr>
      <w:r w:rsidRPr="009D2AE0">
        <w:rPr>
          <w:rFonts w:ascii="Arial" w:hAnsi="Arial" w:cs="Arial"/>
          <w:color w:val="333333"/>
          <w:sz w:val="18"/>
          <w:szCs w:val="18"/>
        </w:rPr>
        <w:t>Not every practice has a safety netting protocol in place. What is your advice to GPs interested in motivating their practice to establish one?</w:t>
      </w:r>
    </w:p>
    <w:p w14:paraId="4C38C76B"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 xml:space="preserve">GPs can make the case for safety netting using learning events (formerly called Significant Event Analysis) from their own practice. A practice-wide non-judgemental and open dialogue can aid learning and embedding improved practices into safety netting systems. Online resources and support from the CRUK Facilitator Programme can also be helpful (Dr </w:t>
      </w:r>
      <w:proofErr w:type="spellStart"/>
      <w:r w:rsidRPr="009D2AE0">
        <w:rPr>
          <w:rFonts w:ascii="Arial" w:hAnsi="Arial" w:cs="Arial"/>
          <w:color w:val="333333"/>
          <w:sz w:val="18"/>
          <w:szCs w:val="18"/>
        </w:rPr>
        <w:t>Ishani</w:t>
      </w:r>
      <w:proofErr w:type="spellEnd"/>
      <w:r w:rsidRPr="009D2AE0">
        <w:rPr>
          <w:rFonts w:ascii="Arial" w:hAnsi="Arial" w:cs="Arial"/>
          <w:color w:val="333333"/>
          <w:sz w:val="18"/>
          <w:szCs w:val="18"/>
        </w:rPr>
        <w:t xml:space="preserve"> Patel).</w:t>
      </w:r>
    </w:p>
    <w:p w14:paraId="39473B0C"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Practices can start by looking at the list  of questions on </w:t>
      </w:r>
      <w:hyperlink r:id="rId15" w:history="1">
        <w:r w:rsidRPr="009D2AE0">
          <w:rPr>
            <w:rStyle w:val="Hyperlink"/>
            <w:rFonts w:ascii="Arial" w:hAnsi="Arial" w:cs="Arial"/>
            <w:color w:val="2E008B"/>
            <w:sz w:val="18"/>
            <w:szCs w:val="18"/>
          </w:rPr>
          <w:t>CRUK website</w:t>
        </w:r>
      </w:hyperlink>
      <w:r w:rsidRPr="009D2AE0">
        <w:rPr>
          <w:rFonts w:ascii="Arial" w:hAnsi="Arial" w:cs="Arial"/>
          <w:color w:val="333333"/>
          <w:sz w:val="18"/>
          <w:szCs w:val="18"/>
        </w:rPr>
        <w:t> to identify potential gaps in their practice. If you want to set up a system, EMIS Web has a </w:t>
      </w:r>
      <w:hyperlink r:id="rId16" w:tgtFrame="_blank" w:history="1">
        <w:r w:rsidRPr="009D2AE0">
          <w:rPr>
            <w:rStyle w:val="Hyperlink"/>
            <w:rFonts w:ascii="Arial" w:hAnsi="Arial" w:cs="Arial"/>
            <w:color w:val="2E008B"/>
            <w:sz w:val="18"/>
            <w:szCs w:val="18"/>
          </w:rPr>
          <w:t>template</w:t>
        </w:r>
      </w:hyperlink>
      <w:r w:rsidRPr="009D2AE0">
        <w:rPr>
          <w:rFonts w:ascii="Arial" w:hAnsi="Arial" w:cs="Arial"/>
          <w:color w:val="333333"/>
          <w:sz w:val="18"/>
          <w:szCs w:val="18"/>
        </w:rPr>
        <w:t> and </w:t>
      </w:r>
      <w:hyperlink r:id="rId17" w:tgtFrame="_blank" w:history="1">
        <w:r w:rsidRPr="009D2AE0">
          <w:rPr>
            <w:rStyle w:val="Hyperlink"/>
            <w:rFonts w:ascii="Arial" w:hAnsi="Arial" w:cs="Arial"/>
            <w:color w:val="2E008B"/>
            <w:sz w:val="18"/>
            <w:szCs w:val="18"/>
          </w:rPr>
          <w:t>video</w:t>
        </w:r>
      </w:hyperlink>
      <w:r w:rsidRPr="009D2AE0">
        <w:rPr>
          <w:rFonts w:ascii="Arial" w:hAnsi="Arial" w:cs="Arial"/>
          <w:color w:val="333333"/>
          <w:sz w:val="18"/>
          <w:szCs w:val="18"/>
        </w:rPr>
        <w:t xml:space="preserve">. For </w:t>
      </w:r>
      <w:proofErr w:type="spellStart"/>
      <w:r w:rsidRPr="009D2AE0">
        <w:rPr>
          <w:rFonts w:ascii="Arial" w:hAnsi="Arial" w:cs="Arial"/>
          <w:color w:val="333333"/>
          <w:sz w:val="18"/>
          <w:szCs w:val="18"/>
        </w:rPr>
        <w:t>SystmOne</w:t>
      </w:r>
      <w:proofErr w:type="spellEnd"/>
      <w:r w:rsidRPr="009D2AE0">
        <w:rPr>
          <w:rFonts w:ascii="Arial" w:hAnsi="Arial" w:cs="Arial"/>
          <w:color w:val="333333"/>
          <w:sz w:val="18"/>
          <w:szCs w:val="18"/>
        </w:rPr>
        <w:t xml:space="preserve"> some practices use scheduled tasks and templates are available. (CRUK Strategic GP Rawan </w:t>
      </w:r>
      <w:proofErr w:type="spellStart"/>
      <w:r w:rsidRPr="009D2AE0">
        <w:rPr>
          <w:rFonts w:ascii="Arial" w:hAnsi="Arial" w:cs="Arial"/>
          <w:color w:val="333333"/>
          <w:sz w:val="18"/>
          <w:szCs w:val="18"/>
        </w:rPr>
        <w:t>Pandev</w:t>
      </w:r>
      <w:proofErr w:type="spellEnd"/>
      <w:r w:rsidRPr="009D2AE0">
        <w:rPr>
          <w:rFonts w:ascii="Arial" w:hAnsi="Arial" w:cs="Arial"/>
          <w:color w:val="333333"/>
          <w:sz w:val="18"/>
          <w:szCs w:val="18"/>
        </w:rPr>
        <w:t>)</w:t>
      </w:r>
    </w:p>
    <w:p w14:paraId="7CB119C4" w14:textId="77777777" w:rsidR="009D2AE0" w:rsidRPr="009D2AE0" w:rsidRDefault="009D2AE0" w:rsidP="009D2AE0">
      <w:pPr>
        <w:pStyle w:val="NormalWeb"/>
        <w:spacing w:before="0" w:beforeAutospacing="0" w:after="240" w:afterAutospacing="0"/>
        <w:jc w:val="both"/>
        <w:rPr>
          <w:rFonts w:ascii="Arial" w:hAnsi="Arial" w:cs="Arial"/>
          <w:color w:val="333333"/>
          <w:sz w:val="18"/>
          <w:szCs w:val="18"/>
        </w:rPr>
      </w:pPr>
      <w:r w:rsidRPr="009D2AE0">
        <w:rPr>
          <w:rFonts w:ascii="Arial" w:hAnsi="Arial" w:cs="Arial"/>
          <w:color w:val="333333"/>
          <w:sz w:val="18"/>
          <w:szCs w:val="18"/>
        </w:rPr>
        <w:t xml:space="preserve">How do you negotiate responsibility between patients and practice, in relation to the follow-ups? And in relation to attending the two </w:t>
      </w:r>
      <w:proofErr w:type="gramStart"/>
      <w:r w:rsidRPr="009D2AE0">
        <w:rPr>
          <w:rFonts w:ascii="Arial" w:hAnsi="Arial" w:cs="Arial"/>
          <w:color w:val="333333"/>
          <w:sz w:val="18"/>
          <w:szCs w:val="18"/>
        </w:rPr>
        <w:t>week</w:t>
      </w:r>
      <w:proofErr w:type="gramEnd"/>
      <w:r w:rsidRPr="009D2AE0">
        <w:rPr>
          <w:rFonts w:ascii="Arial" w:hAnsi="Arial" w:cs="Arial"/>
          <w:color w:val="333333"/>
          <w:sz w:val="18"/>
          <w:szCs w:val="18"/>
        </w:rPr>
        <w:t xml:space="preserve"> wait appointments for suspected cancer? </w:t>
      </w:r>
    </w:p>
    <w:p w14:paraId="31366F50"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 xml:space="preserve">This requires clinical judgement. Some patients respond to leaflets and clarity of purpose of the referral </w:t>
      </w:r>
      <w:proofErr w:type="spellStart"/>
      <w:r w:rsidRPr="009D2AE0">
        <w:rPr>
          <w:rFonts w:ascii="Arial" w:hAnsi="Arial" w:cs="Arial"/>
          <w:color w:val="333333"/>
          <w:sz w:val="18"/>
          <w:szCs w:val="18"/>
        </w:rPr>
        <w:t>ie</w:t>
      </w:r>
      <w:proofErr w:type="spellEnd"/>
      <w:r w:rsidRPr="009D2AE0">
        <w:rPr>
          <w:rFonts w:ascii="Arial" w:hAnsi="Arial" w:cs="Arial"/>
          <w:color w:val="333333"/>
          <w:sz w:val="18"/>
          <w:szCs w:val="18"/>
        </w:rPr>
        <w:t xml:space="preserve"> to exclude cancer. Others may need clear verbal information. Many of us use clinical system integrated text reminder systems. As </w:t>
      </w:r>
      <w:proofErr w:type="gramStart"/>
      <w:r w:rsidRPr="009D2AE0">
        <w:rPr>
          <w:rFonts w:ascii="Arial" w:hAnsi="Arial" w:cs="Arial"/>
          <w:color w:val="333333"/>
          <w:sz w:val="18"/>
          <w:szCs w:val="18"/>
        </w:rPr>
        <w:t>GPs ,</w:t>
      </w:r>
      <w:proofErr w:type="gramEnd"/>
      <w:r w:rsidRPr="009D2AE0">
        <w:rPr>
          <w:rFonts w:ascii="Arial" w:hAnsi="Arial" w:cs="Arial"/>
          <w:color w:val="333333"/>
          <w:sz w:val="18"/>
          <w:szCs w:val="18"/>
        </w:rPr>
        <w:t xml:space="preserve"> we do have a role in following up non-attenders for 2 week wait appointments. In my practice all such referrals are safety netted by secretaries. (CRUK Strategic GP Rawan </w:t>
      </w:r>
      <w:proofErr w:type="spellStart"/>
      <w:r w:rsidRPr="009D2AE0">
        <w:rPr>
          <w:rFonts w:ascii="Arial" w:hAnsi="Arial" w:cs="Arial"/>
          <w:color w:val="333333"/>
          <w:sz w:val="18"/>
          <w:szCs w:val="18"/>
        </w:rPr>
        <w:t>Pandev</w:t>
      </w:r>
      <w:proofErr w:type="spellEnd"/>
      <w:r w:rsidRPr="009D2AE0">
        <w:rPr>
          <w:rFonts w:ascii="Arial" w:hAnsi="Arial" w:cs="Arial"/>
          <w:color w:val="333333"/>
          <w:sz w:val="18"/>
          <w:szCs w:val="18"/>
        </w:rPr>
        <w:t>)</w:t>
      </w:r>
    </w:p>
    <w:p w14:paraId="10591453" w14:textId="77777777" w:rsidR="009D2AE0" w:rsidRPr="009D2AE0" w:rsidRDefault="009D2AE0" w:rsidP="009D2AE0">
      <w:pPr>
        <w:pStyle w:val="NormalWeb"/>
        <w:spacing w:before="0" w:beforeAutospacing="0" w:after="240" w:afterAutospacing="0"/>
        <w:jc w:val="both"/>
        <w:rPr>
          <w:rFonts w:ascii="Arial" w:hAnsi="Arial" w:cs="Arial"/>
          <w:color w:val="333333"/>
          <w:sz w:val="18"/>
          <w:szCs w:val="18"/>
        </w:rPr>
      </w:pPr>
      <w:r w:rsidRPr="009D2AE0">
        <w:rPr>
          <w:rFonts w:ascii="Arial" w:hAnsi="Arial" w:cs="Arial"/>
          <w:color w:val="333333"/>
          <w:sz w:val="18"/>
          <w:szCs w:val="18"/>
        </w:rPr>
        <w:t>Are there other safety netting actions that tends to get overlooked but have a potential for speeding up cancer diagnosis?</w:t>
      </w:r>
    </w:p>
    <w:p w14:paraId="446D79D6"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 xml:space="preserve">Proactive safety netting should be extended to suspected cancer referral attendance (combined with e-referrals), direct access diagnostics and vague symptoms. Also tracking patient attendance and outcomes for blood tests/ imaging/ endoscopy/ suspected cancer outpatient appointments using the relevant electronic healthcare record functionality or API /plug-in software. (Dr </w:t>
      </w:r>
      <w:proofErr w:type="spellStart"/>
      <w:r w:rsidRPr="009D2AE0">
        <w:rPr>
          <w:rFonts w:ascii="Arial" w:hAnsi="Arial" w:cs="Arial"/>
          <w:color w:val="333333"/>
          <w:sz w:val="18"/>
          <w:szCs w:val="18"/>
        </w:rPr>
        <w:t>Ishani</w:t>
      </w:r>
      <w:proofErr w:type="spellEnd"/>
      <w:r w:rsidRPr="009D2AE0">
        <w:rPr>
          <w:rFonts w:ascii="Arial" w:hAnsi="Arial" w:cs="Arial"/>
          <w:color w:val="333333"/>
          <w:sz w:val="18"/>
          <w:szCs w:val="18"/>
        </w:rPr>
        <w:t xml:space="preserve"> Patel)</w:t>
      </w:r>
    </w:p>
    <w:p w14:paraId="36E7DDBC" w14:textId="77777777" w:rsidR="009D2AE0" w:rsidRPr="009D2AE0" w:rsidRDefault="009D2AE0" w:rsidP="009D2AE0">
      <w:pPr>
        <w:pStyle w:val="NormalWeb"/>
        <w:spacing w:before="0" w:beforeAutospacing="0" w:after="240" w:afterAutospacing="0"/>
        <w:jc w:val="both"/>
        <w:rPr>
          <w:rFonts w:ascii="Arial" w:hAnsi="Arial" w:cs="Arial"/>
          <w:color w:val="333333"/>
          <w:sz w:val="18"/>
          <w:szCs w:val="18"/>
        </w:rPr>
      </w:pPr>
      <w:r w:rsidRPr="009D2AE0">
        <w:rPr>
          <w:rFonts w:ascii="Arial" w:hAnsi="Arial" w:cs="Arial"/>
          <w:color w:val="333333"/>
          <w:sz w:val="18"/>
          <w:szCs w:val="18"/>
        </w:rPr>
        <w:t>What are the three safety netting actions each GP can do, regardless of their IT or practice-level environment?</w:t>
      </w:r>
    </w:p>
    <w:p w14:paraId="78324AB6"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 xml:space="preserve">Each GP can consider “what if this patient does not attend for this test/appointment/follow up?” What could be the consequence? Results reported as normal, but persisting symptoms, merit continuing review by the GP. An example is normal first CXRs in patients in lung cancer (up to 25% of lung cancers in some series). Ask yourself if there is a robust system of following up investigations and patients in your practice. It can help to look at past Learning Events (previously called SEAs) to see if this has been an issue in the past. (CRUK Strategic GP Rawan </w:t>
      </w:r>
      <w:proofErr w:type="spellStart"/>
      <w:r w:rsidRPr="009D2AE0">
        <w:rPr>
          <w:rFonts w:ascii="Arial" w:hAnsi="Arial" w:cs="Arial"/>
          <w:color w:val="333333"/>
          <w:sz w:val="18"/>
          <w:szCs w:val="18"/>
        </w:rPr>
        <w:t>Pandev</w:t>
      </w:r>
      <w:proofErr w:type="spellEnd"/>
      <w:r w:rsidRPr="009D2AE0">
        <w:rPr>
          <w:rFonts w:ascii="Arial" w:hAnsi="Arial" w:cs="Arial"/>
          <w:color w:val="333333"/>
          <w:sz w:val="18"/>
          <w:szCs w:val="18"/>
        </w:rPr>
        <w:t>)</w:t>
      </w:r>
    </w:p>
    <w:p w14:paraId="3C692B04" w14:textId="77777777" w:rsidR="009D2AE0" w:rsidRPr="009D2AE0" w:rsidRDefault="009D2AE0" w:rsidP="009D2AE0">
      <w:pPr>
        <w:pStyle w:val="NormalWeb"/>
        <w:spacing w:before="0" w:beforeAutospacing="0" w:after="240" w:afterAutospacing="0"/>
        <w:jc w:val="both"/>
        <w:rPr>
          <w:rFonts w:ascii="Arial" w:hAnsi="Arial" w:cs="Arial"/>
          <w:color w:val="333333"/>
          <w:sz w:val="18"/>
          <w:szCs w:val="18"/>
        </w:rPr>
      </w:pPr>
      <w:r w:rsidRPr="009D2AE0">
        <w:rPr>
          <w:rFonts w:ascii="Arial" w:hAnsi="Arial" w:cs="Arial"/>
          <w:color w:val="333333"/>
          <w:sz w:val="18"/>
          <w:szCs w:val="18"/>
        </w:rPr>
        <w:t>In your view, what can be done to improve safety netting evidence and practice? </w:t>
      </w:r>
    </w:p>
    <w:p w14:paraId="29A41EE2"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We do safety netting in different ways and don’t talk about it, so it can be difficult to know exactly what is being done, and to identify and share good practice. We need to share best practice and generate evidence for which types of safety netting are most effective and for whom. Formal ways of collecting and analysing such data are being explored. (Dr Brian Nicholson)</w:t>
      </w:r>
    </w:p>
    <w:p w14:paraId="18418332" w14:textId="77777777" w:rsidR="009D2AE0" w:rsidRPr="009D2AE0" w:rsidRDefault="009D2AE0" w:rsidP="009D2AE0">
      <w:pPr>
        <w:pStyle w:val="NormalWeb"/>
        <w:spacing w:before="0" w:beforeAutospacing="0" w:after="240" w:afterAutospacing="0"/>
        <w:jc w:val="both"/>
        <w:rPr>
          <w:rFonts w:ascii="Arial" w:hAnsi="Arial" w:cs="Arial"/>
          <w:color w:val="333333"/>
          <w:sz w:val="18"/>
          <w:szCs w:val="18"/>
        </w:rPr>
      </w:pPr>
      <w:r w:rsidRPr="009D2AE0">
        <w:rPr>
          <w:rFonts w:ascii="Arial" w:hAnsi="Arial" w:cs="Arial"/>
          <w:color w:val="333333"/>
          <w:sz w:val="18"/>
          <w:szCs w:val="18"/>
        </w:rPr>
        <w:t>Finally, what is the most recent safety netting measure introduced in your practice?</w:t>
      </w:r>
    </w:p>
    <w:p w14:paraId="2452C665" w14:textId="77777777" w:rsidR="009D2AE0" w:rsidRPr="009D2AE0" w:rsidRDefault="009D2AE0" w:rsidP="009D2AE0">
      <w:pPr>
        <w:shd w:val="clear" w:color="auto" w:fill="E3E3E3"/>
        <w:jc w:val="both"/>
        <w:rPr>
          <w:rFonts w:ascii="Arial" w:hAnsi="Arial" w:cs="Arial"/>
          <w:color w:val="333333"/>
          <w:sz w:val="18"/>
          <w:szCs w:val="18"/>
        </w:rPr>
      </w:pPr>
      <w:r w:rsidRPr="009D2AE0">
        <w:rPr>
          <w:rFonts w:ascii="Arial" w:hAnsi="Arial" w:cs="Arial"/>
          <w:color w:val="333333"/>
          <w:sz w:val="18"/>
          <w:szCs w:val="18"/>
        </w:rPr>
        <w:t xml:space="preserve">We introduced a safety net prompt to help track advice and guidance requested from secondary care – this was suggested by our secretaries and has become routine for us. (CRUK Strategic GP Rawan </w:t>
      </w:r>
      <w:proofErr w:type="spellStart"/>
      <w:r w:rsidRPr="009D2AE0">
        <w:rPr>
          <w:rFonts w:ascii="Arial" w:hAnsi="Arial" w:cs="Arial"/>
          <w:color w:val="333333"/>
          <w:sz w:val="18"/>
          <w:szCs w:val="18"/>
        </w:rPr>
        <w:t>Pandev</w:t>
      </w:r>
      <w:proofErr w:type="spellEnd"/>
      <w:r w:rsidRPr="009D2AE0">
        <w:rPr>
          <w:rFonts w:ascii="Arial" w:hAnsi="Arial" w:cs="Arial"/>
          <w:color w:val="333333"/>
          <w:sz w:val="18"/>
          <w:szCs w:val="18"/>
        </w:rPr>
        <w:t>)</w:t>
      </w:r>
    </w:p>
    <w:p w14:paraId="6E1CC166" w14:textId="60344E47" w:rsidR="009D2AE0" w:rsidRDefault="009D2AE0" w:rsidP="009D2AE0">
      <w:pPr>
        <w:jc w:val="both"/>
      </w:pPr>
    </w:p>
    <w:p w14:paraId="51ABED1B" w14:textId="77777777" w:rsidR="009D2AE0" w:rsidRDefault="009D2AE0" w:rsidP="009D2AE0">
      <w:pPr>
        <w:jc w:val="both"/>
      </w:pPr>
    </w:p>
    <w:sectPr w:rsidR="009D2AE0">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B8B950" w14:textId="77777777" w:rsidR="00D6248A" w:rsidRDefault="00D6248A" w:rsidP="009D2AE0">
      <w:pPr>
        <w:spacing w:after="0" w:line="240" w:lineRule="auto"/>
      </w:pPr>
      <w:r>
        <w:separator/>
      </w:r>
    </w:p>
  </w:endnote>
  <w:endnote w:type="continuationSeparator" w:id="0">
    <w:p w14:paraId="0CFB879D" w14:textId="77777777" w:rsidR="00D6248A" w:rsidRDefault="00D6248A" w:rsidP="009D2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FCC45" w14:textId="332D2556" w:rsidR="009D2AE0" w:rsidRPr="009D2AE0" w:rsidRDefault="009D2AE0" w:rsidP="009D2AE0">
    <w:pPr>
      <w:jc w:val="center"/>
      <w:rPr>
        <w:sz w:val="16"/>
        <w:szCs w:val="16"/>
      </w:rPr>
    </w:pPr>
    <w:hyperlink r:id="rId1" w:anchor="safety_netting0" w:history="1">
      <w:r w:rsidRPr="009D2AE0">
        <w:rPr>
          <w:rStyle w:val="Hyperlink"/>
          <w:sz w:val="16"/>
          <w:szCs w:val="16"/>
        </w:rPr>
        <w:t>https://www.cancerresearchuk.org/health-professional/diagnosis/suspected-cancer-referral-best-practice/safety-netting#safety_netting0</w:t>
      </w:r>
    </w:hyperlink>
  </w:p>
  <w:p w14:paraId="79BF2E47" w14:textId="77777777" w:rsidR="009D2AE0" w:rsidRDefault="009D2A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DE2F52" w14:textId="77777777" w:rsidR="00D6248A" w:rsidRDefault="00D6248A" w:rsidP="009D2AE0">
      <w:pPr>
        <w:spacing w:after="0" w:line="240" w:lineRule="auto"/>
      </w:pPr>
      <w:r>
        <w:separator/>
      </w:r>
    </w:p>
  </w:footnote>
  <w:footnote w:type="continuationSeparator" w:id="0">
    <w:p w14:paraId="49E7C902" w14:textId="77777777" w:rsidR="00D6248A" w:rsidRDefault="00D6248A" w:rsidP="009D2A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137AD" w14:textId="2C2B9A50" w:rsidR="009D2AE0" w:rsidRPr="009D2AE0" w:rsidRDefault="009D2AE0" w:rsidP="009D2AE0">
    <w:pPr>
      <w:pStyle w:val="Heading1"/>
      <w:jc w:val="center"/>
      <w:rPr>
        <w:b/>
        <w:bCs/>
      </w:rPr>
    </w:pPr>
    <w:r w:rsidRPr="009D2AE0">
      <w:rPr>
        <w:b/>
        <w:bCs/>
      </w:rPr>
      <w:t>Safety Netting by CRUK</w:t>
    </w:r>
  </w:p>
  <w:p w14:paraId="5DD7ACCF" w14:textId="77777777" w:rsidR="009D2AE0" w:rsidRDefault="009D2A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46997"/>
    <w:multiLevelType w:val="multilevel"/>
    <w:tmpl w:val="2632B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E21769"/>
    <w:multiLevelType w:val="multilevel"/>
    <w:tmpl w:val="9F0AE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B3755F"/>
    <w:multiLevelType w:val="multilevel"/>
    <w:tmpl w:val="F9E6A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AE0"/>
    <w:rsid w:val="00694004"/>
    <w:rsid w:val="009D2AE0"/>
    <w:rsid w:val="00D62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92E0E"/>
  <w15:chartTrackingRefBased/>
  <w15:docId w15:val="{9E4A6D16-490B-42AB-A0CE-844D4F00C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2AE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D2AE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D2AE0"/>
    <w:rPr>
      <w:color w:val="0000FF"/>
      <w:u w:val="single"/>
    </w:rPr>
  </w:style>
  <w:style w:type="paragraph" w:styleId="NormalWeb">
    <w:name w:val="Normal (Web)"/>
    <w:basedOn w:val="Normal"/>
    <w:uiPriority w:val="99"/>
    <w:semiHidden/>
    <w:unhideWhenUsed/>
    <w:rsid w:val="009D2AE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D2AE0"/>
    <w:rPr>
      <w:b/>
      <w:bCs/>
    </w:rPr>
  </w:style>
  <w:style w:type="character" w:customStyle="1" w:styleId="Heading1Char">
    <w:name w:val="Heading 1 Char"/>
    <w:basedOn w:val="DefaultParagraphFont"/>
    <w:link w:val="Heading1"/>
    <w:uiPriority w:val="9"/>
    <w:rsid w:val="009D2AE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9D2A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2AE0"/>
  </w:style>
  <w:style w:type="paragraph" w:styleId="Footer">
    <w:name w:val="footer"/>
    <w:basedOn w:val="Normal"/>
    <w:link w:val="FooterChar"/>
    <w:uiPriority w:val="99"/>
    <w:unhideWhenUsed/>
    <w:rsid w:val="009D2A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2AE0"/>
  </w:style>
  <w:style w:type="character" w:customStyle="1" w:styleId="Heading2Char">
    <w:name w:val="Heading 2 Char"/>
    <w:basedOn w:val="DefaultParagraphFont"/>
    <w:link w:val="Heading2"/>
    <w:uiPriority w:val="9"/>
    <w:semiHidden/>
    <w:rsid w:val="009D2AE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615448">
      <w:bodyDiv w:val="1"/>
      <w:marLeft w:val="0"/>
      <w:marRight w:val="0"/>
      <w:marTop w:val="0"/>
      <w:marBottom w:val="0"/>
      <w:divBdr>
        <w:top w:val="none" w:sz="0" w:space="0" w:color="auto"/>
        <w:left w:val="none" w:sz="0" w:space="0" w:color="auto"/>
        <w:bottom w:val="none" w:sz="0" w:space="0" w:color="auto"/>
        <w:right w:val="none" w:sz="0" w:space="0" w:color="auto"/>
      </w:divBdr>
      <w:divsChild>
        <w:div w:id="403602530">
          <w:marLeft w:val="0"/>
          <w:marRight w:val="0"/>
          <w:marTop w:val="0"/>
          <w:marBottom w:val="0"/>
          <w:divBdr>
            <w:top w:val="none" w:sz="0" w:space="0" w:color="auto"/>
            <w:left w:val="none" w:sz="0" w:space="0" w:color="auto"/>
            <w:bottom w:val="none" w:sz="0" w:space="0" w:color="auto"/>
            <w:right w:val="none" w:sz="0" w:space="0" w:color="auto"/>
          </w:divBdr>
        </w:div>
        <w:div w:id="559483466">
          <w:marLeft w:val="0"/>
          <w:marRight w:val="0"/>
          <w:marTop w:val="0"/>
          <w:marBottom w:val="0"/>
          <w:divBdr>
            <w:top w:val="none" w:sz="0" w:space="0" w:color="auto"/>
            <w:left w:val="none" w:sz="0" w:space="0" w:color="auto"/>
            <w:bottom w:val="none" w:sz="0" w:space="0" w:color="auto"/>
            <w:right w:val="none" w:sz="0" w:space="0" w:color="auto"/>
          </w:divBdr>
        </w:div>
        <w:div w:id="5594676">
          <w:marLeft w:val="0"/>
          <w:marRight w:val="0"/>
          <w:marTop w:val="0"/>
          <w:marBottom w:val="0"/>
          <w:divBdr>
            <w:top w:val="none" w:sz="0" w:space="0" w:color="auto"/>
            <w:left w:val="none" w:sz="0" w:space="0" w:color="auto"/>
            <w:bottom w:val="none" w:sz="0" w:space="0" w:color="auto"/>
            <w:right w:val="none" w:sz="0" w:space="0" w:color="auto"/>
          </w:divBdr>
        </w:div>
      </w:divsChild>
    </w:div>
    <w:div w:id="407920277">
      <w:bodyDiv w:val="1"/>
      <w:marLeft w:val="0"/>
      <w:marRight w:val="0"/>
      <w:marTop w:val="0"/>
      <w:marBottom w:val="0"/>
      <w:divBdr>
        <w:top w:val="none" w:sz="0" w:space="0" w:color="auto"/>
        <w:left w:val="none" w:sz="0" w:space="0" w:color="auto"/>
        <w:bottom w:val="none" w:sz="0" w:space="0" w:color="auto"/>
        <w:right w:val="none" w:sz="0" w:space="0" w:color="auto"/>
      </w:divBdr>
    </w:div>
    <w:div w:id="1215117697">
      <w:bodyDiv w:val="1"/>
      <w:marLeft w:val="0"/>
      <w:marRight w:val="0"/>
      <w:marTop w:val="0"/>
      <w:marBottom w:val="0"/>
      <w:divBdr>
        <w:top w:val="none" w:sz="0" w:space="0" w:color="auto"/>
        <w:left w:val="none" w:sz="0" w:space="0" w:color="auto"/>
        <w:bottom w:val="none" w:sz="0" w:space="0" w:color="auto"/>
        <w:right w:val="none" w:sz="0" w:space="0" w:color="auto"/>
      </w:divBdr>
      <w:divsChild>
        <w:div w:id="564952044">
          <w:marLeft w:val="0"/>
          <w:marRight w:val="0"/>
          <w:marTop w:val="0"/>
          <w:marBottom w:val="0"/>
          <w:divBdr>
            <w:top w:val="none" w:sz="0" w:space="0" w:color="auto"/>
            <w:left w:val="none" w:sz="0" w:space="0" w:color="auto"/>
            <w:bottom w:val="none" w:sz="0" w:space="0" w:color="auto"/>
            <w:right w:val="none" w:sz="0" w:space="0" w:color="auto"/>
          </w:divBdr>
          <w:divsChild>
            <w:div w:id="1188569635">
              <w:marLeft w:val="0"/>
              <w:marRight w:val="0"/>
              <w:marTop w:val="0"/>
              <w:marBottom w:val="0"/>
              <w:divBdr>
                <w:top w:val="none" w:sz="0" w:space="0" w:color="auto"/>
                <w:left w:val="none" w:sz="0" w:space="0" w:color="auto"/>
                <w:bottom w:val="none" w:sz="0" w:space="0" w:color="auto"/>
                <w:right w:val="none" w:sz="0" w:space="0" w:color="auto"/>
              </w:divBdr>
              <w:divsChild>
                <w:div w:id="331177011">
                  <w:marLeft w:val="0"/>
                  <w:marRight w:val="0"/>
                  <w:marTop w:val="0"/>
                  <w:marBottom w:val="0"/>
                  <w:divBdr>
                    <w:top w:val="none" w:sz="0" w:space="0" w:color="auto"/>
                    <w:left w:val="none" w:sz="0" w:space="0" w:color="auto"/>
                    <w:bottom w:val="none" w:sz="0" w:space="0" w:color="auto"/>
                    <w:right w:val="none" w:sz="0" w:space="0" w:color="auto"/>
                  </w:divBdr>
                  <w:divsChild>
                    <w:div w:id="682247563">
                      <w:marLeft w:val="0"/>
                      <w:marRight w:val="0"/>
                      <w:marTop w:val="0"/>
                      <w:marBottom w:val="0"/>
                      <w:divBdr>
                        <w:top w:val="none" w:sz="0" w:space="0" w:color="auto"/>
                        <w:left w:val="none" w:sz="0" w:space="0" w:color="auto"/>
                        <w:bottom w:val="none" w:sz="0" w:space="0" w:color="auto"/>
                        <w:right w:val="none" w:sz="0" w:space="0" w:color="auto"/>
                      </w:divBdr>
                      <w:divsChild>
                        <w:div w:id="1786463730">
                          <w:marLeft w:val="0"/>
                          <w:marRight w:val="0"/>
                          <w:marTop w:val="150"/>
                          <w:marBottom w:val="150"/>
                          <w:divBdr>
                            <w:top w:val="none" w:sz="0" w:space="0" w:color="auto"/>
                            <w:left w:val="none" w:sz="0" w:space="0" w:color="auto"/>
                            <w:bottom w:val="none" w:sz="0" w:space="0" w:color="auto"/>
                            <w:right w:val="none" w:sz="0" w:space="0" w:color="auto"/>
                          </w:divBdr>
                        </w:div>
                        <w:div w:id="1846241436">
                          <w:marLeft w:val="0"/>
                          <w:marRight w:val="0"/>
                          <w:marTop w:val="150"/>
                          <w:marBottom w:val="150"/>
                          <w:divBdr>
                            <w:top w:val="none" w:sz="0" w:space="0" w:color="auto"/>
                            <w:left w:val="none" w:sz="0" w:space="0" w:color="auto"/>
                            <w:bottom w:val="none" w:sz="0" w:space="0" w:color="auto"/>
                            <w:right w:val="none" w:sz="0" w:space="0" w:color="auto"/>
                          </w:divBdr>
                        </w:div>
                        <w:div w:id="1182937527">
                          <w:marLeft w:val="0"/>
                          <w:marRight w:val="0"/>
                          <w:marTop w:val="150"/>
                          <w:marBottom w:val="150"/>
                          <w:divBdr>
                            <w:top w:val="none" w:sz="0" w:space="0" w:color="auto"/>
                            <w:left w:val="none" w:sz="0" w:space="0" w:color="auto"/>
                            <w:bottom w:val="none" w:sz="0" w:space="0" w:color="auto"/>
                            <w:right w:val="none" w:sz="0" w:space="0" w:color="auto"/>
                          </w:divBdr>
                        </w:div>
                        <w:div w:id="1375622328">
                          <w:marLeft w:val="0"/>
                          <w:marRight w:val="0"/>
                          <w:marTop w:val="150"/>
                          <w:marBottom w:val="150"/>
                          <w:divBdr>
                            <w:top w:val="none" w:sz="0" w:space="0" w:color="auto"/>
                            <w:left w:val="none" w:sz="0" w:space="0" w:color="auto"/>
                            <w:bottom w:val="none" w:sz="0" w:space="0" w:color="auto"/>
                            <w:right w:val="none" w:sz="0" w:space="0" w:color="auto"/>
                          </w:divBdr>
                        </w:div>
                        <w:div w:id="1186216346">
                          <w:marLeft w:val="0"/>
                          <w:marRight w:val="0"/>
                          <w:marTop w:val="150"/>
                          <w:marBottom w:val="150"/>
                          <w:divBdr>
                            <w:top w:val="none" w:sz="0" w:space="0" w:color="auto"/>
                            <w:left w:val="none" w:sz="0" w:space="0" w:color="auto"/>
                            <w:bottom w:val="none" w:sz="0" w:space="0" w:color="auto"/>
                            <w:right w:val="none" w:sz="0" w:space="0" w:color="auto"/>
                          </w:divBdr>
                        </w:div>
                        <w:div w:id="1841119489">
                          <w:marLeft w:val="0"/>
                          <w:marRight w:val="0"/>
                          <w:marTop w:val="150"/>
                          <w:marBottom w:val="150"/>
                          <w:divBdr>
                            <w:top w:val="none" w:sz="0" w:space="0" w:color="auto"/>
                            <w:left w:val="none" w:sz="0" w:space="0" w:color="auto"/>
                            <w:bottom w:val="none" w:sz="0" w:space="0" w:color="auto"/>
                            <w:right w:val="none" w:sz="0" w:space="0" w:color="auto"/>
                          </w:divBdr>
                        </w:div>
                        <w:div w:id="1331639849">
                          <w:marLeft w:val="0"/>
                          <w:marRight w:val="0"/>
                          <w:marTop w:val="150"/>
                          <w:marBottom w:val="150"/>
                          <w:divBdr>
                            <w:top w:val="none" w:sz="0" w:space="0" w:color="auto"/>
                            <w:left w:val="none" w:sz="0" w:space="0" w:color="auto"/>
                            <w:bottom w:val="none" w:sz="0" w:space="0" w:color="auto"/>
                            <w:right w:val="none" w:sz="0" w:space="0" w:color="auto"/>
                          </w:divBdr>
                        </w:div>
                        <w:div w:id="122815238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906143657">
      <w:bodyDiv w:val="1"/>
      <w:marLeft w:val="0"/>
      <w:marRight w:val="0"/>
      <w:marTop w:val="0"/>
      <w:marBottom w:val="0"/>
      <w:divBdr>
        <w:top w:val="none" w:sz="0" w:space="0" w:color="auto"/>
        <w:left w:val="none" w:sz="0" w:space="0" w:color="auto"/>
        <w:bottom w:val="none" w:sz="0" w:space="0" w:color="auto"/>
        <w:right w:val="none" w:sz="0" w:space="0" w:color="auto"/>
      </w:divBdr>
      <w:divsChild>
        <w:div w:id="81800010">
          <w:marLeft w:val="0"/>
          <w:marRight w:val="0"/>
          <w:marTop w:val="0"/>
          <w:marBottom w:val="0"/>
          <w:divBdr>
            <w:top w:val="none" w:sz="0" w:space="0" w:color="auto"/>
            <w:left w:val="none" w:sz="0" w:space="0" w:color="auto"/>
            <w:bottom w:val="none" w:sz="0" w:space="0" w:color="auto"/>
            <w:right w:val="none" w:sz="0" w:space="0" w:color="auto"/>
          </w:divBdr>
          <w:divsChild>
            <w:div w:id="316805591">
              <w:marLeft w:val="0"/>
              <w:marRight w:val="0"/>
              <w:marTop w:val="0"/>
              <w:marBottom w:val="300"/>
              <w:divBdr>
                <w:top w:val="none" w:sz="0" w:space="0" w:color="auto"/>
                <w:left w:val="none" w:sz="0" w:space="0" w:color="auto"/>
                <w:bottom w:val="none" w:sz="0" w:space="0" w:color="auto"/>
                <w:right w:val="none" w:sz="0" w:space="0" w:color="auto"/>
              </w:divBdr>
              <w:divsChild>
                <w:div w:id="678700579">
                  <w:marLeft w:val="0"/>
                  <w:marRight w:val="0"/>
                  <w:marTop w:val="0"/>
                  <w:marBottom w:val="0"/>
                  <w:divBdr>
                    <w:top w:val="none" w:sz="0" w:space="0" w:color="auto"/>
                    <w:left w:val="none" w:sz="0" w:space="0" w:color="auto"/>
                    <w:bottom w:val="none" w:sz="0" w:space="0" w:color="auto"/>
                    <w:right w:val="none" w:sz="0" w:space="0" w:color="auto"/>
                  </w:divBdr>
                  <w:divsChild>
                    <w:div w:id="1394158412">
                      <w:marLeft w:val="0"/>
                      <w:marRight w:val="0"/>
                      <w:marTop w:val="0"/>
                      <w:marBottom w:val="0"/>
                      <w:divBdr>
                        <w:top w:val="none" w:sz="0" w:space="0" w:color="auto"/>
                        <w:left w:val="none" w:sz="0" w:space="0" w:color="auto"/>
                        <w:bottom w:val="none" w:sz="0" w:space="0" w:color="auto"/>
                        <w:right w:val="none" w:sz="0" w:space="0" w:color="auto"/>
                      </w:divBdr>
                      <w:divsChild>
                        <w:div w:id="310450090">
                          <w:marLeft w:val="0"/>
                          <w:marRight w:val="0"/>
                          <w:marTop w:val="0"/>
                          <w:marBottom w:val="0"/>
                          <w:divBdr>
                            <w:top w:val="none" w:sz="0" w:space="0" w:color="auto"/>
                            <w:left w:val="none" w:sz="0" w:space="0" w:color="auto"/>
                            <w:bottom w:val="none" w:sz="0" w:space="0" w:color="auto"/>
                            <w:right w:val="none" w:sz="0" w:space="0" w:color="auto"/>
                          </w:divBdr>
                          <w:divsChild>
                            <w:div w:id="192868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ce.org.uk/guidance/ng12/chapter/Recommendations-on-patient-support-safety-netting-and-the-diagnostic-process" TargetMode="External"/><Relationship Id="rId13" Type="http://schemas.openxmlformats.org/officeDocument/2006/relationships/hyperlink" Target="https://www.cancerresearchuk.org/health-professional/cancer-statistics/cancer-stats-explained/statistics-terminology-explained"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cancerresearchuk.org/about-cancer/cancer-symptoms" TargetMode="External"/><Relationship Id="rId12" Type="http://schemas.openxmlformats.org/officeDocument/2006/relationships/hyperlink" Target="http://www.cancerreferral.scot.nhs.uk/media/1025/your-urgent-referral-explained-patient-information-leaflet.pdf" TargetMode="External"/><Relationship Id="rId17" Type="http://schemas.openxmlformats.org/officeDocument/2006/relationships/hyperlink" Target="https://www.youtube.com/watch?v=U4byHZwOZv8" TargetMode="External"/><Relationship Id="rId2" Type="http://schemas.openxmlformats.org/officeDocument/2006/relationships/styles" Target="styles.xml"/><Relationship Id="rId16" Type="http://schemas.openxmlformats.org/officeDocument/2006/relationships/hyperlink" Target="https://www.uclh.nhs.uk/OurServices/ServiceA-Z/Cancer/NCV/MICa/Documents/UCLH%20ESafety%20toolkit%204.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tions.cancerresearchuk.org/publication/your-urgent-referral-explained" TargetMode="External"/><Relationship Id="rId5" Type="http://schemas.openxmlformats.org/officeDocument/2006/relationships/footnotes" Target="footnotes.xml"/><Relationship Id="rId15" Type="http://schemas.openxmlformats.org/officeDocument/2006/relationships/hyperlink" Target="https://emea01.safelinks.protection.outlook.com/?url=https%3A%2F%2Fwww.cancerresearchuk.org%2Fsites%2Fdefault%2Ffiles%2Fsafety_netting_england_201607.pdf&amp;data=01%7C01%7CMilena.Simic-Lawson%40cancer.org.uk%7C76b02cdba3214d98b1ba08d67f672f68%7C4473892f71e046fc8dec273902b51349%7C1&amp;sdata=N3KHW0DnnQPFXKKGSQuWbI89WFrO7llVJ%2FNKB39m%2Byo%3D&amp;reserved=0" TargetMode="External"/><Relationship Id="rId10" Type="http://schemas.openxmlformats.org/officeDocument/2006/relationships/hyperlink" Target="http://www.cancerreferral.scot.nhs.uk/lung-cancer/?alttemplate=Guideline"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ancerreferral.scot.nhs.uk/patient-issues/" TargetMode="External"/><Relationship Id="rId14" Type="http://schemas.openxmlformats.org/officeDocument/2006/relationships/hyperlink" Target="https://www.cancerresearchuk.org/sites/default/files/england_fit_screening_vs._symptomatic_infographic.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cancerresearchuk.org/health-professional/diagnosis/suspected-cancer-referral-best-practice/safety-net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1743</Words>
  <Characters>9938</Characters>
  <Application>Microsoft Office Word</Application>
  <DocSecurity>0</DocSecurity>
  <Lines>82</Lines>
  <Paragraphs>23</Paragraphs>
  <ScaleCrop>false</ScaleCrop>
  <Company/>
  <LinksUpToDate>false</LinksUpToDate>
  <CharactersWithSpaces>11658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2020-03-31T17:29:00Z</dcterms:created>
  <dcterms:modified xsi:type="dcterms:W3CDTF">2020-03-31T17:33:00Z</dcterms:modified>
</cp:coreProperties>
</file>