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Style"/>
        <w:jc w:val="center"/>
      </w:pPr>
      <w:r>
        <w:rPr>
          <w:b w:val="0"/>
          <w:i w:val="0"/>
        </w:rPr>
        <w:t>Small Talk in the GP Consultation</w:t>
      </w:r>
    </w:p>
    <w:p>
      <w:pPr>
        <w:pStyle w:val="SubtitleStyle"/>
        <w:jc w:val="center"/>
      </w:pPr>
      <w:r>
        <w:rPr>
          <w:b w:val="0"/>
          <w:i w:val="0"/>
        </w:rPr>
        <w:t>An evidence-informed practical guide for building rapport without sounding like a weather app with a stethoscope.</w:t>
      </w:r>
    </w:p>
    <w:tbl>
      <w:tblPr>
        <w:tblW w:type="auto" w:w="0"/>
        <w:jc w:val="center"/>
        <w:tblLayout w:type="fixed"/>
        <w:tblLook w:firstColumn="1" w:firstRow="1" w:lastColumn="0" w:lastRow="0" w:noHBand="0" w:noVBand="1" w:val="04A0"/>
      </w:tblPr>
      <w:tblGrid>
        <w:gridCol w:w="9360"/>
      </w:tblGrid>
      <w:tr>
        <w:tc>
          <w:tcPr>
            <w:tcW w:type="dxa" w:w="10166"/>
            <w:shd w:fill="EAF7F1"/>
            <w:tcBorders>
              <w:left w:val="single" w:sz="12" w:color="9BCDBB"/>
              <w:top w:val="single" w:sz="8" w:color="EAF7F1"/>
              <w:right w:val="single" w:sz="8" w:color="EAF7F1"/>
              <w:bottom w:val="single" w:sz="8" w:color="EAF7F1"/>
            </w:tcBorders>
            <w:vAlign w:val="center"/>
          </w:tcPr>
          <w:p>
            <w:pPr>
              <w:pStyle w:val="SubsectionStyle"/>
              <w:spacing w:after="60"/>
            </w:pPr>
            <w:r>
              <w:t>At a glance</w:t>
            </w:r>
          </w:p>
          <w:p>
            <w:pPr>
              <w:pStyle w:val="BoxText"/>
              <w:ind w:left="72"/>
            </w:pPr>
            <w:r>
              <w:t>• Small talk is not the main event. It is a light relational tool that can help patients feel safe, known, and more willing to talk.</w:t>
            </w:r>
          </w:p>
          <w:p>
            <w:pPr>
              <w:pStyle w:val="BoxText"/>
              <w:ind w:left="72"/>
            </w:pPr>
            <w:r>
              <w:t>• The evidence is strongest for the wider value of good communication, trust, continuity, patient-centred care, and brief relational talk. Evidence specific to “small talk” is smaller and mainly observational or conversation-analytic.</w:t>
            </w:r>
          </w:p>
          <w:p>
            <w:pPr>
              <w:pStyle w:val="BoxText"/>
              <w:ind w:left="72"/>
            </w:pPr>
            <w:r>
              <w:t>• Natural small talk works best when it grows out of something already present in the room, the patient’s words, or the shared context.</w:t>
            </w:r>
          </w:p>
          <w:p>
            <w:pPr>
              <w:pStyle w:val="BoxText"/>
              <w:ind w:left="72"/>
            </w:pPr>
            <w:r>
              <w:t>• Forced chat, over-sharing, flirting, politics, comments on protected characteristics, and jokes at the patient’s expense are all bad ideas. Spectacularly bad ideas, in fact.</w:t>
            </w:r>
          </w:p>
        </w:tc>
      </w:tr>
    </w:tbl>
    <w:p/>
    <w:p>
      <w:pPr>
        <w:pStyle w:val="SectionStyle"/>
      </w:pPr>
      <w:r>
        <w:rPr>
          <w:b w:val="0"/>
          <w:i w:val="0"/>
        </w:rPr>
        <w:t>1. What do we mean by small talk?</w:t>
      </w:r>
    </w:p>
    <w:p>
      <w:pPr/>
      <w:r>
        <w:rPr>
          <w:b w:val="0"/>
          <w:i w:val="0"/>
        </w:rPr>
      </w:r>
      <w:r>
        <w:rPr>
          <w:b w:val="0"/>
        </w:rPr>
        <w:t xml:space="preserve">In this guide, </w:t>
      </w:r>
      <w:r>
        <w:rPr>
          <w:b/>
        </w:rPr>
        <w:t>small talk</w:t>
      </w:r>
      <w:r>
        <w:t xml:space="preserve"> means brief, low-stakes social talk that helps two people settle into a human conversation. It can happen at the start, while moving between tasks, or near the end. It is not meant to replace clinical work. It should support it.</w:t>
      </w:r>
    </w:p>
    <w:p>
      <w:pPr/>
      <w:r>
        <w:rPr>
          <w:b w:val="0"/>
          <w:i w:val="0"/>
        </w:rPr>
      </w:r>
      <w:r>
        <w:rPr>
          <w:b/>
        </w:rPr>
        <w:t xml:space="preserve">Examples: </w:t>
      </w:r>
      <w:r>
        <w:t>“How are you managing with that boot?” “Did your journey in go okay?” “I remember you were waiting to hear about your daughter’s exams - how did that go?”</w:t>
      </w:r>
    </w:p>
    <w:tbl>
      <w:tblPr>
        <w:tblW w:type="auto" w:w="0"/>
        <w:jc w:val="center"/>
        <w:tblLayout w:type="fixed"/>
        <w:tblLook w:firstColumn="1" w:firstRow="1" w:lastColumn="0" w:lastRow="0" w:noHBand="0" w:noVBand="1" w:val="04A0"/>
      </w:tblPr>
      <w:tblGrid>
        <w:gridCol w:w="9360"/>
      </w:tblGrid>
      <w:tr>
        <w:tc>
          <w:tcPr>
            <w:tcW w:type="dxa" w:w="10166"/>
            <w:shd w:fill="F7FBF9"/>
            <w:tcBorders>
              <w:left w:val="single" w:sz="12" w:color="D7EDE5"/>
              <w:top w:val="single" w:sz="8" w:color="F7FBF9"/>
              <w:right w:val="single" w:sz="8" w:color="F7FBF9"/>
              <w:bottom w:val="single" w:sz="8" w:color="F7FBF9"/>
            </w:tcBorders>
            <w:vAlign w:val="center"/>
          </w:tcPr>
          <w:p>
            <w:pPr>
              <w:pStyle w:val="SubsectionStyle"/>
              <w:spacing w:after="60"/>
            </w:pPr>
            <w:r>
              <w:t>Plain English translation of a few theory words</w:t>
            </w:r>
          </w:p>
          <w:p>
            <w:pPr>
              <w:pStyle w:val="BoxText"/>
              <w:ind w:left="72"/>
            </w:pPr>
            <w:r>
              <w:t>• Rapport: a feeling of ease, connection, and mutual respect.</w:t>
            </w:r>
          </w:p>
          <w:p>
            <w:pPr>
              <w:pStyle w:val="BoxText"/>
              <w:ind w:left="72"/>
            </w:pPr>
            <w:r>
              <w:t>• Phatic talk: social talk whose main job is not information but relationship. Think “How are you?” when it is used to warm the room, not gather data.</w:t>
            </w:r>
          </w:p>
          <w:p>
            <w:pPr>
              <w:pStyle w:val="BoxText"/>
              <w:ind w:left="72"/>
            </w:pPr>
            <w:r>
              <w:t>• Helical conversation: a live back-and-forth where each response grows out of what the other person just said. It feels natural because it is responsive, not scripted.</w:t>
            </w:r>
          </w:p>
          <w:p>
            <w:pPr>
              <w:pStyle w:val="BoxText"/>
              <w:ind w:left="72"/>
            </w:pPr>
            <w:r>
              <w:t>• Disattending: gently helping attention move away from something awkward or intrusive for a moment - for example during an examination or an embarrassing topic.</w:t>
            </w:r>
          </w:p>
          <w:p>
            <w:pPr>
              <w:pStyle w:val="BoxText"/>
              <w:ind w:left="72"/>
            </w:pPr>
            <w:r>
              <w:t>• Relational continuity: seeing a clinician you know and trust over time.</w:t>
            </w:r>
          </w:p>
        </w:tc>
      </w:tr>
    </w:tbl>
    <w:p/>
    <w:p>
      <w:pPr>
        <w:pStyle w:val="SectionStyle"/>
      </w:pPr>
      <w:r>
        <w:rPr>
          <w:b w:val="0"/>
          <w:i w:val="0"/>
        </w:rPr>
        <w:t>2. Why small talk can matter in general practice</w:t>
      </w:r>
    </w:p>
    <w:p>
      <w:pPr/>
      <w:r>
        <w:rPr>
          <w:b w:val="0"/>
          <w:i w:val="0"/>
        </w:rPr>
        <w:t>General practice is not only about diagnosis and treatment. It is also about relationship. Reviews of the patient-doctor relationship describe rapport as closely linked to trust, empathy, and respect, and continuity research in general practice shows that trusted relationships are associated with better experience, better adherence, and better outcomes.[1][2][3]</w:t>
      </w:r>
    </w:p>
    <w:p>
      <w:pPr/>
      <w:r>
        <w:rPr>
          <w:b w:val="0"/>
          <w:i w:val="0"/>
        </w:rPr>
        <w:t>Communication matters greatly to patients. Large observational work in primary care has found that doctor communication is one of the strongest drivers of overall satisfaction, and wider reviews show that patient-centred communication is linked with engagement, satisfaction, and other positive outcomes.[4][5]</w:t>
      </w:r>
    </w:p>
    <w:p>
      <w:pPr/>
      <w:r>
        <w:rPr>
          <w:b w:val="0"/>
          <w:i w:val="0"/>
        </w:rPr>
        <w:t>Small talk may look tiny, but tiny things can do useful work. Conversation-analytic research suggests that small talk can smooth openings, soften transitions, reduce social distance, support whole-person care, and sometimes help patients cope with embarrassment or the awkwardness of bodily examination.[6][7][8]</w:t>
      </w:r>
    </w:p>
    <w:p>
      <w:pPr/>
      <w:r>
        <w:rPr>
          <w:b w:val="0"/>
          <w:i w:val="0"/>
        </w:rPr>
        <w:t>That said, we should stay honest: there is not a giant trial proving that three remarks about the weather improve blood pressure control. The evidence for small talk itself is modest. The case for it rests on a combination of conversation studies, patient-experience research, and the broader evidence base for rapport, trust, continuity, and communication quality.[4][5][6]</w:t>
      </w:r>
    </w:p>
    <w:p>
      <w:pPr>
        <w:pStyle w:val="SectionStyle"/>
      </w:pPr>
      <w:r>
        <w:rPr>
          <w:b w:val="0"/>
          <w:i w:val="0"/>
        </w:rPr>
        <w:t>3. What Professor Kay Mohanna’s work adds</w:t>
      </w:r>
    </w:p>
    <w:p>
      <w:pPr/>
      <w:r>
        <w:rPr>
          <w:b w:val="0"/>
          <w:i w:val="0"/>
        </w:rPr>
        <w:t>Professor Kay Mohanna, now based at the University of Worcester in the West Midlands, has done important work exploring consultation talk, especially “conversationalising” in GP assessment settings.[9]</w:t>
      </w:r>
    </w:p>
    <w:p>
      <w:pPr/>
      <w:r>
        <w:rPr>
          <w:b w:val="0"/>
          <w:i w:val="0"/>
        </w:rPr>
        <w:t>In her doctoral work and later paper, Mohanna notes that successful candidates in GP consulting assessments appear to use “conversationalising strategies” and “small markers that make the consultation more informal”, while also warning that small talk is culturally sensitive and can be harder for doctors working in a second language or in unfamiliar social settings.[10][11]</w:t>
      </w:r>
    </w:p>
    <w:p>
      <w:pPr/>
      <w:r>
        <w:rPr>
          <w:b w:val="0"/>
          <w:i w:val="0"/>
        </w:rPr>
        <w:t>Her review of the literature suggests that small talk may help with transitions, whole-person understanding, facilitation of work-talk, “disattending” during awkward moments, and creation of partnership between doctor and patient. But she is equally clear that evidence is limited and that small talk can misfire if it feels risky, culturally off-key, or “de-doctoring”.[10]</w:t>
      </w:r>
    </w:p>
    <w:p>
      <w:pPr/>
      <w:r>
        <w:rPr>
          <w:b w:val="0"/>
          <w:i w:val="0"/>
        </w:rPr>
        <w:t>That balance is useful for trainees: small talk is not a performance trick. It is best understood as a gentle, responsive way of making the consultation more human.</w:t>
      </w:r>
    </w:p>
    <w:p>
      <w:pPr>
        <w:pStyle w:val="SectionStyle"/>
      </w:pPr>
      <w:r>
        <w:rPr>
          <w:b w:val="0"/>
          <w:i w:val="0"/>
        </w:rPr>
        <w:t>4. The helical conversation: why natural beats scripted</w:t>
      </w:r>
    </w:p>
    <w:p>
      <w:pPr/>
      <w:r>
        <w:rPr>
          <w:b w:val="0"/>
          <w:i w:val="0"/>
        </w:rPr>
        <w:t>A natural consultation is not linear like reading from cue cards. It is helical: the doctor responds to what the patient has just said, the patient responds back, and the conversation gradually circles deeper into the real problem. Small talk works best inside that helical flow, not bolted on like decorative tinsel.</w:t>
      </w:r>
    </w:p>
    <w:p>
      <w:pPr/>
      <w:r>
        <w:rPr>
          <w:b w:val="0"/>
          <w:i w:val="0"/>
        </w:rPr>
        <w:t>In practice this means: notice, pick up, and briefly follow what is already there. Do not parachute in random chat because you read somewhere that “rapport is important”. Patients can smell forced rapport the way dogs smell sausages.</w:t>
      </w:r>
    </w:p>
    <w:tbl>
      <w:tblPr>
        <w:tblW w:type="auto" w:w="0"/>
        <w:jc w:val="center"/>
        <w:tblLayout w:type="fixed"/>
        <w:tblLook w:firstColumn="1" w:firstRow="1" w:lastColumn="0" w:lastRow="0" w:noHBand="0" w:noVBand="1" w:val="04A0"/>
      </w:tblPr>
      <w:tblGrid>
        <w:gridCol w:w="9360"/>
      </w:tblGrid>
      <w:tr>
        <w:tc>
          <w:tcPr>
            <w:tcW w:type="dxa" w:w="10166"/>
            <w:shd w:fill="F2FBF7"/>
            <w:tcBorders>
              <w:left w:val="single" w:sz="12" w:color="8FD8BC"/>
              <w:top w:val="single" w:sz="8" w:color="F2FBF7"/>
              <w:right w:val="single" w:sz="8" w:color="F2FBF7"/>
              <w:bottom w:val="single" w:sz="8" w:color="F2FBF7"/>
            </w:tcBorders>
            <w:vAlign w:val="center"/>
          </w:tcPr>
          <w:p>
            <w:pPr>
              <w:pStyle w:val="SubsectionStyle"/>
              <w:spacing w:after="60"/>
            </w:pPr>
            <w:r>
              <w:t>A simple rule</w:t>
            </w:r>
          </w:p>
          <w:p>
            <w:pPr>
              <w:pStyle w:val="BoxText"/>
              <w:ind w:left="72"/>
            </w:pPr>
            <w:r>
              <w:t>• Use small talk when it helps the consultation move more smoothly or feel more humane.</w:t>
            </w:r>
          </w:p>
          <w:p>
            <w:pPr>
              <w:pStyle w:val="BoxText"/>
              <w:ind w:left="72"/>
            </w:pPr>
            <w:r>
              <w:t>• Drop it the moment the patient needs you to be serious, focused, or quiet.</w:t>
            </w:r>
          </w:p>
          <w:p>
            <w:pPr>
              <w:pStyle w:val="BoxText"/>
              <w:ind w:left="72"/>
            </w:pPr>
            <w:r>
              <w:t>• If in doubt, follow the patient’s tone.</w:t>
            </w:r>
          </w:p>
        </w:tc>
      </w:tr>
    </w:tbl>
    <w:p/>
    <w:p>
      <w:pPr>
        <w:pStyle w:val="SectionStyle"/>
      </w:pPr>
      <w:r>
        <w:rPr>
          <w:b w:val="0"/>
          <w:i w:val="0"/>
        </w:rPr>
        <w:t>5. What the evidence suggests small talk is good for</w:t>
      </w:r>
    </w:p>
    <w:p>
      <w:pPr/>
      <w:r>
        <w:rPr>
          <w:b w:val="0"/>
          <w:i w:val="0"/>
        </w:rPr>
      </w:r>
      <w:r>
        <w:rPr>
          <w:b/>
        </w:rPr>
        <w:t xml:space="preserve">Opening the consultation: </w:t>
      </w:r>
      <w:r>
        <w:t>Openings often contain social conversation or personal remarks that help establish agenda and a patient-centred tone.[6][12]</w:t>
      </w:r>
    </w:p>
    <w:p>
      <w:pPr/>
      <w:r>
        <w:rPr>
          <w:b w:val="0"/>
          <w:i w:val="0"/>
        </w:rPr>
      </w:r>
      <w:r>
        <w:rPr>
          <w:b/>
        </w:rPr>
        <w:t xml:space="preserve">Reducing social distance: </w:t>
      </w:r>
      <w:r>
        <w:t>Brief relational talk can make the doctor feel more approachable and interested in the patient as a person, not just as a problem list.[1][6][13]</w:t>
      </w:r>
    </w:p>
    <w:p>
      <w:pPr/>
      <w:r>
        <w:rPr>
          <w:b w:val="0"/>
          <w:i w:val="0"/>
        </w:rPr>
      </w:r>
      <w:r>
        <w:rPr>
          <w:b/>
        </w:rPr>
        <w:t xml:space="preserve">Building partnership: </w:t>
      </w:r>
      <w:r>
        <w:t>In a GP observational study, consultations that included social conversation were associated with higher partnership scores, though the study was not designed specifically to test small talk.[14][10]</w:t>
      </w:r>
    </w:p>
    <w:p>
      <w:pPr/>
      <w:r>
        <w:rPr>
          <w:b w:val="0"/>
          <w:i w:val="0"/>
        </w:rPr>
      </w:r>
      <w:r>
        <w:rPr>
          <w:b/>
        </w:rPr>
        <w:t xml:space="preserve">Supporting whole-person care: </w:t>
      </w:r>
      <w:r>
        <w:t>Small talk may reveal social context, identity, routines, family pressures, or other factors relevant to care.[10]</w:t>
      </w:r>
    </w:p>
    <w:p>
      <w:pPr/>
      <w:r>
        <w:rPr>
          <w:b w:val="0"/>
          <w:i w:val="0"/>
        </w:rPr>
      </w:r>
      <w:r>
        <w:rPr>
          <w:b/>
        </w:rPr>
        <w:t xml:space="preserve">Managing awkward moments: </w:t>
      </w:r>
      <w:r>
        <w:t>Conversation-analysis work suggests small talk can help during examinations or sensitive moments by gently shifting attention and reducing embarrassment.[7][8][10]</w:t>
      </w:r>
    </w:p>
    <w:p>
      <w:pPr/>
      <w:r>
        <w:rPr>
          <w:b w:val="0"/>
          <w:i w:val="0"/>
        </w:rPr>
      </w:r>
      <w:r>
        <w:rPr>
          <w:b/>
        </w:rPr>
        <w:t xml:space="preserve">Helping continuity feel real: </w:t>
      </w:r>
      <w:r>
        <w:t>Where there is an ongoing relationship, brief remembered details can signal that the patient is known and valued, which fits the wider continuity-and-trust literature.[2][3][13]</w:t>
      </w:r>
    </w:p>
    <w:p>
      <w:pPr>
        <w:pStyle w:val="SectionStyle"/>
      </w:pPr>
      <w:r>
        <w:rPr>
          <w:b w:val="0"/>
          <w:i w:val="0"/>
        </w:rPr>
        <w:t>6. What small talk is not for</w:t>
      </w:r>
    </w:p>
    <w:tbl>
      <w:tblPr>
        <w:tblW w:type="auto" w:w="0"/>
        <w:jc w:val="center"/>
        <w:tblLayout w:type="fixed"/>
        <w:tblLook w:firstColumn="1" w:firstRow="1" w:lastColumn="0" w:lastRow="0" w:noHBand="0" w:noVBand="1" w:val="04A0"/>
      </w:tblPr>
      <w:tblGrid>
        <w:gridCol w:w="9360"/>
      </w:tblGrid>
      <w:tr>
        <w:tc>
          <w:tcPr>
            <w:tcW w:type="dxa" w:w="10166"/>
            <w:shd w:fill="FFF4E8"/>
            <w:tcBorders>
              <w:left w:val="single" w:sz="12" w:color="E6A04B"/>
              <w:top w:val="single" w:sz="8" w:color="FFF4E8"/>
              <w:right w:val="single" w:sz="8" w:color="FFF4E8"/>
              <w:bottom w:val="single" w:sz="8" w:color="FFF4E8"/>
            </w:tcBorders>
            <w:vAlign w:val="center"/>
          </w:tcPr>
          <w:p>
            <w:pPr>
              <w:pStyle w:val="SubsectionStyle"/>
              <w:spacing w:after="60"/>
            </w:pPr>
            <w:r>
              <w:t>Do not use small talk to…</w:t>
            </w:r>
          </w:p>
          <w:p>
            <w:pPr>
              <w:pStyle w:val="BoxText"/>
              <w:ind w:left="72"/>
            </w:pPr>
            <w:r>
              <w:t>• avoid the real agenda</w:t>
            </w:r>
          </w:p>
          <w:p>
            <w:pPr>
              <w:pStyle w:val="BoxText"/>
              <w:ind w:left="72"/>
            </w:pPr>
            <w:r>
              <w:t>• fill every silence</w:t>
            </w:r>
          </w:p>
          <w:p>
            <w:pPr>
              <w:pStyle w:val="BoxText"/>
              <w:ind w:left="72"/>
            </w:pPr>
            <w:r>
              <w:t>• show off your personality</w:t>
            </w:r>
          </w:p>
          <w:p>
            <w:pPr>
              <w:pStyle w:val="BoxText"/>
              <w:ind w:left="72"/>
            </w:pPr>
            <w:r>
              <w:t>• seek validation or friendship from patients</w:t>
            </w:r>
          </w:p>
          <w:p>
            <w:pPr>
              <w:pStyle w:val="BoxText"/>
              <w:ind w:left="72"/>
            </w:pPr>
            <w:r>
              <w:t>• push your personal beliefs, including politics, religion, or moral views</w:t>
            </w:r>
          </w:p>
          <w:p>
            <w:pPr>
              <w:pStyle w:val="BoxText"/>
              <w:ind w:left="72"/>
            </w:pPr>
            <w:r>
              <w:t>• comment on protected characteristics or make assumptions based on them</w:t>
            </w:r>
          </w:p>
          <w:p>
            <w:pPr>
              <w:pStyle w:val="BoxText"/>
              <w:ind w:left="72"/>
            </w:pPr>
            <w:r>
              <w:t>• blur professional boundaries</w:t>
            </w:r>
          </w:p>
        </w:tc>
      </w:tr>
    </w:tbl>
    <w:p/>
    <w:p>
      <w:pPr/>
      <w:r>
        <w:rPr>
          <w:b w:val="0"/>
          <w:i w:val="0"/>
        </w:rPr>
        <w:t>GMC guidance is very clear that doctors must not let personal views affect the relationship with patients, must not discriminate, and must not express political, religious, or moral beliefs in ways that exploit vulnerability or cause distress.[15] The GMC also stresses the need to maintain professional boundaries and not pursue improper emotional or personal relationships with current patients.[16]</w:t>
      </w:r>
    </w:p>
    <w:p>
      <w:pPr/>
      <w:r>
        <w:rPr>
          <w:b w:val="0"/>
          <w:i w:val="0"/>
        </w:rPr>
        <w:t>So yes to warmth, no to chumminess. Yes to light humour, no to flirting. Yes to being human, no to making the patient manage your humanity.</w:t>
      </w:r>
    </w:p>
    <w:p>
      <w:pPr>
        <w:pStyle w:val="SectionStyle"/>
      </w:pPr>
      <w:r>
        <w:rPr>
          <w:b w:val="0"/>
          <w:i w:val="0"/>
        </w:rPr>
        <w:t>7. How to do it naturally</w:t>
      </w:r>
    </w:p>
    <w:p>
      <w:pPr/>
      <w:r>
        <w:rPr>
          <w:b w:val="0"/>
          <w:i w:val="0"/>
        </w:rPr>
      </w:r>
      <w:r>
        <w:t>• Start with what is already available: the room, the journey, a mobility aid, a cast, the child’s toy, a follow-up from last time, or something the patient has just said.</w:t>
      </w:r>
    </w:p>
    <w:p>
      <w:pPr/>
      <w:r>
        <w:rPr>
          <w:b w:val="0"/>
          <w:i w:val="0"/>
        </w:rPr>
      </w:r>
      <w:r>
        <w:t>• Keep it brief. One or two turns is often enough.</w:t>
      </w:r>
    </w:p>
    <w:p>
      <w:pPr/>
      <w:r>
        <w:rPr>
          <w:b w:val="0"/>
          <w:i w:val="0"/>
        </w:rPr>
      </w:r>
      <w:r>
        <w:t>• Make it patient-facing, not doctor-centred. Ask about them more than you talk about yourself.</w:t>
      </w:r>
    </w:p>
    <w:p>
      <w:pPr/>
      <w:r>
        <w:rPr>
          <w:b w:val="0"/>
          <w:i w:val="0"/>
        </w:rPr>
      </w:r>
      <w:r>
        <w:t>• Use it to open a door or ease a transition, then move back into the clinical task.</w:t>
      </w:r>
    </w:p>
    <w:p>
      <w:pPr/>
      <w:r>
        <w:rPr>
          <w:b w:val="0"/>
          <w:i w:val="0"/>
        </w:rPr>
      </w:r>
      <w:r>
        <w:t>• If the patient ignores the cue, do not force it. Just continue normally.</w:t>
      </w:r>
    </w:p>
    <w:p>
      <w:pPr/>
      <w:r>
        <w:rPr>
          <w:b w:val="0"/>
          <w:i w:val="0"/>
        </w:rPr>
      </w:r>
      <w:r>
        <w:t>• If the patient is distressed, angry, frightened, very unwell, or highly agenda-focused, skip the small talk and meet the emotion directly.</w:t>
      </w:r>
    </w:p>
    <w:p>
      <w:pPr>
        <w:pStyle w:val="SubsectionStyle"/>
      </w:pPr>
      <w:r>
        <w:rPr>
          <w:b w:val="0"/>
          <w:i w:val="0"/>
        </w:rPr>
        <w:t>Useful patterns</w:t>
      </w:r>
    </w:p>
    <w:p>
      <w:pPr/>
      <w:r>
        <w:rPr>
          <w:b w:val="0"/>
          <w:i w:val="0"/>
        </w:rPr>
      </w:r>
      <w:r>
        <w:rPr>
          <w:b/>
        </w:rPr>
        <w:t xml:space="preserve">Noticing: </w:t>
      </w:r>
      <w:r>
        <w:t xml:space="preserve">“I can see the knee brace has become part of the outfit now.”  </w:t>
      </w:r>
      <w:r>
        <w:rPr>
          <w:i/>
        </w:rPr>
        <w:t>(These are practice examples, not trial-proven scripts.)</w:t>
      </w:r>
    </w:p>
    <w:p>
      <w:pPr/>
      <w:r>
        <w:rPr>
          <w:b w:val="0"/>
          <w:i w:val="0"/>
        </w:rPr>
      </w:r>
      <w:r>
        <w:rPr>
          <w:b/>
        </w:rPr>
        <w:t xml:space="preserve">Following up: </w:t>
      </w:r>
      <w:r>
        <w:t xml:space="preserve">“Last time you were waiting for the MRI date - has that come through?”  </w:t>
      </w:r>
      <w:r>
        <w:rPr>
          <w:i/>
        </w:rPr>
        <w:t>(These are practice examples, not trial-proven scripts.)</w:t>
      </w:r>
    </w:p>
    <w:p>
      <w:pPr/>
      <w:r>
        <w:rPr>
          <w:b w:val="0"/>
          <w:i w:val="0"/>
        </w:rPr>
      </w:r>
      <w:r>
        <w:rPr>
          <w:b/>
        </w:rPr>
        <w:t xml:space="preserve">Shared immediate context: </w:t>
      </w:r>
      <w:r>
        <w:t xml:space="preserve">“Thank you for coming in on such a wet morning.”  </w:t>
      </w:r>
      <w:r>
        <w:rPr>
          <w:i/>
        </w:rPr>
        <w:t>(These are practice examples, not trial-proven scripts.)</w:t>
      </w:r>
    </w:p>
    <w:p>
      <w:pPr/>
      <w:r>
        <w:rPr>
          <w:b w:val="0"/>
          <w:i w:val="0"/>
        </w:rPr>
      </w:r>
      <w:r>
        <w:rPr>
          <w:b/>
        </w:rPr>
        <w:t xml:space="preserve">Gentle transition: </w:t>
      </w:r>
      <w:r>
        <w:t xml:space="preserve">“Right, let’s talk about the stomach pain properly.”  </w:t>
      </w:r>
      <w:r>
        <w:rPr>
          <w:i/>
        </w:rPr>
        <w:t>(These are practice examples, not trial-proven scripts.)</w:t>
      </w:r>
    </w:p>
    <w:p>
      <w:pPr/>
      <w:r>
        <w:rPr>
          <w:b w:val="0"/>
          <w:i w:val="0"/>
        </w:rPr>
      </w:r>
      <w:r>
        <w:rPr>
          <w:b/>
        </w:rPr>
        <w:t xml:space="preserve">Light, safe humour: </w:t>
      </w:r>
      <w:r>
        <w:t xml:space="preserve">“You and this cough seem to have become far too well acquainted.”  </w:t>
      </w:r>
      <w:r>
        <w:rPr>
          <w:i/>
        </w:rPr>
        <w:t>(These are practice examples, not trial-proven scripts.)</w:t>
      </w:r>
    </w:p>
    <w:p>
      <w:pPr>
        <w:pStyle w:val="SectionStyle"/>
      </w:pPr>
      <w:r>
        <w:rPr>
          <w:b w:val="0"/>
          <w:i w:val="0"/>
        </w:rPr>
        <w:t>8. What not to do</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trPr>
        <w:tc>
          <w:tcPr>
            <w:tcW w:type="dxa" w:w="2232"/>
            <w:shd w:fill="D0F5EB"/>
            <w:vAlign w:val="center"/>
            <w:tcBorders>
              <w:left w:val="single" w:sz="6" w:color="9BCDBB"/>
              <w:top w:val="single" w:sz="6" w:color="9BCDBB"/>
              <w:right w:val="single" w:sz="6" w:color="9BCDBB"/>
              <w:bottom w:val="single" w:sz="6" w:color="9BCDBB"/>
            </w:tcBorders>
          </w:tcPr>
          <w:p>
            <w:pPr>
              <w:jc w:val="center"/>
            </w:pPr>
            <w:r>
              <w:rPr>
                <w:b/>
                <w:color w:val="0F6449"/>
                <w:sz w:val="20"/>
              </w:rPr>
              <w:t>Pitfall</w:t>
            </w:r>
          </w:p>
        </w:tc>
        <w:tc>
          <w:tcPr>
            <w:tcW w:type="dxa" w:w="3528"/>
            <w:shd w:fill="D0F5EB"/>
            <w:vAlign w:val="center"/>
            <w:tcBorders>
              <w:left w:val="single" w:sz="6" w:color="9BCDBB"/>
              <w:top w:val="single" w:sz="6" w:color="9BCDBB"/>
              <w:right w:val="single" w:sz="6" w:color="9BCDBB"/>
              <w:bottom w:val="single" w:sz="6" w:color="9BCDBB"/>
            </w:tcBorders>
          </w:tcPr>
          <w:p>
            <w:pPr>
              <w:jc w:val="center"/>
            </w:pPr>
            <w:r>
              <w:rPr>
                <w:b/>
                <w:color w:val="0F6449"/>
                <w:sz w:val="20"/>
              </w:rPr>
              <w:t>Example</w:t>
            </w:r>
          </w:p>
        </w:tc>
        <w:tc>
          <w:tcPr>
            <w:tcW w:type="dxa" w:w="3600"/>
            <w:shd w:fill="D0F5EB"/>
            <w:vAlign w:val="center"/>
            <w:tcBorders>
              <w:left w:val="single" w:sz="6" w:color="9BCDBB"/>
              <w:top w:val="single" w:sz="6" w:color="9BCDBB"/>
              <w:right w:val="single" w:sz="6" w:color="9BCDBB"/>
              <w:bottom w:val="single" w:sz="6" w:color="9BCDBB"/>
            </w:tcBorders>
          </w:tcPr>
          <w:p>
            <w:pPr>
              <w:jc w:val="center"/>
            </w:pPr>
            <w:r>
              <w:rPr>
                <w:b/>
                <w:color w:val="0F6449"/>
                <w:sz w:val="20"/>
              </w:rPr>
              <w:t>Why it fails</w:t>
            </w:r>
          </w:p>
        </w:tc>
      </w:tr>
      <w:tr>
        <w:trPr>
          <w:cantSplit/>
        </w:trPr>
        <w:tc>
          <w:tcPr>
            <w:tcW w:type="dxa" w:w="2232"/>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Ask generic, random questions</w:t>
            </w:r>
          </w:p>
        </w:tc>
        <w:tc>
          <w:tcPr>
            <w:tcW w:type="dxa" w:w="352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“Any holidays planned then?” out of nowhere</w:t>
            </w:r>
          </w:p>
        </w:tc>
        <w:tc>
          <w:tcPr>
            <w:tcW w:type="dxa" w:w="3600"/>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Feels artificial and can sound like a script rather than genuine interest.</w:t>
            </w:r>
          </w:p>
        </w:tc>
      </w:tr>
      <w:tr>
        <w:trPr>
          <w:cantSplit/>
        </w:trPr>
        <w:tc>
          <w:tcPr>
            <w:tcW w:type="dxa" w:w="2232"/>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Comment on appearance or body</w:t>
            </w:r>
          </w:p>
        </w:tc>
        <w:tc>
          <w:tcPr>
            <w:tcW w:type="dxa" w:w="352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Remarks about weight, ageing, attractiveness, skin colour, hair, or clothing style</w:t>
            </w:r>
          </w:p>
        </w:tc>
        <w:tc>
          <w:tcPr>
            <w:tcW w:type="dxa" w:w="3600"/>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High risk of embarrassment, offence, or discrimination.</w:t>
            </w:r>
          </w:p>
        </w:tc>
      </w:tr>
      <w:tr>
        <w:trPr>
          <w:cantSplit/>
        </w:trPr>
        <w:tc>
          <w:tcPr>
            <w:tcW w:type="dxa" w:w="2232"/>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Bring in politics or polarising topics</w:t>
            </w:r>
          </w:p>
        </w:tc>
        <w:tc>
          <w:tcPr>
            <w:tcW w:type="dxa" w:w="352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“Can you believe this government?”</w:t>
            </w:r>
          </w:p>
        </w:tc>
        <w:tc>
          <w:tcPr>
            <w:tcW w:type="dxa" w:w="3600"/>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GMC guidance warns against expressing personal beliefs in ways that distress or exploit patients.[15]</w:t>
            </w:r>
          </w:p>
        </w:tc>
      </w:tr>
      <w:tr>
        <w:trPr>
          <w:cantSplit/>
        </w:trPr>
        <w:tc>
          <w:tcPr>
            <w:tcW w:type="dxa" w:w="2232"/>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Overshare about yourself</w:t>
            </w:r>
          </w:p>
        </w:tc>
        <w:tc>
          <w:tcPr>
            <w:tcW w:type="dxa" w:w="352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Long story about your own family or weekend</w:t>
            </w:r>
          </w:p>
        </w:tc>
        <w:tc>
          <w:tcPr>
            <w:tcW w:type="dxa" w:w="3600"/>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The consultation is for the patient, not your one-person podcast.</w:t>
            </w:r>
          </w:p>
        </w:tc>
      </w:tr>
      <w:tr>
        <w:trPr>
          <w:cantSplit/>
        </w:trPr>
        <w:tc>
          <w:tcPr>
            <w:tcW w:type="dxa" w:w="2232"/>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Use humour defensively</w:t>
            </w:r>
          </w:p>
        </w:tc>
        <w:tc>
          <w:tcPr>
            <w:tcW w:type="dxa" w:w="352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Jokes when the patient is angry, scared, or grieving</w:t>
            </w:r>
          </w:p>
        </w:tc>
        <w:tc>
          <w:tcPr>
            <w:tcW w:type="dxa" w:w="3600"/>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Can feel minimising or dismissive.</w:t>
            </w:r>
          </w:p>
        </w:tc>
      </w:tr>
      <w:tr>
        <w:trPr>
          <w:cantSplit/>
        </w:trPr>
        <w:tc>
          <w:tcPr>
            <w:tcW w:type="dxa" w:w="2232"/>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Keep chatting when a cue to suffering appears</w:t>
            </w:r>
          </w:p>
        </w:tc>
        <w:tc>
          <w:tcPr>
            <w:tcW w:type="dxa" w:w="352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Patient says “I’m actually really worried” and doctor keeps bantering</w:t>
            </w:r>
          </w:p>
        </w:tc>
        <w:tc>
          <w:tcPr>
            <w:tcW w:type="dxa" w:w="3600"/>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Missed cue. Relationship damage. Also not your finest hour.</w:t>
            </w:r>
          </w:p>
        </w:tc>
      </w:tr>
      <w:tr>
        <w:trPr>
          <w:cantSplit/>
        </w:trPr>
        <w:tc>
          <w:tcPr>
            <w:tcW w:type="dxa" w:w="2232"/>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Use small talk to dodge difficult tasks</w:t>
            </w:r>
          </w:p>
        </w:tc>
        <w:tc>
          <w:tcPr>
            <w:tcW w:type="dxa" w:w="352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Chatting instead of setting boundaries, safety-netting, or discussing uncertainty</w:t>
            </w:r>
          </w:p>
        </w:tc>
        <w:tc>
          <w:tcPr>
            <w:tcW w:type="dxa" w:w="3600"/>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Warmth should support the work, not replace it.</w:t>
            </w:r>
          </w:p>
        </w:tc>
      </w:tr>
    </w:tbl>
    <w:p/>
    <w:p>
      <w:pPr>
        <w:pStyle w:val="SectionStyle"/>
      </w:pPr>
      <w:r>
        <w:rPr>
          <w:b w:val="0"/>
          <w:i w:val="0"/>
        </w:rPr>
        <w:t>9. Situations where small talk is often ideal</w:t>
      </w:r>
    </w:p>
    <w:p>
      <w:pPr/>
      <w:r>
        <w:rPr>
          <w:b w:val="0"/>
          <w:i w:val="0"/>
        </w:rPr>
      </w:r>
      <w:r>
        <w:t>• A follow-up consultation with a known patient, especially when you can refer back to something they previously mentioned.</w:t>
      </w:r>
    </w:p>
    <w:p>
      <w:pPr/>
      <w:r>
        <w:rPr>
          <w:b w:val="0"/>
          <w:i w:val="0"/>
        </w:rPr>
      </w:r>
      <w:r>
        <w:t>• The first few seconds of a face-to-face consultation while sitting down, settling in, or noticing a visible cue.</w:t>
      </w:r>
    </w:p>
    <w:p>
      <w:pPr/>
      <w:r>
        <w:rPr>
          <w:b w:val="0"/>
          <w:i w:val="0"/>
        </w:rPr>
      </w:r>
      <w:r>
        <w:t>• During a physical examination or procedure where a little disattending may reduce awkwardness.</w:t>
      </w:r>
    </w:p>
    <w:p>
      <w:pPr/>
      <w:r>
        <w:rPr>
          <w:b w:val="0"/>
          <w:i w:val="0"/>
        </w:rPr>
      </w:r>
      <w:r>
        <w:t>• With children or parents, where commenting on a toy, school bag, drawing, or nickname may reduce fear.</w:t>
      </w:r>
    </w:p>
    <w:p>
      <w:pPr/>
      <w:r>
        <w:rPr>
          <w:b w:val="0"/>
          <w:i w:val="0"/>
        </w:rPr>
      </w:r>
      <w:r>
        <w:t>• When a patient has just made a small autobiographical comment: work, family, travel, gardening, sleep, a pet, a brace, a hearing aid, an upcoming event.</w:t>
      </w:r>
    </w:p>
    <w:p>
      <w:pPr/>
      <w:r>
        <w:rPr>
          <w:b w:val="0"/>
          <w:i w:val="0"/>
        </w:rPr>
      </w:r>
      <w:r>
        <w:t>• Near the end of a consultation, especially in continuity-based care, where one brief human note can leave the relationship warmer than it started.</w:t>
      </w:r>
    </w:p>
    <w:p>
      <w:pPr>
        <w:pStyle w:val="SubsectionStyle"/>
      </w:pPr>
      <w:r>
        <w:rPr>
          <w:b w:val="0"/>
          <w:i w:val="0"/>
        </w:rPr>
        <w:t>Situations where it is usually better to keep it very light or skip it</w:t>
      </w:r>
    </w:p>
    <w:p>
      <w:pPr/>
      <w:r>
        <w:rPr>
          <w:b w:val="0"/>
          <w:i w:val="0"/>
        </w:rPr>
      </w:r>
      <w:r>
        <w:t>• A very distressed or crying patient who needs emotional recognition, not scene-setting.</w:t>
      </w:r>
    </w:p>
    <w:p>
      <w:pPr/>
      <w:r>
        <w:rPr>
          <w:b w:val="0"/>
          <w:i w:val="0"/>
        </w:rPr>
      </w:r>
      <w:r>
        <w:t>• A patient in acute pain, short of breath, confused, or medically unstable.</w:t>
      </w:r>
    </w:p>
    <w:p>
      <w:pPr/>
      <w:r>
        <w:rPr>
          <w:b w:val="0"/>
          <w:i w:val="0"/>
        </w:rPr>
      </w:r>
      <w:r>
        <w:t>• A consultation about bereavement, trauma, safeguarding, abuse, self-harm, or severe conflict unless the patient themselves introduces a light moment.</w:t>
      </w:r>
    </w:p>
    <w:p>
      <w:pPr/>
      <w:r>
        <w:rPr>
          <w:b w:val="0"/>
          <w:i w:val="0"/>
        </w:rPr>
      </w:r>
      <w:r>
        <w:t>• A remote consultation where time is very tight and cues are harder to read. Conversation studies suggest face-to-face consultations offer more natural opportunities for social speech and rapport building than telephone calls.[17][18]</w:t>
      </w:r>
    </w:p>
    <w:p>
      <w:pPr>
        <w:pStyle w:val="SectionStyle"/>
      </w:pPr>
      <w:r>
        <w:rPr>
          <w:b w:val="0"/>
          <w:i w:val="0"/>
        </w:rPr>
        <w:t>10. Opportunity table: when the patient gives you an opening</w:t>
      </w:r>
    </w:p>
    <w:tbl>
      <w:tblPr>
        <w:tblStyle w:val="TableGrid"/>
        <w:tblW w:type="auto" w:w="0"/>
        <w:jc w:val="center"/>
        <w:tblLayout w:type="fixed"/>
        <w:tblLook w:firstColumn="1" w:firstRow="1" w:lastColumn="0" w:lastRow="0" w:noHBand="0" w:noVBand="1" w:val="04A0"/>
      </w:tblPr>
      <w:tblGrid>
        <w:gridCol w:w="3389"/>
        <w:gridCol w:w="3389"/>
        <w:gridCol w:w="3389"/>
      </w:tblGrid>
      <w:tr>
        <w:trPr>
          <w:tblHeader w:val="true"/>
        </w:trPr>
        <w:tc>
          <w:tcPr>
            <w:tcW w:type="dxa" w:w="3168"/>
            <w:shd w:fill="D0F5EB"/>
            <w:vAlign w:val="center"/>
            <w:tcBorders>
              <w:left w:val="single" w:sz="6" w:color="9BCDBB"/>
              <w:top w:val="single" w:sz="6" w:color="9BCDBB"/>
              <w:right w:val="single" w:sz="6" w:color="9BCDBB"/>
              <w:bottom w:val="single" w:sz="6" w:color="9BCDBB"/>
            </w:tcBorders>
          </w:tcPr>
          <w:p>
            <w:pPr>
              <w:jc w:val="center"/>
            </w:pPr>
            <w:r>
              <w:rPr>
                <w:b/>
                <w:color w:val="0F6449"/>
                <w:sz w:val="20"/>
              </w:rPr>
              <w:t>Patient cue</w:t>
            </w:r>
          </w:p>
        </w:tc>
        <w:tc>
          <w:tcPr>
            <w:tcW w:type="dxa" w:w="3528"/>
            <w:shd w:fill="D0F5EB"/>
            <w:vAlign w:val="center"/>
            <w:tcBorders>
              <w:left w:val="single" w:sz="6" w:color="9BCDBB"/>
              <w:top w:val="single" w:sz="6" w:color="9BCDBB"/>
              <w:right w:val="single" w:sz="6" w:color="9BCDBB"/>
              <w:bottom w:val="single" w:sz="6" w:color="9BCDBB"/>
            </w:tcBorders>
          </w:tcPr>
          <w:p>
            <w:pPr>
              <w:jc w:val="center"/>
            </w:pPr>
            <w:r>
              <w:rPr>
                <w:b/>
                <w:color w:val="0F6449"/>
                <w:sz w:val="20"/>
              </w:rPr>
              <w:t>Possible GP response</w:t>
            </w:r>
          </w:p>
        </w:tc>
        <w:tc>
          <w:tcPr>
            <w:tcW w:type="dxa" w:w="2664"/>
            <w:shd w:fill="D0F5EB"/>
            <w:vAlign w:val="center"/>
            <w:tcBorders>
              <w:left w:val="single" w:sz="6" w:color="9BCDBB"/>
              <w:top w:val="single" w:sz="6" w:color="9BCDBB"/>
              <w:right w:val="single" w:sz="6" w:color="9BCDBB"/>
              <w:bottom w:val="single" w:sz="6" w:color="9BCDBB"/>
            </w:tcBorders>
          </w:tcPr>
          <w:p>
            <w:pPr>
              <w:jc w:val="center"/>
            </w:pPr>
            <w:r>
              <w:rPr>
                <w:b/>
                <w:color w:val="0F6449"/>
                <w:sz w:val="20"/>
              </w:rPr>
              <w:t>Why it works</w:t>
            </w:r>
          </w:p>
        </w:tc>
      </w:tr>
      <w:tr>
        <w:trPr>
          <w:cantSplit/>
        </w:trPr>
        <w:tc>
          <w:tcPr>
            <w:tcW w:type="dxa" w:w="316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“Sorry I’m a bit late - parking was awful.”</w:t>
            </w:r>
          </w:p>
        </w:tc>
        <w:tc>
          <w:tcPr>
            <w:tcW w:type="dxa" w:w="352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“No problem - parking around surgeries seems to be a national endurance event. Come in.”</w:t>
            </w:r>
          </w:p>
        </w:tc>
        <w:tc>
          <w:tcPr>
            <w:tcW w:type="dxa" w:w="2664"/>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Acknowledges stress, uses mild humour, then moves on.</w:t>
            </w:r>
          </w:p>
        </w:tc>
      </w:tr>
      <w:tr>
        <w:trPr>
          <w:cantSplit/>
        </w:trPr>
        <w:tc>
          <w:tcPr>
            <w:tcW w:type="dxa" w:w="316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“I’ve come straight from work.”</w:t>
            </w:r>
          </w:p>
        </w:tc>
        <w:tc>
          <w:tcPr>
            <w:tcW w:type="dxa" w:w="352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“Long day already? What sort of work do you do?”</w:t>
            </w:r>
          </w:p>
        </w:tc>
        <w:tc>
          <w:tcPr>
            <w:tcW w:type="dxa" w:w="2664"/>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Patient-led and can reveal context relevant to symptoms or management.</w:t>
            </w:r>
          </w:p>
        </w:tc>
      </w:tr>
      <w:tr>
        <w:trPr>
          <w:cantSplit/>
        </w:trPr>
        <w:tc>
          <w:tcPr>
            <w:tcW w:type="dxa" w:w="316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“I didn’t sleep much because the baby was up all night.”</w:t>
            </w:r>
          </w:p>
        </w:tc>
        <w:tc>
          <w:tcPr>
            <w:tcW w:type="dxa" w:w="352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“That sounds exhausting. How old is the little dictator now?”</w:t>
            </w:r>
          </w:p>
        </w:tc>
        <w:tc>
          <w:tcPr>
            <w:tcW w:type="dxa" w:w="2664"/>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Light humour that stays kind and usually lands well with tired parents.</w:t>
            </w:r>
          </w:p>
        </w:tc>
      </w:tr>
      <w:tr>
        <w:trPr>
          <w:cantSplit/>
        </w:trPr>
        <w:tc>
          <w:tcPr>
            <w:tcW w:type="dxa" w:w="316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“This boot is driving me mad.”</w:t>
            </w:r>
          </w:p>
        </w:tc>
        <w:tc>
          <w:tcPr>
            <w:tcW w:type="dxa" w:w="352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“It does look rather committed to the relationship.”</w:t>
            </w:r>
          </w:p>
        </w:tc>
        <w:tc>
          <w:tcPr>
            <w:tcW w:type="dxa" w:w="2664"/>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Safe, object-focused humour rather than person-focused humour.</w:t>
            </w:r>
          </w:p>
        </w:tc>
      </w:tr>
      <w:tr>
        <w:trPr>
          <w:cantSplit/>
        </w:trPr>
        <w:tc>
          <w:tcPr>
            <w:tcW w:type="dxa" w:w="316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“My daughter’s wedding is in three weeks.”</w:t>
            </w:r>
          </w:p>
        </w:tc>
        <w:tc>
          <w:tcPr>
            <w:tcW w:type="dxa" w:w="352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“Ah, so the timing of all this is especially inconvenient.”</w:t>
            </w:r>
          </w:p>
        </w:tc>
        <w:tc>
          <w:tcPr>
            <w:tcW w:type="dxa" w:w="2664"/>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Uses the cue to deepen meaning, not just chat.</w:t>
            </w:r>
          </w:p>
        </w:tc>
      </w:tr>
      <w:tr>
        <w:trPr>
          <w:cantSplit/>
        </w:trPr>
        <w:tc>
          <w:tcPr>
            <w:tcW w:type="dxa" w:w="316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“I hate coming to the doctors.”</w:t>
            </w:r>
          </w:p>
        </w:tc>
        <w:tc>
          <w:tcPr>
            <w:tcW w:type="dxa" w:w="352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“A lot of people do. We’ll keep it as straightforward as we can.”</w:t>
            </w:r>
          </w:p>
        </w:tc>
        <w:tc>
          <w:tcPr>
            <w:tcW w:type="dxa" w:w="2664"/>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Not exactly small talk, but a relational response that lowers threat.</w:t>
            </w:r>
          </w:p>
        </w:tc>
      </w:tr>
      <w:tr>
        <w:trPr>
          <w:cantSplit/>
        </w:trPr>
        <w:tc>
          <w:tcPr>
            <w:tcW w:type="dxa" w:w="316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Child hides behind parent</w:t>
            </w:r>
          </w:p>
        </w:tc>
        <w:tc>
          <w:tcPr>
            <w:tcW w:type="dxa" w:w="352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“I can see I need to win over the boss first. Who have you brought with you today?”</w:t>
            </w:r>
          </w:p>
        </w:tc>
        <w:tc>
          <w:tcPr>
            <w:tcW w:type="dxa" w:w="2664"/>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Playful, gentle, child-centred opening.</w:t>
            </w:r>
          </w:p>
        </w:tc>
      </w:tr>
      <w:tr>
        <w:trPr>
          <w:cantSplit/>
        </w:trPr>
        <w:tc>
          <w:tcPr>
            <w:tcW w:type="dxa" w:w="316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“I was hoping you’d be in today - you know my history.”</w:t>
            </w:r>
          </w:p>
        </w:tc>
        <w:tc>
          <w:tcPr>
            <w:tcW w:type="dxa" w:w="352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“I’m glad we’ve got that continuity today. Tell me what’s been happening.”</w:t>
            </w:r>
          </w:p>
        </w:tc>
        <w:tc>
          <w:tcPr>
            <w:tcW w:type="dxa" w:w="2664"/>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Explicitly values the relationship, then returns to task.</w:t>
            </w:r>
          </w:p>
        </w:tc>
      </w:tr>
      <w:tr>
        <w:trPr>
          <w:cantSplit/>
        </w:trPr>
        <w:tc>
          <w:tcPr>
            <w:tcW w:type="dxa" w:w="316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“Sorry, my hearing aid is playing up.”</w:t>
            </w:r>
          </w:p>
        </w:tc>
        <w:tc>
          <w:tcPr>
            <w:tcW w:type="dxa" w:w="3528"/>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“Thanks for telling me - we’ll go a bit slower and make sure I’m facing you.”</w:t>
            </w:r>
          </w:p>
        </w:tc>
        <w:tc>
          <w:tcPr>
            <w:tcW w:type="dxa" w:w="2664"/>
            <w:shd w:fill="FBFDFC"/>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Shows adaptation and respect. The warmth is in the behaviour.</w:t>
            </w:r>
          </w:p>
        </w:tc>
      </w:tr>
      <w:tr>
        <w:trPr>
          <w:cantSplit/>
        </w:trPr>
        <w:tc>
          <w:tcPr>
            <w:tcW w:type="dxa" w:w="316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“I’m embarrassed to talk about this.”</w:t>
            </w:r>
          </w:p>
        </w:tc>
        <w:tc>
          <w:tcPr>
            <w:tcW w:type="dxa" w:w="3528"/>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“You don’t need to apologise. We talk about all sorts in here, and we’ll go at your pace.”</w:t>
            </w:r>
          </w:p>
        </w:tc>
        <w:tc>
          <w:tcPr>
            <w:tcW w:type="dxa" w:w="2664"/>
            <w:vAlign w:val="center"/>
            <w:tcBorders>
              <w:left w:val="single" w:sz="4" w:color="D6E9E2"/>
              <w:top w:val="single" w:sz="4" w:color="D6E9E2"/>
              <w:right w:val="single" w:sz="4" w:color="D6E9E2"/>
              <w:bottom w:val="single" w:sz="4" w:color="D6E9E2"/>
            </w:tcBorders>
          </w:tcPr>
          <w:p>
            <w:pPr>
              <w:spacing w:after="40" w:before="20" w:line="259" w:lineRule="auto"/>
            </w:pPr>
            <w:r>
              <w:rPr>
                <w:sz w:val="19"/>
              </w:rPr>
              <w:t>Again, this is more than small talk: it is relational safety.</w:t>
            </w:r>
          </w:p>
        </w:tc>
      </w:tr>
    </w:tbl>
    <w:p/>
    <w:p>
      <w:pPr>
        <w:pStyle w:val="SectionStyle"/>
      </w:pPr>
      <w:r>
        <w:rPr>
          <w:b w:val="0"/>
          <w:i w:val="0"/>
        </w:rPr>
        <w:t>11. Mild humour: when it helps and when it hurts</w:t>
      </w:r>
    </w:p>
    <w:p>
      <w:pPr/>
      <w:r>
        <w:rPr>
          <w:b w:val="0"/>
          <w:i w:val="0"/>
        </w:rPr>
        <w:t>Humour can reduce tension and create connection, but it is always context-sensitive. Studies in healthcare suggest humour is common and can support rapport, though patients and clinicians do not always perceive it in the same way.[19][20]</w:t>
      </w:r>
    </w:p>
    <w:p>
      <w:pPr/>
      <w:r>
        <w:rPr>
          <w:b w:val="0"/>
          <w:i w:val="0"/>
        </w:rPr>
        <w:t>The safest humour is usually about the situation, the object, or yourself very lightly - not about the patient’s identity, body, beliefs, losses, politics, or protected characteristics. “This plaster has really committed itself to your leg” is safer than any joke about age, weight, race, religion, sexuality, gender, disability, or appearance.</w:t>
      </w:r>
    </w:p>
    <w:p>
      <w:pPr/>
      <w:r>
        <w:rPr>
          <w:b w:val="0"/>
          <w:i w:val="0"/>
        </w:rPr>
        <w:t>A practical test: if the joke goes nowhere, can you recover instantly without awkwardness? If not, do not make it.</w:t>
      </w:r>
    </w:p>
    <w:p>
      <w:pPr>
        <w:pStyle w:val="SectionStyle"/>
      </w:pPr>
      <w:r>
        <w:rPr>
          <w:b w:val="0"/>
          <w:i w:val="0"/>
        </w:rPr>
        <w:t>12. What clinicians talk about in public forums</w:t>
      </w:r>
    </w:p>
    <w:p>
      <w:pPr/>
      <w:r>
        <w:rPr>
          <w:b w:val="0"/>
          <w:i w:val="0"/>
        </w:rPr>
        <w:t>Publicly accessible forum discussions, especially on Reddit, show a strikingly similar pattern. Clinicians tend to value brief, patient-specific, natural rapport-building, but warn strongly against letting the consultation drift into endless chat or awkwardly personal territory. Several posts emphasise that a warm opening, clear expectations, and gentle steering preserve rapport better than either robotic efficiency or uncontrolled small talk.[21][22][23][24]</w:t>
      </w:r>
    </w:p>
    <w:p>
      <w:pPr/>
      <w:r>
        <w:rPr>
          <w:b w:val="0"/>
          <w:i w:val="0"/>
        </w:rPr>
        <w:t>This does not count as high-grade evidence. It is better thought of as field wisdom: useful, messy, and occasionally very funny.</w:t>
      </w:r>
    </w:p>
    <w:p>
      <w:pPr>
        <w:pStyle w:val="SectionStyle"/>
      </w:pPr>
      <w:r>
        <w:rPr>
          <w:b w:val="0"/>
          <w:i w:val="0"/>
        </w:rPr>
        <w:t>13. Practical drills for trainees</w:t>
      </w:r>
    </w:p>
    <w:p>
      <w:pPr/>
      <w:r>
        <w:rPr>
          <w:b w:val="0"/>
          <w:i w:val="0"/>
        </w:rPr>
        <w:t>• Before clinic, aim for one remembered detail in each continuity consultation. Keep it small and relevant.</w:t>
      </w:r>
    </w:p>
    <w:p>
      <w:pPr/>
      <w:r>
        <w:rPr>
          <w:b w:val="0"/>
          <w:i w:val="0"/>
        </w:rPr>
        <w:t>• In one session, practise using only patient-led small talk: no random topics.</w:t>
      </w:r>
    </w:p>
    <w:p>
      <w:pPr/>
      <w:r>
        <w:rPr>
          <w:b w:val="0"/>
          <w:i w:val="0"/>
        </w:rPr>
        <w:t>• Record yourself or reflect afterwards: did your small talk open the consultation, smooth a transition, or reveal context? If not, it may just have been noise.</w:t>
      </w:r>
    </w:p>
    <w:p>
      <w:pPr/>
      <w:r>
        <w:rPr>
          <w:b w:val="0"/>
          <w:i w:val="0"/>
        </w:rPr>
        <w:t>• Practise stopping after one or two social turns and re-entering the task: “Right - let’s come back to the headaches.”</w:t>
      </w:r>
    </w:p>
    <w:p>
      <w:pPr/>
      <w:r>
        <w:rPr>
          <w:b w:val="0"/>
          <w:i w:val="0"/>
        </w:rPr>
        <w:t>• Notice your rescue habits. Many trainees use extra chat when anxious. Warmth is good; avoidance is not.</w:t>
      </w:r>
    </w:p>
    <w:p>
      <w:pPr>
        <w:pStyle w:val="SectionStyle"/>
      </w:pPr>
      <w:r>
        <w:rPr>
          <w:b w:val="0"/>
          <w:i w:val="0"/>
        </w:rPr>
        <w:t>14. Bottom line</w:t>
      </w:r>
    </w:p>
    <w:p>
      <w:pPr/>
      <w:r>
        <w:rPr>
          <w:b w:val="0"/>
          <w:i w:val="0"/>
        </w:rPr>
        <w:t>Small talk in general practice is best seen as relational seasoning, not the whole meal. Used lightly, naturally, and responsively, it can help build rapport, soften transitions, and make patients feel known. Forced small talk does the opposite. The aim is not to sound chatty. The aim is to sound human, interested, and safe.</w:t>
      </w:r>
    </w:p>
    <w:p>
      <w:pPr>
        <w:pStyle w:val="SectionStyle"/>
      </w:pPr>
      <w:r>
        <w:rPr>
          <w:b w:val="0"/>
          <w:i w:val="0"/>
        </w:rPr>
        <w:t>References and sources</w:t>
      </w:r>
    </w:p>
    <w:p>
      <w:pPr>
        <w:pStyle w:val="TinyRef"/>
      </w:pPr>
      <w:r>
        <w:t xml:space="preserve">[1] English W et al. The meaning of rapport for patients, families, and healthcare providers: a scoping review (2022). </w:t>
      </w:r>
      <w:hyperlink r:id="rId9">
        <w:r>
          <w:rPr>
            <w:color w:val="0F6449"/>
            <w:u w:val="none"/>
          </w:rPr>
          <w:t>https://www.sciencedirect.com/science/article/abs/pii/S0738399121004018</w:t>
        </w:r>
      </w:hyperlink>
    </w:p>
    <w:p>
      <w:pPr>
        <w:pStyle w:val="TinyRef"/>
      </w:pPr>
      <w:r>
        <w:t xml:space="preserve">[2] Murphy M et al. Relational continuity and patients’ perception of GP trust and communication (BJGP, 2020). </w:t>
      </w:r>
      <w:hyperlink r:id="rId10">
        <w:r>
          <w:rPr>
            <w:color w:val="0F6449"/>
            <w:u w:val="none"/>
          </w:rPr>
          <w:t>https://bjgp.org/content/70/698/e676</w:t>
        </w:r>
      </w:hyperlink>
    </w:p>
    <w:p>
      <w:pPr>
        <w:pStyle w:val="TinyRef"/>
      </w:pPr>
      <w:r>
        <w:t xml:space="preserve">[3] Nuffield Trust. Improving access and continuity in general practice: evidence review (2018/2019 update). </w:t>
      </w:r>
      <w:hyperlink r:id="rId11">
        <w:r>
          <w:rPr>
            <w:color w:val="0F6449"/>
            <w:u w:val="none"/>
          </w:rPr>
          <w:t>https://www.nuffieldtrust.org.uk/sites/default/files/2019-01/improving-access-and-continuity-in-general-practice-evidence-review-final-update-01-2019.pdf</w:t>
        </w:r>
      </w:hyperlink>
    </w:p>
    <w:p>
      <w:pPr>
        <w:pStyle w:val="TinyRef"/>
      </w:pPr>
      <w:r>
        <w:t xml:space="preserve">[4] Paddison CAM et al. Drivers of overall satisfaction with primary care (2013). </w:t>
      </w:r>
      <w:hyperlink r:id="rId12">
        <w:r>
          <w:rPr>
            <w:color w:val="0F6449"/>
            <w:u w:val="none"/>
          </w:rPr>
          <w:t>https://pmc.ncbi.nlm.nih.gov/articles/PMC5060812/</w:t>
        </w:r>
      </w:hyperlink>
    </w:p>
    <w:p>
      <w:pPr>
        <w:pStyle w:val="TinyRef"/>
      </w:pPr>
      <w:r>
        <w:t xml:space="preserve">[5] Çakmak C et al. The effects of patient-centred communication on patient outcomes: systematic review/meta-analysis (2024). </w:t>
      </w:r>
      <w:hyperlink r:id="rId13">
        <w:r>
          <w:rPr>
            <w:color w:val="0F6449"/>
            <w:u w:val="none"/>
          </w:rPr>
          <w:t>https://pmc.ncbi.nlm.nih.gov/articles/PMC10901059/</w:t>
        </w:r>
      </w:hyperlink>
    </w:p>
    <w:p>
      <w:pPr>
        <w:pStyle w:val="TinyRef"/>
      </w:pPr>
      <w:r>
        <w:t xml:space="preserve">[6] Hudak PL &amp; Maynard DW. An interactional approach to conceptualising small talk in medical interactions (2011). </w:t>
      </w:r>
      <w:hyperlink r:id="rId14">
        <w:r>
          <w:rPr>
            <w:color w:val="0F6449"/>
            <w:u w:val="none"/>
          </w:rPr>
          <w:t>https://pmc.ncbi.nlm.nih.gov/articles/PMC3609551/</w:t>
        </w:r>
      </w:hyperlink>
    </w:p>
    <w:p>
      <w:pPr>
        <w:pStyle w:val="TinyRef"/>
      </w:pPr>
      <w:r>
        <w:t xml:space="preserve">[7] Maynard DW &amp; Hudak PL. Small talk, high stakes: interactional disattentiveness in doctor-patient interaction (2008). </w:t>
      </w:r>
      <w:hyperlink r:id="rId15">
        <w:r>
          <w:rPr>
            <w:color w:val="0F6449"/>
            <w:u w:val="none"/>
          </w:rPr>
          <w:t>https://scispace.com/pdf/small-talk-high-stakes-interactional-disattentiveness-in-the-i42tc5xm5h.pdf</w:t>
        </w:r>
      </w:hyperlink>
    </w:p>
    <w:p>
      <w:pPr>
        <w:pStyle w:val="TinyRef"/>
      </w:pPr>
      <w:r>
        <w:t xml:space="preserve">[8] Granek-Catarivas M et al. Use of humour in primary care: different perceptions among patients and physicians (2005). </w:t>
      </w:r>
      <w:hyperlink r:id="rId16">
        <w:r>
          <w:rPr>
            <w:color w:val="0F6449"/>
            <w:u w:val="none"/>
          </w:rPr>
          <w:t>https://pmc.ncbi.nlm.nih.gov/articles/PMC1743193/</w:t>
        </w:r>
      </w:hyperlink>
    </w:p>
    <w:p>
      <w:pPr>
        <w:pStyle w:val="TinyRef"/>
      </w:pPr>
      <w:r>
        <w:t xml:space="preserve">[9] University of Worcester. Professor Kay Mohanna profile. </w:t>
      </w:r>
      <w:hyperlink r:id="rId17">
        <w:r>
          <w:rPr>
            <w:color w:val="0F6449"/>
            <w:u w:val="none"/>
          </w:rPr>
          <w:t>https://www.worcester.ac.uk/about/profiles/kay-mohanna</w:t>
        </w:r>
      </w:hyperlink>
    </w:p>
    <w:p>
      <w:pPr>
        <w:pStyle w:val="TinyRef"/>
      </w:pPr>
      <w:r>
        <w:t xml:space="preserve">[10] Mohanna K. UCL doctoral thesis: consultation talk, small talk, and conversationalising (2016). </w:t>
      </w:r>
      <w:hyperlink r:id="rId18">
        <w:r>
          <w:rPr>
            <w:color w:val="0F6449"/>
            <w:u w:val="none"/>
          </w:rPr>
          <w:t>https://discovery.ucl.ac.uk/1538682/7/Mohanna%20final%20submission.pdf.signatures%20removed.pdf</w:t>
        </w:r>
      </w:hyperlink>
    </w:p>
    <w:p>
      <w:pPr>
        <w:pStyle w:val="TinyRef"/>
      </w:pPr>
      <w:r>
        <w:t xml:space="preserve">[11] Mohanna K. “It’s Not Like This Back Home”: conversations and socially appropriate talk (Liaquat National Journal of Primary Care, 2019). </w:t>
      </w:r>
      <w:hyperlink r:id="rId19">
        <w:r>
          <w:rPr>
            <w:color w:val="0F6449"/>
            <w:u w:val="none"/>
          </w:rPr>
          <w:t>https://journals.lnh.edu.pk/lnjpc/pdf/LNJ%20PC%20Article%204.pdf</w:t>
        </w:r>
      </w:hyperlink>
    </w:p>
    <w:p>
      <w:pPr>
        <w:pStyle w:val="TinyRef"/>
      </w:pPr>
      <w:r>
        <w:t xml:space="preserve">[12] Larsen JH et al. Five cards: a simple guide to beginning the consultation (BJGP, 2014). </w:t>
      </w:r>
      <w:hyperlink r:id="rId20">
        <w:r>
          <w:rPr>
            <w:color w:val="0F6449"/>
            <w:u w:val="none"/>
          </w:rPr>
          <w:t>https://bjgp.org/content/64/620/150</w:t>
        </w:r>
      </w:hyperlink>
    </w:p>
    <w:p>
      <w:pPr>
        <w:pStyle w:val="TinyRef"/>
      </w:pPr>
      <w:r>
        <w:t xml:space="preserve">[13] BJGP Life. How to enjoy your consultations (2019). </w:t>
      </w:r>
      <w:hyperlink r:id="rId21">
        <w:r>
          <w:rPr>
            <w:color w:val="0F6449"/>
            <w:u w:val="none"/>
          </w:rPr>
          <w:t>https://bjgplife.com/bjgp-long-read-how-to-enjoy-your-consultations/</w:t>
        </w:r>
      </w:hyperlink>
    </w:p>
    <w:p>
      <w:pPr>
        <w:pStyle w:val="TinyRef"/>
      </w:pPr>
      <w:r>
        <w:t xml:space="preserve">[14] Little P et al. Verbal and non-verbal behaviour and patient perception of communication in primary care (BJGP, 2015). </w:t>
      </w:r>
      <w:hyperlink r:id="rId22">
        <w:r>
          <w:rPr>
            <w:color w:val="0F6449"/>
            <w:u w:val="none"/>
          </w:rPr>
          <w:t>https://pubmed.ncbi.nlm.nih.gov/26009530/</w:t>
        </w:r>
      </w:hyperlink>
    </w:p>
    <w:p>
      <w:pPr>
        <w:pStyle w:val="TinyRef"/>
      </w:pPr>
      <w:r>
        <w:t xml:space="preserve">[15] GMC. Personal beliefs and medical practice (2024 edition). </w:t>
      </w:r>
      <w:hyperlink r:id="rId23">
        <w:r>
          <w:rPr>
            <w:color w:val="0F6449"/>
            <w:u w:val="none"/>
          </w:rPr>
          <w:t>https://www.gmc-uk.org/professional-standards/the-professional-standards/personal-beliefs-and-medical-practice/personal-beliefs-and-medical-practice</w:t>
        </w:r>
      </w:hyperlink>
    </w:p>
    <w:p>
      <w:pPr>
        <w:pStyle w:val="TinyRef"/>
      </w:pPr>
      <w:r>
        <w:t xml:space="preserve">[16] GMC. Maintaining personal and professional boundaries (2024). </w:t>
      </w:r>
      <w:hyperlink r:id="rId24">
        <w:r>
          <w:rPr>
            <w:color w:val="0F6449"/>
            <w:u w:val="none"/>
          </w:rPr>
          <w:t>https://www.gmc-uk.org/professional-standards/the-professional-standards/maintaining-personal-and-professional-boundaries/maintaining-personal-and-professional-boundaries</w:t>
        </w:r>
      </w:hyperlink>
    </w:p>
    <w:p>
      <w:pPr>
        <w:pStyle w:val="TinyRef"/>
      </w:pPr>
      <w:r>
        <w:t xml:space="preserve">[17] Hewitt H et al. Comparison of face-to-face and telephone consultations in primary care (BJGP, 2010). </w:t>
      </w:r>
      <w:hyperlink r:id="rId25">
        <w:r>
          <w:rPr>
            <w:color w:val="0F6449"/>
            <w:u w:val="none"/>
          </w:rPr>
          <w:t>https://medecine-generale.sorbonne-universite.fr/wp-content/uploads/2020/09/comparison-of-face-to-face-and-telephone-consultation-in-primary-care.pdf</w:t>
        </w:r>
      </w:hyperlink>
    </w:p>
    <w:p>
      <w:pPr>
        <w:pStyle w:val="TinyRef"/>
      </w:pPr>
      <w:r>
        <w:t xml:space="preserve">[18] Hammersley V et al. Comparing the content and quality of video, telephone, and face-to-face consultations in general practice (BJGP, 2019). </w:t>
      </w:r>
      <w:hyperlink r:id="rId26">
        <w:r>
          <w:rPr>
            <w:color w:val="0F6449"/>
            <w:u w:val="none"/>
          </w:rPr>
          <w:t>https://www.pure.ed.ac.uk/ws/portalfiles/portal/101067835/Comparing_the_content_and_quality_of_video....pdf</w:t>
        </w:r>
      </w:hyperlink>
    </w:p>
    <w:p>
      <w:pPr>
        <w:pStyle w:val="TinyRef"/>
      </w:pPr>
      <w:r>
        <w:t xml:space="preserve">[19] McCreaddie M &amp; Wiggins S. Humour in health-care interactions: a risk worth taking (2012). </w:t>
      </w:r>
      <w:hyperlink r:id="rId27">
        <w:r>
          <w:rPr>
            <w:color w:val="0F6449"/>
            <w:u w:val="none"/>
          </w:rPr>
          <w:t>https://pmc.ncbi.nlm.nih.gov/articles/PMC5060733/</w:t>
        </w:r>
      </w:hyperlink>
    </w:p>
    <w:p>
      <w:pPr>
        <w:pStyle w:val="TinyRef"/>
      </w:pPr>
      <w:r>
        <w:t xml:space="preserve">[20] HCPC. Professionalism in healthcare professionals: humour can put patients at ease but is risky if poorly judged. </w:t>
      </w:r>
      <w:hyperlink r:id="rId28">
        <w:r>
          <w:rPr>
            <w:color w:val="0F6449"/>
            <w:u w:val="none"/>
          </w:rPr>
          <w:t>https://www.hcpc-uk.org/globalassets/resources/reports/professionalism-in-healthcare-professionals.pdf</w:t>
        </w:r>
      </w:hyperlink>
    </w:p>
    <w:p>
      <w:pPr>
        <w:pStyle w:val="TinyRef"/>
      </w:pPr>
      <w:r>
        <w:t xml:space="preserve">[21] Reddit r/Residency. What are good starter conversations with patients? (community discussion). </w:t>
      </w:r>
      <w:hyperlink r:id="rId29">
        <w:r>
          <w:rPr>
            <w:color w:val="0F6449"/>
            <w:u w:val="none"/>
          </w:rPr>
          <w:t>https://www.reddit.com/r/Residency/comments/o9u0to/what_are_good_starter_conversations_with_patients/</w:t>
        </w:r>
      </w:hyperlink>
    </w:p>
    <w:p>
      <w:pPr>
        <w:pStyle w:val="TinyRef"/>
      </w:pPr>
      <w:r>
        <w:t xml:space="preserve">[22] Reddit r/GPUK. Tips for improving time and consultation skills? (community discussion). </w:t>
      </w:r>
      <w:hyperlink r:id="rId30">
        <w:r>
          <w:rPr>
            <w:color w:val="0F6449"/>
            <w:u w:val="none"/>
          </w:rPr>
          <w:t>https://www.reddit.com/r/GPUK/comments/1nqi4g7/tips_for_improving_time_and_consultation_skills/</w:t>
        </w:r>
      </w:hyperlink>
    </w:p>
    <w:p>
      <w:pPr>
        <w:pStyle w:val="TinyRef"/>
      </w:pPr>
      <w:r>
        <w:t xml:space="preserve">[23] Reddit r/GPUK. How do you handle overly wordy or talkative patients in GP? (community discussion). </w:t>
      </w:r>
      <w:hyperlink r:id="rId31">
        <w:r>
          <w:rPr>
            <w:color w:val="0F6449"/>
            <w:u w:val="none"/>
          </w:rPr>
          <w:t>https://www.reddit.com/r/GPUK/comments/1ofaerf/how_do_you_handle_overly_wordy_or_talkative/</w:t>
        </w:r>
      </w:hyperlink>
    </w:p>
    <w:p>
      <w:pPr>
        <w:pStyle w:val="TinyRef"/>
      </w:pPr>
      <w:r>
        <w:t xml:space="preserve">[24] Reddit r/medicalschool. Help with OSCEs / small talk and rapport (community discussion). </w:t>
      </w:r>
      <w:hyperlink r:id="rId32">
        <w:r>
          <w:rPr>
            <w:color w:val="0F6449"/>
            <w:u w:val="none"/>
          </w:rPr>
          <w:t>https://www.reddit.com/r/medicalschool/comments/4fxw5w/help_with_osces/</w:t>
        </w:r>
      </w:hyperlink>
    </w:p>
    <w:sectPr w:rsidR="00FC693F" w:rsidRPr="0006063C" w:rsidSect="00034616">
      <w:footerReference w:type="default" r:id="rId33"/>
      <w:pgSz w:w="12240" w:h="15840"/>
      <w:pgMar w:top="864" w:right="1037" w:bottom="792" w:left="103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Small Talk in the GP Consultation - evidence-informed practical guide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21212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itleStyle">
    <w:name w:val="TitleStyle"/>
    <w:basedOn w:val="Normal"/>
    <w:pPr>
      <w:spacing w:after="80"/>
    </w:pPr>
    <w:rPr>
      <w:rFonts w:ascii="Aptos" w:hAnsi="Aptos"/>
      <w:b/>
      <w:color w:val="0F6449"/>
      <w:sz w:val="48"/>
    </w:rPr>
  </w:style>
  <w:style w:type="paragraph" w:customStyle="1" w:styleId="SubtitleStyle">
    <w:name w:val="SubtitleStyle"/>
    <w:basedOn w:val="Normal"/>
    <w:pPr>
      <w:spacing w:after="240"/>
    </w:pPr>
    <w:rPr>
      <w:rFonts w:ascii="Aptos" w:hAnsi="Aptos"/>
      <w:b w:val="0"/>
      <w:color w:val="666666"/>
      <w:sz w:val="22"/>
    </w:rPr>
  </w:style>
  <w:style w:type="paragraph" w:customStyle="1" w:styleId="SectionStyle">
    <w:name w:val="SectionStyle"/>
    <w:basedOn w:val="Normal"/>
    <w:pPr>
      <w:keepNext/>
      <w:spacing w:before="280" w:after="120"/>
    </w:pPr>
    <w:rPr>
      <w:rFonts w:ascii="Aptos" w:hAnsi="Aptos"/>
      <w:b/>
      <w:color w:val="0F6449"/>
      <w:sz w:val="30"/>
    </w:rPr>
  </w:style>
  <w:style w:type="paragraph" w:customStyle="1" w:styleId="SubsectionStyle">
    <w:name w:val="SubsectionStyle"/>
    <w:basedOn w:val="Normal"/>
    <w:pPr>
      <w:keepNext/>
      <w:spacing w:before="180" w:after="60"/>
    </w:pPr>
    <w:rPr>
      <w:rFonts w:ascii="Aptos" w:hAnsi="Aptos"/>
      <w:b/>
      <w:color w:val="0F6449"/>
      <w:sz w:val="24"/>
    </w:rPr>
  </w:style>
  <w:style w:type="paragraph" w:customStyle="1" w:styleId="BoxText">
    <w:name w:val="BoxText"/>
    <w:basedOn w:val="Normal"/>
    <w:pPr>
      <w:spacing w:after="60" w:line="269" w:lineRule="auto"/>
    </w:pPr>
    <w:rPr>
      <w:rFonts w:ascii="Aptos" w:hAnsi="Aptos"/>
      <w:b w:val="0"/>
      <w:color w:val="212121"/>
      <w:sz w:val="20"/>
    </w:rPr>
  </w:style>
  <w:style w:type="paragraph" w:customStyle="1" w:styleId="TinyRef">
    <w:name w:val="TinyRef"/>
    <w:basedOn w:val="Normal"/>
    <w:pPr>
      <w:spacing w:after="40" w:line="240" w:lineRule="auto"/>
    </w:pPr>
    <w:rPr>
      <w:rFonts w:ascii="Aptos" w:hAnsi="Aptos"/>
      <w:b w:val="0"/>
      <w:color w:val="666666"/>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sciencedirect.com/science/article/abs/pii/S0738399121004018" TargetMode="External"/><Relationship Id="rId10" Type="http://schemas.openxmlformats.org/officeDocument/2006/relationships/hyperlink" Target="https://bjgp.org/content/70/698/e676" TargetMode="External"/><Relationship Id="rId11" Type="http://schemas.openxmlformats.org/officeDocument/2006/relationships/hyperlink" Target="https://www.nuffieldtrust.org.uk/sites/default/files/2019-01/improving-access-and-continuity-in-general-practice-evidence-review-final-update-01-2019.pdf" TargetMode="External"/><Relationship Id="rId12" Type="http://schemas.openxmlformats.org/officeDocument/2006/relationships/hyperlink" Target="https://pmc.ncbi.nlm.nih.gov/articles/PMC5060812/" TargetMode="External"/><Relationship Id="rId13" Type="http://schemas.openxmlformats.org/officeDocument/2006/relationships/hyperlink" Target="https://pmc.ncbi.nlm.nih.gov/articles/PMC10901059/" TargetMode="External"/><Relationship Id="rId14" Type="http://schemas.openxmlformats.org/officeDocument/2006/relationships/hyperlink" Target="https://pmc.ncbi.nlm.nih.gov/articles/PMC3609551/" TargetMode="External"/><Relationship Id="rId15" Type="http://schemas.openxmlformats.org/officeDocument/2006/relationships/hyperlink" Target="https://scispace.com/pdf/small-talk-high-stakes-interactional-disattentiveness-in-the-i42tc5xm5h.pdf" TargetMode="External"/><Relationship Id="rId16" Type="http://schemas.openxmlformats.org/officeDocument/2006/relationships/hyperlink" Target="https://pmc.ncbi.nlm.nih.gov/articles/PMC1743193/" TargetMode="External"/><Relationship Id="rId17" Type="http://schemas.openxmlformats.org/officeDocument/2006/relationships/hyperlink" Target="https://www.worcester.ac.uk/about/profiles/kay-mohanna" TargetMode="External"/><Relationship Id="rId18" Type="http://schemas.openxmlformats.org/officeDocument/2006/relationships/hyperlink" Target="https://discovery.ucl.ac.uk/1538682/7/Mohanna%20final%20submission.pdf.signatures%20removed.pdf" TargetMode="External"/><Relationship Id="rId19" Type="http://schemas.openxmlformats.org/officeDocument/2006/relationships/hyperlink" Target="https://journals.lnh.edu.pk/lnjpc/pdf/LNJ%20PC%20Article%204.pdf" TargetMode="External"/><Relationship Id="rId20" Type="http://schemas.openxmlformats.org/officeDocument/2006/relationships/hyperlink" Target="https://bjgp.org/content/64/620/150" TargetMode="External"/><Relationship Id="rId21" Type="http://schemas.openxmlformats.org/officeDocument/2006/relationships/hyperlink" Target="https://bjgplife.com/bjgp-long-read-how-to-enjoy-your-consultations/" TargetMode="External"/><Relationship Id="rId22" Type="http://schemas.openxmlformats.org/officeDocument/2006/relationships/hyperlink" Target="https://pubmed.ncbi.nlm.nih.gov/26009530/" TargetMode="External"/><Relationship Id="rId23" Type="http://schemas.openxmlformats.org/officeDocument/2006/relationships/hyperlink" Target="https://www.gmc-uk.org/professional-standards/the-professional-standards/personal-beliefs-and-medical-practice/personal-beliefs-and-medical-practice" TargetMode="External"/><Relationship Id="rId24" Type="http://schemas.openxmlformats.org/officeDocument/2006/relationships/hyperlink" Target="https://www.gmc-uk.org/professional-standards/the-professional-standards/maintaining-personal-and-professional-boundaries/maintaining-personal-and-professional-boundaries" TargetMode="External"/><Relationship Id="rId25" Type="http://schemas.openxmlformats.org/officeDocument/2006/relationships/hyperlink" Target="https://medecine-generale.sorbonne-universite.fr/wp-content/uploads/2020/09/comparison-of-face-to-face-and-telephone-consultation-in-primary-care.pdf" TargetMode="External"/><Relationship Id="rId26" Type="http://schemas.openxmlformats.org/officeDocument/2006/relationships/hyperlink" Target="https://www.pure.ed.ac.uk/ws/portalfiles/portal/101067835/Comparing_the_content_and_quality_of_video....pdf" TargetMode="External"/><Relationship Id="rId27" Type="http://schemas.openxmlformats.org/officeDocument/2006/relationships/hyperlink" Target="https://pmc.ncbi.nlm.nih.gov/articles/PMC5060733/" TargetMode="External"/><Relationship Id="rId28" Type="http://schemas.openxmlformats.org/officeDocument/2006/relationships/hyperlink" Target="https://www.hcpc-uk.org/globalassets/resources/reports/professionalism-in-healthcare-professionals.pdf" TargetMode="External"/><Relationship Id="rId29" Type="http://schemas.openxmlformats.org/officeDocument/2006/relationships/hyperlink" Target="https://www.reddit.com/r/Residency/comments/o9u0to/what_are_good_starter_conversations_with_patients/" TargetMode="External"/><Relationship Id="rId30" Type="http://schemas.openxmlformats.org/officeDocument/2006/relationships/hyperlink" Target="https://www.reddit.com/r/GPUK/comments/1nqi4g7/tips_for_improving_time_and_consultation_skills/" TargetMode="External"/><Relationship Id="rId31" Type="http://schemas.openxmlformats.org/officeDocument/2006/relationships/hyperlink" Target="https://www.reddit.com/r/GPUK/comments/1ofaerf/how_do_you_handle_overly_wordy_or_talkative/" TargetMode="External"/><Relationship Id="rId32" Type="http://schemas.openxmlformats.org/officeDocument/2006/relationships/hyperlink" Target="https://www.reddit.com/r/medicalschool/comments/4fxw5w/help_with_osces/" TargetMode="External"/><Relationship Id="rId3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