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9724D13" w14:textId="283FB89E" w:rsidR="00540EA8" w:rsidRDefault="00540EA8">
      <w:r>
        <w:t xml:space="preserve">Fasting is an obligation for competent, healthy adult Muslims although there are </w:t>
      </w:r>
      <w:r w:rsidR="00E832E4">
        <w:rPr>
          <w:noProof/>
        </w:rPr>
        <w:drawing>
          <wp:anchor distT="0" distB="0" distL="114300" distR="114300" simplePos="0" relativeHeight="251658240" behindDoc="1" locked="0" layoutInCell="1" allowOverlap="1" wp14:anchorId="20FAB64E" wp14:editId="5854D520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553325" cy="9763125"/>
            <wp:effectExtent l="0" t="0" r="9525" b="635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alphaModFix amt="2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976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chemeClr val="accent1"/>
                      </a:glow>
                      <a:outerShdw blurRad="50800" dist="50800" dir="5400000" sx="1000" sy="1000" algn="ctr" rotWithShape="0">
                        <a:srgbClr val="000000"/>
                      </a:outerShdw>
                      <a:reflection endPos="65000" dist="508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exemptions. Many of those who could seek exemption might still want to fast. It is important to respect this but it is advisable to start planning 6-8 weeks before Ramadan to avoid adverse outcomes e.g. patient self-adjustment of medication. </w:t>
      </w:r>
    </w:p>
    <w:p w14:paraId="51039C15" w14:textId="1607478B" w:rsidR="00540EA8" w:rsidRDefault="00540EA8"/>
    <w:p w14:paraId="1287A4BA" w14:textId="66716B40" w:rsidR="00540EA8" w:rsidRDefault="00540EA8">
      <w:r w:rsidRPr="00540EA8">
        <w:t xml:space="preserve">The fast of Ramadan lasts from </w:t>
      </w:r>
      <w:r w:rsidRPr="00540EA8">
        <w:rPr>
          <w:b/>
          <w:bCs/>
        </w:rPr>
        <w:t>dawn to sunset</w:t>
      </w:r>
      <w:r w:rsidRPr="00540EA8">
        <w:t xml:space="preserve"> for a period of </w:t>
      </w:r>
      <w:r w:rsidRPr="00540EA8">
        <w:rPr>
          <w:b/>
          <w:bCs/>
        </w:rPr>
        <w:t>29 or 30 days</w:t>
      </w:r>
      <w:r w:rsidRPr="00540EA8">
        <w:t xml:space="preserve">. </w:t>
      </w:r>
      <w:r>
        <w:t>It follows</w:t>
      </w:r>
      <w:r w:rsidRPr="00540EA8">
        <w:t xml:space="preserve"> the lunar calendar</w:t>
      </w:r>
      <w:r>
        <w:t xml:space="preserve"> so </w:t>
      </w:r>
      <w:r w:rsidRPr="00540EA8">
        <w:t>is brought forward by about 10 days each year</w:t>
      </w:r>
      <w:r>
        <w:t xml:space="preserve">. </w:t>
      </w:r>
      <w:r w:rsidRPr="00540EA8">
        <w:t>In 2024, Ramadan will start on</w:t>
      </w:r>
      <w:r>
        <w:t xml:space="preserve"> roughly</w:t>
      </w:r>
      <w:r w:rsidRPr="00540EA8">
        <w:t xml:space="preserve"> </w:t>
      </w:r>
      <w:r w:rsidRPr="00540EA8">
        <w:rPr>
          <w:b/>
          <w:bCs/>
        </w:rPr>
        <w:t>10 March</w:t>
      </w:r>
      <w:r w:rsidRPr="00540EA8">
        <w:t xml:space="preserve"> and end on </w:t>
      </w:r>
      <w:r w:rsidRPr="00540EA8">
        <w:rPr>
          <w:b/>
          <w:bCs/>
        </w:rPr>
        <w:t>10 April</w:t>
      </w:r>
      <w:r w:rsidRPr="00540EA8">
        <w:t xml:space="preserve">. </w:t>
      </w:r>
      <w:r>
        <w:t>Fasting</w:t>
      </w:r>
      <w:r w:rsidRPr="00540EA8">
        <w:t xml:space="preserve"> people generally eat two meals a day: </w:t>
      </w:r>
      <w:r>
        <w:t xml:space="preserve">often a smaller meal </w:t>
      </w:r>
      <w:r w:rsidRPr="00540EA8">
        <w:t xml:space="preserve">before </w:t>
      </w:r>
      <w:r>
        <w:t>dawn</w:t>
      </w:r>
      <w:r w:rsidRPr="00540EA8">
        <w:t xml:space="preserve"> (Suhoor) and </w:t>
      </w:r>
      <w:r>
        <w:t xml:space="preserve">a larger </w:t>
      </w:r>
      <w:r w:rsidRPr="00540EA8">
        <w:t>one after sunset (Iftar)</w:t>
      </w:r>
      <w:r>
        <w:t xml:space="preserve">, these will </w:t>
      </w:r>
      <w:r w:rsidR="0042518B">
        <w:t>start at</w:t>
      </w:r>
      <w:r>
        <w:t xml:space="preserve"> 4.30am and 6pm this year</w:t>
      </w:r>
      <w:r w:rsidR="0042518B">
        <w:t xml:space="preserve"> then extend to 8pm by the end of the month</w:t>
      </w:r>
      <w:r w:rsidRPr="00540EA8">
        <w:t>. No fluids or food are taken during daylight hours. This includes water and</w:t>
      </w:r>
      <w:r>
        <w:t xml:space="preserve"> most medication.</w:t>
      </w:r>
    </w:p>
    <w:p w14:paraId="78C737E7" w14:textId="77777777" w:rsidR="00540EA8" w:rsidRDefault="00540EA8"/>
    <w:p w14:paraId="0DB88BF0" w14:textId="77777777" w:rsidR="00540EA8" w:rsidRPr="00540EA8" w:rsidRDefault="00540EA8">
      <w:pPr>
        <w:rPr>
          <w:b/>
          <w:bCs/>
        </w:rPr>
      </w:pPr>
      <w:r w:rsidRPr="00540EA8">
        <w:rPr>
          <w:b/>
          <w:bCs/>
        </w:rPr>
        <w:t>Who is exempt from fasting?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540EA8" w14:paraId="24C4B790" w14:textId="77777777" w:rsidTr="00540EA8">
        <w:tc>
          <w:tcPr>
            <w:tcW w:w="4508" w:type="dxa"/>
          </w:tcPr>
          <w:p w14:paraId="7BDD22C4" w14:textId="77777777" w:rsidR="00540EA8" w:rsidRDefault="00540EA8" w:rsidP="00540EA8">
            <w:pPr>
              <w:pStyle w:val="ListParagraph"/>
              <w:numPr>
                <w:ilvl w:val="0"/>
                <w:numId w:val="2"/>
              </w:numPr>
            </w:pPr>
            <w:r>
              <w:t xml:space="preserve">Acute or chronic illness  </w:t>
            </w:r>
          </w:p>
        </w:tc>
        <w:tc>
          <w:tcPr>
            <w:tcW w:w="4508" w:type="dxa"/>
          </w:tcPr>
          <w:p w14:paraId="6D8BBC53" w14:textId="37972B5A" w:rsidR="00540EA8" w:rsidRDefault="00540EA8" w:rsidP="00540EA8">
            <w:pPr>
              <w:pStyle w:val="ListParagraph"/>
              <w:numPr>
                <w:ilvl w:val="0"/>
                <w:numId w:val="2"/>
              </w:numPr>
            </w:pPr>
            <w:r>
              <w:t xml:space="preserve">Travellers </w:t>
            </w:r>
          </w:p>
        </w:tc>
      </w:tr>
      <w:tr w:rsidR="00540EA8" w14:paraId="5F5F5E4A" w14:textId="77777777" w:rsidTr="00540EA8">
        <w:tc>
          <w:tcPr>
            <w:tcW w:w="4508" w:type="dxa"/>
          </w:tcPr>
          <w:p w14:paraId="29C2C915" w14:textId="77777777" w:rsidR="00540EA8" w:rsidRDefault="00540EA8" w:rsidP="00540EA8">
            <w:pPr>
              <w:pStyle w:val="ListParagraph"/>
              <w:numPr>
                <w:ilvl w:val="0"/>
                <w:numId w:val="2"/>
              </w:numPr>
            </w:pPr>
            <w:r>
              <w:t>Pregnant/breastfeeding*</w:t>
            </w:r>
          </w:p>
        </w:tc>
        <w:tc>
          <w:tcPr>
            <w:tcW w:w="4508" w:type="dxa"/>
          </w:tcPr>
          <w:p w14:paraId="30A90631" w14:textId="3C19CC95" w:rsidR="00540EA8" w:rsidRDefault="00540EA8" w:rsidP="00540EA8">
            <w:pPr>
              <w:pStyle w:val="ListParagraph"/>
              <w:numPr>
                <w:ilvl w:val="0"/>
                <w:numId w:val="2"/>
              </w:numPr>
            </w:pPr>
            <w:r>
              <w:t>Menstruating/postpartum bleeding</w:t>
            </w:r>
          </w:p>
        </w:tc>
      </w:tr>
      <w:tr w:rsidR="00540EA8" w14:paraId="7E909626" w14:textId="77777777" w:rsidTr="00540EA8">
        <w:tc>
          <w:tcPr>
            <w:tcW w:w="4508" w:type="dxa"/>
          </w:tcPr>
          <w:p w14:paraId="68B12A93" w14:textId="77777777" w:rsidR="00540EA8" w:rsidRDefault="00540EA8" w:rsidP="00540EA8">
            <w:pPr>
              <w:pStyle w:val="ListParagraph"/>
              <w:numPr>
                <w:ilvl w:val="0"/>
                <w:numId w:val="2"/>
              </w:numPr>
            </w:pPr>
            <w:r>
              <w:t xml:space="preserve">Children </w:t>
            </w:r>
          </w:p>
        </w:tc>
        <w:tc>
          <w:tcPr>
            <w:tcW w:w="4508" w:type="dxa"/>
          </w:tcPr>
          <w:p w14:paraId="6FBB469B" w14:textId="3AC8E67C" w:rsidR="00540EA8" w:rsidRDefault="00540EA8" w:rsidP="00540EA8">
            <w:pPr>
              <w:pStyle w:val="ListParagraph"/>
              <w:numPr>
                <w:ilvl w:val="0"/>
                <w:numId w:val="2"/>
              </w:numPr>
            </w:pPr>
            <w:r>
              <w:t>Mentally unwell/lacks capacity</w:t>
            </w:r>
          </w:p>
        </w:tc>
      </w:tr>
    </w:tbl>
    <w:p w14:paraId="0BDD3B1A" w14:textId="77777777" w:rsidR="00540EA8" w:rsidRPr="00540EA8" w:rsidRDefault="00540EA8">
      <w:pPr>
        <w:rPr>
          <w:i/>
          <w:iCs/>
          <w:sz w:val="21"/>
          <w:szCs w:val="21"/>
        </w:rPr>
      </w:pPr>
      <w:r w:rsidRPr="00540EA8">
        <w:rPr>
          <w:i/>
          <w:iCs/>
          <w:sz w:val="21"/>
          <w:szCs w:val="21"/>
        </w:rPr>
        <w:t xml:space="preserve">*consensus by Islamic scholars that it is permissible not to fast if there is threat of harm to mother/child </w:t>
      </w:r>
    </w:p>
    <w:p w14:paraId="4130FB55" w14:textId="498720C0" w:rsidR="00540EA8" w:rsidRPr="00540EA8" w:rsidRDefault="00540EA8">
      <w:pPr>
        <w:rPr>
          <w:b/>
          <w:bCs/>
        </w:rPr>
      </w:pPr>
      <w:r w:rsidRPr="00540EA8">
        <w:rPr>
          <w:b/>
          <w:bCs/>
        </w:rPr>
        <w:t>Permissible interventions/medications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540EA8" w14:paraId="57C22125" w14:textId="77777777" w:rsidTr="00540EA8">
        <w:tc>
          <w:tcPr>
            <w:tcW w:w="4508" w:type="dxa"/>
          </w:tcPr>
          <w:p w14:paraId="0F26D023" w14:textId="77777777" w:rsidR="00540EA8" w:rsidRDefault="00540EA8" w:rsidP="00540EA8">
            <w:pPr>
              <w:pStyle w:val="ListParagraph"/>
              <w:numPr>
                <w:ilvl w:val="0"/>
                <w:numId w:val="3"/>
              </w:numPr>
            </w:pPr>
            <w:r>
              <w:t>Blood tests</w:t>
            </w:r>
          </w:p>
        </w:tc>
        <w:tc>
          <w:tcPr>
            <w:tcW w:w="4508" w:type="dxa"/>
          </w:tcPr>
          <w:p w14:paraId="5F0B838A" w14:textId="4213C3F8" w:rsidR="00540EA8" w:rsidRDefault="00540EA8" w:rsidP="00540EA8">
            <w:pPr>
              <w:pStyle w:val="ListParagraph"/>
              <w:numPr>
                <w:ilvl w:val="0"/>
                <w:numId w:val="3"/>
              </w:numPr>
            </w:pPr>
            <w:r>
              <w:t xml:space="preserve">Vaccinations </w:t>
            </w:r>
          </w:p>
        </w:tc>
      </w:tr>
      <w:tr w:rsidR="00540EA8" w14:paraId="480A7458" w14:textId="77777777" w:rsidTr="00540EA8">
        <w:tc>
          <w:tcPr>
            <w:tcW w:w="4508" w:type="dxa"/>
          </w:tcPr>
          <w:p w14:paraId="4D7E6461" w14:textId="77777777" w:rsidR="00540EA8" w:rsidRDefault="00540EA8" w:rsidP="00540EA8">
            <w:pPr>
              <w:pStyle w:val="ListParagraph"/>
              <w:numPr>
                <w:ilvl w:val="0"/>
                <w:numId w:val="3"/>
              </w:numPr>
            </w:pPr>
            <w:r>
              <w:t>Asthma inhalers*</w:t>
            </w:r>
          </w:p>
        </w:tc>
        <w:tc>
          <w:tcPr>
            <w:tcW w:w="4508" w:type="dxa"/>
          </w:tcPr>
          <w:p w14:paraId="04DDB236" w14:textId="51F7C7C8" w:rsidR="00540EA8" w:rsidRDefault="00540EA8" w:rsidP="00540EA8">
            <w:pPr>
              <w:pStyle w:val="ListParagraph"/>
              <w:numPr>
                <w:ilvl w:val="0"/>
                <w:numId w:val="3"/>
              </w:numPr>
            </w:pPr>
            <w:r>
              <w:t>Ear drops*</w:t>
            </w:r>
          </w:p>
        </w:tc>
      </w:tr>
      <w:tr w:rsidR="00540EA8" w14:paraId="6BA9230A" w14:textId="77777777" w:rsidTr="00540EA8">
        <w:tc>
          <w:tcPr>
            <w:tcW w:w="4508" w:type="dxa"/>
          </w:tcPr>
          <w:p w14:paraId="541E2CAF" w14:textId="77777777" w:rsidR="00540EA8" w:rsidRDefault="00540EA8" w:rsidP="00540EA8">
            <w:pPr>
              <w:pStyle w:val="ListParagraph"/>
              <w:numPr>
                <w:ilvl w:val="0"/>
                <w:numId w:val="3"/>
              </w:numPr>
            </w:pPr>
            <w:r>
              <w:t xml:space="preserve">Eye drops </w:t>
            </w:r>
          </w:p>
        </w:tc>
        <w:tc>
          <w:tcPr>
            <w:tcW w:w="4508" w:type="dxa"/>
          </w:tcPr>
          <w:p w14:paraId="24A511D0" w14:textId="197384F7" w:rsidR="00540EA8" w:rsidRDefault="00540EA8" w:rsidP="00540EA8">
            <w:pPr>
              <w:pStyle w:val="ListParagraph"/>
              <w:numPr>
                <w:ilvl w:val="0"/>
                <w:numId w:val="3"/>
              </w:numPr>
            </w:pPr>
            <w:r>
              <w:t xml:space="preserve">Transdermal patches </w:t>
            </w:r>
          </w:p>
        </w:tc>
      </w:tr>
    </w:tbl>
    <w:p w14:paraId="52B2259A" w14:textId="55160BC1" w:rsidR="00540EA8" w:rsidRPr="00540EA8" w:rsidRDefault="00540EA8">
      <w:pPr>
        <w:rPr>
          <w:i/>
          <w:iCs/>
          <w:sz w:val="21"/>
          <w:szCs w:val="21"/>
        </w:rPr>
      </w:pPr>
      <w:r w:rsidRPr="00540EA8">
        <w:rPr>
          <w:i/>
          <w:iCs/>
          <w:sz w:val="21"/>
          <w:szCs w:val="21"/>
        </w:rPr>
        <w:t>*difference of opinions exist. Encourage patients to contact their local imam, or BIMA for advice.</w:t>
      </w:r>
    </w:p>
    <w:p w14:paraId="17595F3D" w14:textId="47A69FE8" w:rsidR="00540EA8" w:rsidRDefault="00540EA8">
      <w:pPr>
        <w:rPr>
          <w:b/>
          <w:bCs/>
        </w:rPr>
      </w:pPr>
    </w:p>
    <w:p w14:paraId="5AA755EA" w14:textId="77777777" w:rsidR="00540EA8" w:rsidRPr="00540EA8" w:rsidRDefault="00540EA8">
      <w:pPr>
        <w:rPr>
          <w:b/>
          <w:bCs/>
        </w:rPr>
      </w:pPr>
      <w:r w:rsidRPr="00540EA8">
        <w:rPr>
          <w:b/>
          <w:bCs/>
        </w:rPr>
        <w:t>Should I advise my patient not to fast?</w:t>
      </w:r>
    </w:p>
    <w:p w14:paraId="6097D908" w14:textId="0CF29D3D" w:rsidR="00540EA8" w:rsidRDefault="00540EA8">
      <w:r w:rsidRPr="00540EA8">
        <w:t>BIMA have a</w:t>
      </w:r>
      <w:r>
        <w:t>n</w:t>
      </w:r>
      <w:r w:rsidRPr="00540EA8">
        <w:t xml:space="preserve"> intera</w:t>
      </w:r>
      <w:r>
        <w:t>c</w:t>
      </w:r>
      <w:r w:rsidRPr="00540EA8">
        <w:t>tive traffic light tool that help to classify patients into low/moderate risk, high risk, and very high risk</w:t>
      </w:r>
      <w:r>
        <w:t xml:space="preserve"> at </w:t>
      </w:r>
      <w:hyperlink r:id="rId9" w:history="1">
        <w:r w:rsidRPr="00CD14A6">
          <w:rPr>
            <w:rStyle w:val="Hyperlink"/>
          </w:rPr>
          <w:t>www.britishima.org/Ramadan-compendium</w:t>
        </w:r>
      </w:hyperlink>
      <w:r>
        <w:t xml:space="preserve"> in chapter 6.</w:t>
      </w:r>
    </w:p>
    <w:p w14:paraId="3C6DFEBE" w14:textId="77777777" w:rsidR="00540EA8" w:rsidRDefault="00540EA8">
      <w:r w:rsidRPr="00540EA8">
        <w:t>Patients in the two higher tiers</w:t>
      </w:r>
      <w:r>
        <w:t xml:space="preserve"> </w:t>
      </w:r>
      <w:r w:rsidRPr="00540EA8">
        <w:t xml:space="preserve">should </w:t>
      </w:r>
      <w:r>
        <w:t>be advis</w:t>
      </w:r>
      <w:r w:rsidRPr="00540EA8">
        <w:t>e</w:t>
      </w:r>
      <w:r>
        <w:t>d</w:t>
      </w:r>
      <w:r w:rsidRPr="00540EA8">
        <w:t xml:space="preserve"> that they ‘must not fast’ and ‘should not fast’ respectively.</w:t>
      </w:r>
      <w:r>
        <w:t xml:space="preserve"> C</w:t>
      </w:r>
      <w:r w:rsidRPr="00540EA8">
        <w:t>onsider advising the</w:t>
      </w:r>
      <w:r>
        <w:t>se</w:t>
      </w:r>
      <w:r w:rsidRPr="00540EA8">
        <w:t xml:space="preserve"> patients to fast in the shorter winter months</w:t>
      </w:r>
      <w:r>
        <w:t>. If they insist to fast, monitor regularly and ask that they should be prepared to break the fast in case of adverse events. Below is a shortened summary of the advice:</w:t>
      </w:r>
    </w:p>
    <w:p w14:paraId="62D29C02" w14:textId="77777777" w:rsidR="00540EA8" w:rsidRDefault="00540EA8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360"/>
        <w:gridCol w:w="2853"/>
        <w:gridCol w:w="3225"/>
        <w:gridCol w:w="2338"/>
      </w:tblGrid>
      <w:tr w:rsidR="00540EA8" w14:paraId="6692BFAC" w14:textId="77777777" w:rsidTr="00540EA8">
        <w:tc>
          <w:tcPr>
            <w:tcW w:w="988" w:type="dxa"/>
          </w:tcPr>
          <w:p w14:paraId="44B7E286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 xml:space="preserve">Condition </w:t>
            </w:r>
          </w:p>
        </w:tc>
        <w:tc>
          <w:tcPr>
            <w:tcW w:w="2976" w:type="dxa"/>
            <w:shd w:val="clear" w:color="auto" w:fill="FF7E79"/>
          </w:tcPr>
          <w:p w14:paraId="5D7A1ACD" w14:textId="77777777" w:rsidR="00540EA8" w:rsidRPr="0042518B" w:rsidRDefault="00540EA8">
            <w:pPr>
              <w:rPr>
                <w:b/>
                <w:bCs/>
              </w:rPr>
            </w:pPr>
            <w:r w:rsidRPr="0042518B">
              <w:rPr>
                <w:b/>
                <w:bCs/>
              </w:rPr>
              <w:t>Very high risk (</w:t>
            </w:r>
            <w:r w:rsidRPr="0042518B">
              <w:rPr>
                <w:b/>
                <w:bCs/>
                <w:u w:val="single"/>
              </w:rPr>
              <w:t>must not fast)</w:t>
            </w:r>
          </w:p>
        </w:tc>
        <w:tc>
          <w:tcPr>
            <w:tcW w:w="3402" w:type="dxa"/>
            <w:shd w:val="clear" w:color="auto" w:fill="FFD579"/>
          </w:tcPr>
          <w:p w14:paraId="3063086F" w14:textId="77777777" w:rsidR="00540EA8" w:rsidRPr="0042518B" w:rsidRDefault="00540EA8">
            <w:pPr>
              <w:rPr>
                <w:b/>
                <w:bCs/>
              </w:rPr>
            </w:pPr>
            <w:r w:rsidRPr="0042518B">
              <w:rPr>
                <w:b/>
                <w:bCs/>
              </w:rPr>
              <w:t xml:space="preserve">High risk </w:t>
            </w:r>
            <w:r w:rsidRPr="0042518B">
              <w:rPr>
                <w:b/>
                <w:bCs/>
                <w:u w:val="single"/>
              </w:rPr>
              <w:t>(should not fast)</w:t>
            </w:r>
          </w:p>
        </w:tc>
        <w:tc>
          <w:tcPr>
            <w:tcW w:w="2410" w:type="dxa"/>
            <w:shd w:val="clear" w:color="auto" w:fill="D5FC79"/>
          </w:tcPr>
          <w:p w14:paraId="62475B9F" w14:textId="51C4F327" w:rsidR="00540EA8" w:rsidRPr="0042518B" w:rsidRDefault="00540EA8">
            <w:pPr>
              <w:rPr>
                <w:b/>
                <w:bCs/>
              </w:rPr>
            </w:pPr>
            <w:r w:rsidRPr="0042518B">
              <w:rPr>
                <w:b/>
                <w:bCs/>
              </w:rPr>
              <w:t>Low risk (</w:t>
            </w:r>
            <w:r w:rsidRPr="0042518B">
              <w:rPr>
                <w:b/>
                <w:bCs/>
                <w:u w:val="single"/>
              </w:rPr>
              <w:t>individual decision re ability to tolerate)</w:t>
            </w:r>
          </w:p>
        </w:tc>
      </w:tr>
      <w:tr w:rsidR="00540EA8" w14:paraId="7359A204" w14:textId="77777777" w:rsidTr="00540EA8">
        <w:tc>
          <w:tcPr>
            <w:tcW w:w="988" w:type="dxa"/>
          </w:tcPr>
          <w:p w14:paraId="26D00C51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>Cardio-vascular disease</w:t>
            </w:r>
          </w:p>
        </w:tc>
        <w:tc>
          <w:tcPr>
            <w:tcW w:w="2976" w:type="dxa"/>
            <w:shd w:val="clear" w:color="auto" w:fill="FF7E79"/>
          </w:tcPr>
          <w:p w14:paraId="1675494F" w14:textId="77777777" w:rsidR="00540EA8" w:rsidRDefault="00540EA8">
            <w:r>
              <w:t>Advanced heart failure EF &lt;35%</w:t>
            </w:r>
          </w:p>
          <w:p w14:paraId="2C8A12EC" w14:textId="77777777" w:rsidR="00540EA8" w:rsidRDefault="00540EA8">
            <w:r>
              <w:t>Severe pulmonary hypertension</w:t>
            </w:r>
          </w:p>
        </w:tc>
        <w:tc>
          <w:tcPr>
            <w:tcW w:w="3402" w:type="dxa"/>
            <w:shd w:val="clear" w:color="auto" w:fill="FFD579"/>
          </w:tcPr>
          <w:p w14:paraId="4804BC8E" w14:textId="77777777" w:rsidR="00540EA8" w:rsidRDefault="00540EA8">
            <w:r>
              <w:t>Poorly controlled hypertension</w:t>
            </w:r>
          </w:p>
          <w:p w14:paraId="78C25EBC" w14:textId="77777777" w:rsidR="00540EA8" w:rsidRDefault="00540EA8">
            <w:r>
              <w:t>Recent ACS &lt;6 weeks</w:t>
            </w:r>
          </w:p>
          <w:p w14:paraId="53B9599E" w14:textId="77777777" w:rsidR="00540EA8" w:rsidRDefault="00540EA8">
            <w:r>
              <w:t>HOCM</w:t>
            </w:r>
          </w:p>
          <w:p w14:paraId="08AFDE0A" w14:textId="77777777" w:rsidR="00540EA8" w:rsidRDefault="00540EA8">
            <w:r>
              <w:t>Severe valvular disease</w:t>
            </w:r>
          </w:p>
          <w:p w14:paraId="5DE5DEBA" w14:textId="77777777" w:rsidR="00540EA8" w:rsidRDefault="00540EA8">
            <w:r>
              <w:t>Poorly controlled arrythmias</w:t>
            </w:r>
          </w:p>
          <w:p w14:paraId="569E6F25" w14:textId="77777777" w:rsidR="00540EA8" w:rsidRDefault="00540EA8">
            <w:r>
              <w:t xml:space="preserve">Implantable cardioverter defibrillator </w:t>
            </w:r>
          </w:p>
        </w:tc>
        <w:tc>
          <w:tcPr>
            <w:tcW w:w="2410" w:type="dxa"/>
            <w:shd w:val="clear" w:color="auto" w:fill="D5FC79"/>
          </w:tcPr>
          <w:p w14:paraId="171AB5A9" w14:textId="18E46EAE" w:rsidR="00540EA8" w:rsidRDefault="00540EA8">
            <w:r>
              <w:t>Stable hypertension</w:t>
            </w:r>
          </w:p>
          <w:p w14:paraId="76B7D85A" w14:textId="77777777" w:rsidR="00540EA8" w:rsidRDefault="00540EA8">
            <w:r>
              <w:t>Stable angina</w:t>
            </w:r>
          </w:p>
          <w:p w14:paraId="05F3EB3C" w14:textId="77777777" w:rsidR="00540EA8" w:rsidRDefault="00540EA8">
            <w:r>
              <w:t xml:space="preserve">Mild heart failure </w:t>
            </w:r>
          </w:p>
          <w:p w14:paraId="79941E0E" w14:textId="77777777" w:rsidR="00540EA8" w:rsidRDefault="00540EA8">
            <w:r>
              <w:t>PPM</w:t>
            </w:r>
          </w:p>
          <w:p w14:paraId="4252074E" w14:textId="77777777" w:rsidR="00540EA8" w:rsidRDefault="00540EA8">
            <w:r>
              <w:t>SVT/AF</w:t>
            </w:r>
          </w:p>
          <w:p w14:paraId="5FEF1DDD" w14:textId="77777777" w:rsidR="00540EA8" w:rsidRDefault="00540EA8"/>
        </w:tc>
      </w:tr>
      <w:tr w:rsidR="00540EA8" w14:paraId="1F687142" w14:textId="77777777" w:rsidTr="00540EA8">
        <w:tc>
          <w:tcPr>
            <w:tcW w:w="988" w:type="dxa"/>
          </w:tcPr>
          <w:p w14:paraId="50A96186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>Respiratory</w:t>
            </w:r>
          </w:p>
        </w:tc>
        <w:tc>
          <w:tcPr>
            <w:tcW w:w="2976" w:type="dxa"/>
            <w:shd w:val="clear" w:color="auto" w:fill="FF7E79"/>
          </w:tcPr>
          <w:p w14:paraId="0D0F2514" w14:textId="77777777" w:rsidR="00540EA8" w:rsidRDefault="00540EA8">
            <w:r>
              <w:t>Acute exacerbations of lung disease</w:t>
            </w:r>
          </w:p>
          <w:p w14:paraId="190E2A1D" w14:textId="77777777" w:rsidR="00540EA8" w:rsidRDefault="00540EA8"/>
        </w:tc>
        <w:tc>
          <w:tcPr>
            <w:tcW w:w="3402" w:type="dxa"/>
            <w:shd w:val="clear" w:color="auto" w:fill="FFD579"/>
          </w:tcPr>
          <w:p w14:paraId="4F7256B4" w14:textId="77777777" w:rsidR="00540EA8" w:rsidRDefault="00540EA8">
            <w:r>
              <w:t>Poorly controlled lung disease with frequent exacerbations</w:t>
            </w:r>
          </w:p>
        </w:tc>
        <w:tc>
          <w:tcPr>
            <w:tcW w:w="2410" w:type="dxa"/>
            <w:shd w:val="clear" w:color="auto" w:fill="D5FC79"/>
          </w:tcPr>
          <w:p w14:paraId="70750BC2" w14:textId="78B8D28B" w:rsidR="00540EA8" w:rsidRDefault="00540EA8">
            <w:r>
              <w:t>Well controlled asthma/COPD</w:t>
            </w:r>
          </w:p>
          <w:p w14:paraId="5550FF8C" w14:textId="77777777" w:rsidR="00540EA8" w:rsidRDefault="00540EA8"/>
        </w:tc>
      </w:tr>
      <w:tr w:rsidR="00540EA8" w14:paraId="3D98D8AC" w14:textId="77777777" w:rsidTr="00540EA8">
        <w:tc>
          <w:tcPr>
            <w:tcW w:w="988" w:type="dxa"/>
          </w:tcPr>
          <w:p w14:paraId="04CDAAD3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>CKD</w:t>
            </w:r>
          </w:p>
        </w:tc>
        <w:tc>
          <w:tcPr>
            <w:tcW w:w="2976" w:type="dxa"/>
            <w:shd w:val="clear" w:color="auto" w:fill="FF7E79"/>
          </w:tcPr>
          <w:p w14:paraId="611F1CD1" w14:textId="77777777" w:rsidR="00540EA8" w:rsidRDefault="00540EA8">
            <w:r>
              <w:t>CKD stage 4-5</w:t>
            </w:r>
          </w:p>
          <w:p w14:paraId="01A178AA" w14:textId="77777777" w:rsidR="00540EA8" w:rsidRDefault="00540EA8">
            <w:r>
              <w:t xml:space="preserve">All those on dialysis </w:t>
            </w:r>
          </w:p>
          <w:p w14:paraId="2A9EB31A" w14:textId="37FA5F9C" w:rsidR="00540EA8" w:rsidRDefault="00540EA8">
            <w:r>
              <w:t>CKD 3-5 with cardiovascular disease</w:t>
            </w:r>
          </w:p>
        </w:tc>
        <w:tc>
          <w:tcPr>
            <w:tcW w:w="3402" w:type="dxa"/>
            <w:shd w:val="clear" w:color="auto" w:fill="FFD579"/>
          </w:tcPr>
          <w:p w14:paraId="2549BFC5" w14:textId="22118762" w:rsidR="00540EA8" w:rsidRDefault="00540EA8">
            <w:r>
              <w:t>CKD 1-3 but unstable disease (rapidly declin</w:t>
            </w:r>
            <w:r w:rsidR="0042518B">
              <w:t>ing</w:t>
            </w:r>
            <w:r>
              <w:t xml:space="preserve"> GFR/fluid overload/frail)</w:t>
            </w:r>
          </w:p>
          <w:p w14:paraId="194EA6F2" w14:textId="77777777" w:rsidR="00540EA8" w:rsidRDefault="00540EA8">
            <w:r>
              <w:lastRenderedPageBreak/>
              <w:t xml:space="preserve">CKD with electrolyte abnormality </w:t>
            </w:r>
          </w:p>
          <w:p w14:paraId="796760D9" w14:textId="77777777" w:rsidR="00540EA8" w:rsidRDefault="00540EA8">
            <w:r>
              <w:t>Fluid restriction</w:t>
            </w:r>
          </w:p>
        </w:tc>
        <w:tc>
          <w:tcPr>
            <w:tcW w:w="2410" w:type="dxa"/>
            <w:shd w:val="clear" w:color="auto" w:fill="D5FC79"/>
          </w:tcPr>
          <w:p w14:paraId="0DFB5F9B" w14:textId="39A55BC3" w:rsidR="00540EA8" w:rsidRDefault="00540EA8">
            <w:r>
              <w:lastRenderedPageBreak/>
              <w:t>CKD 1-3 with stable renal function</w:t>
            </w:r>
          </w:p>
          <w:p w14:paraId="7F8F756D" w14:textId="77777777" w:rsidR="00540EA8" w:rsidRDefault="00540EA8"/>
        </w:tc>
      </w:tr>
      <w:tr w:rsidR="00540EA8" w14:paraId="4B438DFD" w14:textId="77777777" w:rsidTr="00540EA8">
        <w:tc>
          <w:tcPr>
            <w:tcW w:w="988" w:type="dxa"/>
          </w:tcPr>
          <w:p w14:paraId="2BBD24EA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>GI</w:t>
            </w:r>
          </w:p>
        </w:tc>
        <w:tc>
          <w:tcPr>
            <w:tcW w:w="2976" w:type="dxa"/>
            <w:shd w:val="clear" w:color="auto" w:fill="FF7E79"/>
          </w:tcPr>
          <w:p w14:paraId="123DE41A" w14:textId="77777777" w:rsidR="00540EA8" w:rsidRDefault="00540EA8">
            <w:r>
              <w:t>Established cirrhosis</w:t>
            </w:r>
          </w:p>
          <w:p w14:paraId="6B646AAC" w14:textId="77777777" w:rsidR="00540EA8" w:rsidRDefault="00540EA8">
            <w:r>
              <w:t>Active IBD</w:t>
            </w:r>
          </w:p>
          <w:p w14:paraId="065D2F4A" w14:textId="77777777" w:rsidR="00540EA8" w:rsidRDefault="00540EA8">
            <w:r>
              <w:t xml:space="preserve">Significant acute or chronic diarrhoea </w:t>
            </w:r>
          </w:p>
          <w:p w14:paraId="3FEBE573" w14:textId="77777777" w:rsidR="00540EA8" w:rsidRDefault="00540EA8">
            <w:r>
              <w:t xml:space="preserve">High output ileostomy </w:t>
            </w:r>
          </w:p>
        </w:tc>
        <w:tc>
          <w:tcPr>
            <w:tcW w:w="3402" w:type="dxa"/>
            <w:shd w:val="clear" w:color="auto" w:fill="FFD579"/>
          </w:tcPr>
          <w:p w14:paraId="57CE5620" w14:textId="77777777" w:rsidR="00540EA8" w:rsidRDefault="00540EA8">
            <w:r>
              <w:t>Liver transplant on tacrolimus (high risk renal toxicity if dehydrated)</w:t>
            </w:r>
          </w:p>
          <w:p w14:paraId="21CAF24D" w14:textId="77777777" w:rsidR="00540EA8" w:rsidRDefault="00540EA8"/>
        </w:tc>
        <w:tc>
          <w:tcPr>
            <w:tcW w:w="2410" w:type="dxa"/>
            <w:shd w:val="clear" w:color="auto" w:fill="D5FC79"/>
          </w:tcPr>
          <w:p w14:paraId="01BE444D" w14:textId="6EB82205" w:rsidR="00540EA8" w:rsidRDefault="00540EA8">
            <w:r>
              <w:t>Child-</w:t>
            </w:r>
            <w:proofErr w:type="spellStart"/>
            <w:r>
              <w:t>pugh</w:t>
            </w:r>
            <w:proofErr w:type="spellEnd"/>
            <w:r>
              <w:t xml:space="preserve"> A cirrhosis</w:t>
            </w:r>
          </w:p>
          <w:p w14:paraId="7B4EE6A8" w14:textId="77777777" w:rsidR="00540EA8" w:rsidRDefault="00540EA8">
            <w:r>
              <w:t>Stable IBD</w:t>
            </w:r>
          </w:p>
          <w:p w14:paraId="1CF3AD14" w14:textId="77777777" w:rsidR="00540EA8" w:rsidRDefault="00540EA8">
            <w:r>
              <w:t>Peptic ulcer disease/IBS</w:t>
            </w:r>
          </w:p>
        </w:tc>
      </w:tr>
      <w:tr w:rsidR="00540EA8" w14:paraId="6ABDD2BC" w14:textId="77777777" w:rsidTr="00540EA8">
        <w:tc>
          <w:tcPr>
            <w:tcW w:w="988" w:type="dxa"/>
          </w:tcPr>
          <w:p w14:paraId="79AB05D0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 xml:space="preserve">Diabetes </w:t>
            </w:r>
          </w:p>
        </w:tc>
        <w:tc>
          <w:tcPr>
            <w:tcW w:w="2976" w:type="dxa"/>
            <w:shd w:val="clear" w:color="auto" w:fill="FF7E79"/>
          </w:tcPr>
          <w:p w14:paraId="310AF3C6" w14:textId="77777777" w:rsidR="00540EA8" w:rsidRDefault="00540EA8">
            <w:r>
              <w:t>Severe hypoglycaemia in last 3 months</w:t>
            </w:r>
          </w:p>
          <w:p w14:paraId="0C36CC79" w14:textId="77777777" w:rsidR="00540EA8" w:rsidRDefault="00540EA8">
            <w:r>
              <w:t>DKA in last 3 months</w:t>
            </w:r>
          </w:p>
          <w:p w14:paraId="2D4EF3C2" w14:textId="77777777" w:rsidR="00540EA8" w:rsidRDefault="00540EA8">
            <w:r>
              <w:t>Recurrent hypos</w:t>
            </w:r>
          </w:p>
          <w:p w14:paraId="48EA1CFD" w14:textId="77777777" w:rsidR="00540EA8" w:rsidRDefault="00540EA8">
            <w:r>
              <w:t>Hypoglycaemia unaware</w:t>
            </w:r>
          </w:p>
          <w:p w14:paraId="5866E2A3" w14:textId="77777777" w:rsidR="00540EA8" w:rsidRDefault="00540EA8">
            <w:r>
              <w:t>Poorly controlled T1DM</w:t>
            </w:r>
          </w:p>
          <w:p w14:paraId="7E11610D" w14:textId="77777777" w:rsidR="00540EA8" w:rsidRDefault="00540EA8">
            <w:r>
              <w:t>Acute illness</w:t>
            </w:r>
          </w:p>
          <w:p w14:paraId="7BC527C1" w14:textId="77777777" w:rsidR="00540EA8" w:rsidRDefault="00540EA8">
            <w:r>
              <w:t>T2DM on insulin and no experience of safe fast</w:t>
            </w:r>
          </w:p>
        </w:tc>
        <w:tc>
          <w:tcPr>
            <w:tcW w:w="3402" w:type="dxa"/>
            <w:shd w:val="clear" w:color="auto" w:fill="FFD579"/>
          </w:tcPr>
          <w:p w14:paraId="55931704" w14:textId="6FCC33CB" w:rsidR="00540EA8" w:rsidRDefault="00540EA8">
            <w:r>
              <w:t xml:space="preserve">T2DM sustained poor </w:t>
            </w:r>
            <w:r w:rsidR="0042518B">
              <w:t>glycaemic</w:t>
            </w:r>
            <w:r>
              <w:t xml:space="preserve"> control e.g. HbA1c &gt;75 for 12 months</w:t>
            </w:r>
          </w:p>
          <w:p w14:paraId="06E6D0B2" w14:textId="77777777" w:rsidR="00540EA8" w:rsidRDefault="00540EA8">
            <w:r>
              <w:t>Well controlled T1DM</w:t>
            </w:r>
          </w:p>
          <w:p w14:paraId="5FE0E0C7" w14:textId="77777777" w:rsidR="00540EA8" w:rsidRDefault="00540EA8">
            <w:r>
              <w:t>T2DM on MDI or mixed insulin</w:t>
            </w:r>
          </w:p>
          <w:p w14:paraId="511C2143" w14:textId="77777777" w:rsidR="00540EA8" w:rsidRDefault="00540EA8" w:rsidP="00540EA8"/>
        </w:tc>
        <w:tc>
          <w:tcPr>
            <w:tcW w:w="2410" w:type="dxa"/>
            <w:shd w:val="clear" w:color="auto" w:fill="D5FC79"/>
          </w:tcPr>
          <w:p w14:paraId="3F34E18E" w14:textId="6091BC4B" w:rsidR="00540EA8" w:rsidRDefault="00540EA8">
            <w:r>
              <w:t>Well controlled T2DM</w:t>
            </w:r>
          </w:p>
        </w:tc>
      </w:tr>
      <w:tr w:rsidR="00540EA8" w14:paraId="471238CB" w14:textId="77777777" w:rsidTr="00540EA8">
        <w:tc>
          <w:tcPr>
            <w:tcW w:w="988" w:type="dxa"/>
          </w:tcPr>
          <w:p w14:paraId="0F4A6173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 xml:space="preserve">Pregnancy </w:t>
            </w:r>
          </w:p>
        </w:tc>
        <w:tc>
          <w:tcPr>
            <w:tcW w:w="2976" w:type="dxa"/>
            <w:shd w:val="clear" w:color="auto" w:fill="FF7E79"/>
          </w:tcPr>
          <w:p w14:paraId="33892283" w14:textId="77777777" w:rsidR="00540EA8" w:rsidRDefault="00540EA8">
            <w:r>
              <w:t>Severe underlying medical condition</w:t>
            </w:r>
          </w:p>
        </w:tc>
        <w:tc>
          <w:tcPr>
            <w:tcW w:w="3402" w:type="dxa"/>
            <w:shd w:val="clear" w:color="auto" w:fill="FFD579"/>
          </w:tcPr>
          <w:p w14:paraId="2EFDDC19" w14:textId="77777777" w:rsidR="00540EA8" w:rsidRDefault="00540EA8">
            <w:r>
              <w:t>Any patient in first trimester</w:t>
            </w:r>
          </w:p>
          <w:p w14:paraId="5BF1831F" w14:textId="77777777" w:rsidR="00540EA8" w:rsidRDefault="00540EA8"/>
        </w:tc>
        <w:tc>
          <w:tcPr>
            <w:tcW w:w="2410" w:type="dxa"/>
            <w:shd w:val="clear" w:color="auto" w:fill="D5FC79"/>
          </w:tcPr>
          <w:p w14:paraId="5B402682" w14:textId="77777777" w:rsidR="00540EA8" w:rsidRDefault="00540EA8">
            <w:r>
              <w:t>Uncomplicated healthy in second/third trimester</w:t>
            </w:r>
          </w:p>
        </w:tc>
      </w:tr>
      <w:tr w:rsidR="00540EA8" w14:paraId="0B591000" w14:textId="77777777" w:rsidTr="00540EA8">
        <w:tc>
          <w:tcPr>
            <w:tcW w:w="988" w:type="dxa"/>
          </w:tcPr>
          <w:p w14:paraId="2119AF58" w14:textId="77777777" w:rsidR="00540EA8" w:rsidRPr="00540EA8" w:rsidRDefault="00540EA8">
            <w:pPr>
              <w:rPr>
                <w:b/>
                <w:bCs/>
              </w:rPr>
            </w:pPr>
            <w:r w:rsidRPr="00540EA8">
              <w:rPr>
                <w:b/>
                <w:bCs/>
              </w:rPr>
              <w:t>Other</w:t>
            </w:r>
          </w:p>
        </w:tc>
        <w:tc>
          <w:tcPr>
            <w:tcW w:w="2976" w:type="dxa"/>
            <w:shd w:val="clear" w:color="auto" w:fill="FF7E79"/>
          </w:tcPr>
          <w:p w14:paraId="71689683" w14:textId="77777777" w:rsidR="00540EA8" w:rsidRDefault="00540EA8">
            <w:r>
              <w:t xml:space="preserve">Prone to sickle cell crisis </w:t>
            </w:r>
          </w:p>
          <w:p w14:paraId="54630DBC" w14:textId="77777777" w:rsidR="00540EA8" w:rsidRDefault="00540EA8">
            <w:proofErr w:type="spellStart"/>
            <w:r>
              <w:t>Thrombophilias</w:t>
            </w:r>
            <w:proofErr w:type="spellEnd"/>
            <w:r>
              <w:t xml:space="preserve"> with recurrent thrombosis</w:t>
            </w:r>
          </w:p>
          <w:p w14:paraId="7712BFBB" w14:textId="77777777" w:rsidR="00540EA8" w:rsidRDefault="00540EA8">
            <w:r>
              <w:t xml:space="preserve">Active SLE with renal involvement </w:t>
            </w:r>
          </w:p>
          <w:p w14:paraId="2552725B" w14:textId="77777777" w:rsidR="00540EA8" w:rsidRDefault="00540EA8">
            <w:r>
              <w:t>BMI &gt;40 with CVD</w:t>
            </w:r>
          </w:p>
        </w:tc>
        <w:tc>
          <w:tcPr>
            <w:tcW w:w="3402" w:type="dxa"/>
            <w:shd w:val="clear" w:color="auto" w:fill="FFD579"/>
          </w:tcPr>
          <w:p w14:paraId="66F9C5A1" w14:textId="77777777" w:rsidR="00540EA8" w:rsidRDefault="00540EA8">
            <w:r>
              <w:t>Haemolytic anaemias</w:t>
            </w:r>
          </w:p>
          <w:p w14:paraId="171F90A6" w14:textId="77777777" w:rsidR="00540EA8" w:rsidRDefault="00540EA8">
            <w:r>
              <w:t>Uncontrolled gout</w:t>
            </w:r>
          </w:p>
          <w:p w14:paraId="30FCFE02" w14:textId="77777777" w:rsidR="00540EA8" w:rsidRDefault="00540EA8">
            <w:r>
              <w:t>Steroids &gt;20mg a day</w:t>
            </w:r>
          </w:p>
          <w:p w14:paraId="74A95410" w14:textId="77777777" w:rsidR="00540EA8" w:rsidRDefault="00540EA8"/>
        </w:tc>
        <w:tc>
          <w:tcPr>
            <w:tcW w:w="2410" w:type="dxa"/>
            <w:shd w:val="clear" w:color="auto" w:fill="D5FC79"/>
          </w:tcPr>
          <w:p w14:paraId="1F0AD2A4" w14:textId="563B623F" w:rsidR="00540EA8" w:rsidRDefault="00540EA8">
            <w:r>
              <w:t>Sickle cell carriers</w:t>
            </w:r>
          </w:p>
          <w:p w14:paraId="7D3F958C" w14:textId="77777777" w:rsidR="00540EA8" w:rsidRDefault="00540EA8"/>
        </w:tc>
      </w:tr>
    </w:tbl>
    <w:p w14:paraId="72C79874" w14:textId="5F9B8A7B" w:rsidR="00540EA8" w:rsidRDefault="00540EA8"/>
    <w:p w14:paraId="6E308CC7" w14:textId="77777777" w:rsidR="00540EA8" w:rsidRPr="00540EA8" w:rsidRDefault="00540EA8">
      <w:pPr>
        <w:rPr>
          <w:b/>
          <w:bCs/>
        </w:rPr>
      </w:pPr>
      <w:r w:rsidRPr="00540EA8">
        <w:rPr>
          <w:b/>
          <w:bCs/>
        </w:rPr>
        <w:t xml:space="preserve">Medicines management in diabetes </w:t>
      </w:r>
    </w:p>
    <w:p w14:paraId="5795AB33" w14:textId="77777777" w:rsidR="00540EA8" w:rsidRDefault="00540EA8">
      <w:r>
        <w:t xml:space="preserve">The following is a guide </w:t>
      </w:r>
      <w:r w:rsidRPr="00540EA8">
        <w:t>summarised from the International Diabetes Federation</w:t>
      </w:r>
    </w:p>
    <w:tbl>
      <w:tblPr>
        <w:tblStyle w:val="ListTable7Colorful"/>
        <w:tblW w:w="9776" w:type="dxa"/>
        <w:tblLook w:val="04A0" w:firstRow="1" w:lastRow="0" w:firstColumn="1" w:lastColumn="0" w:noHBand="0" w:noVBand="1"/>
      </w:tblPr>
      <w:tblGrid>
        <w:gridCol w:w="1613"/>
        <w:gridCol w:w="3769"/>
        <w:gridCol w:w="4394"/>
      </w:tblGrid>
      <w:tr w:rsidR="00540EA8" w:rsidRPr="00540EA8" w14:paraId="31C42959" w14:textId="77777777" w:rsidTr="00540E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13" w:type="dxa"/>
          </w:tcPr>
          <w:p w14:paraId="23D59593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769" w:type="dxa"/>
          </w:tcPr>
          <w:p w14:paraId="53D7FE45" w14:textId="77777777" w:rsidR="00540EA8" w:rsidRPr="00540EA8" w:rsidRDefault="00540EA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</w:rPr>
            </w:pPr>
            <w:r w:rsidRPr="00540EA8">
              <w:rPr>
                <w:rFonts w:asciiTheme="minorHAnsi" w:hAnsiTheme="minorHAnsi" w:cstheme="minorHAnsi"/>
                <w:sz w:val="24"/>
              </w:rPr>
              <w:t>Usually taken</w:t>
            </w:r>
          </w:p>
        </w:tc>
        <w:tc>
          <w:tcPr>
            <w:tcW w:w="4394" w:type="dxa"/>
          </w:tcPr>
          <w:p w14:paraId="20427D0D" w14:textId="16B36664" w:rsidR="00540EA8" w:rsidRPr="00540EA8" w:rsidRDefault="00540EA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</w:rPr>
            </w:pPr>
            <w:r w:rsidRPr="00540EA8">
              <w:rPr>
                <w:rFonts w:asciiTheme="minorHAnsi" w:hAnsiTheme="minorHAnsi" w:cstheme="minorHAnsi"/>
                <w:sz w:val="24"/>
              </w:rPr>
              <w:t>During Ramadan</w:t>
            </w:r>
          </w:p>
        </w:tc>
      </w:tr>
      <w:tr w:rsidR="00540EA8" w:rsidRPr="00540EA8" w14:paraId="74A7D81C" w14:textId="77777777" w:rsidTr="00540E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4D731C10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  <w:r w:rsidRPr="00540EA8">
              <w:rPr>
                <w:rFonts w:asciiTheme="minorHAnsi" w:hAnsiTheme="minorHAnsi" w:cstheme="minorHAnsi"/>
                <w:sz w:val="24"/>
              </w:rPr>
              <w:t>Metformin</w:t>
            </w:r>
          </w:p>
        </w:tc>
        <w:tc>
          <w:tcPr>
            <w:tcW w:w="3769" w:type="dxa"/>
          </w:tcPr>
          <w:p w14:paraId="54087EC2" w14:textId="77777777" w:rsidR="00540EA8" w:rsidRPr="00540EA8" w:rsidRDefault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Once daily</w:t>
            </w:r>
          </w:p>
        </w:tc>
        <w:tc>
          <w:tcPr>
            <w:tcW w:w="4394" w:type="dxa"/>
          </w:tcPr>
          <w:p w14:paraId="64F3B65C" w14:textId="7C68B5D1" w:rsidR="00540EA8" w:rsidRPr="00540EA8" w:rsidRDefault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With evening meal</w:t>
            </w:r>
          </w:p>
        </w:tc>
      </w:tr>
      <w:tr w:rsidR="00540EA8" w:rsidRPr="00540EA8" w14:paraId="41D20CD5" w14:textId="77777777" w:rsidTr="00540E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661AB191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769" w:type="dxa"/>
          </w:tcPr>
          <w:p w14:paraId="291AEA35" w14:textId="77777777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Twice daily</w:t>
            </w:r>
          </w:p>
        </w:tc>
        <w:tc>
          <w:tcPr>
            <w:tcW w:w="4394" w:type="dxa"/>
          </w:tcPr>
          <w:p w14:paraId="0897C7A0" w14:textId="77777777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With evening + dawn meal</w:t>
            </w:r>
          </w:p>
        </w:tc>
      </w:tr>
      <w:tr w:rsidR="00540EA8" w:rsidRPr="00540EA8" w14:paraId="6DD6C450" w14:textId="77777777" w:rsidTr="00540E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32431AB3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769" w:type="dxa"/>
          </w:tcPr>
          <w:p w14:paraId="53641E44" w14:textId="77777777" w:rsidR="00540EA8" w:rsidRPr="00540EA8" w:rsidRDefault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Three times daily</w:t>
            </w:r>
          </w:p>
        </w:tc>
        <w:tc>
          <w:tcPr>
            <w:tcW w:w="4394" w:type="dxa"/>
          </w:tcPr>
          <w:p w14:paraId="42E9FD5B" w14:textId="54C6BB52" w:rsidR="00540EA8" w:rsidRPr="00540EA8" w:rsidRDefault="00540EA8" w:rsidP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 xml:space="preserve">If well controlled, take lower-than-usual dose </w:t>
            </w:r>
            <w:r w:rsidR="0042518B">
              <w:rPr>
                <w:rFonts w:cstheme="minorHAnsi"/>
              </w:rPr>
              <w:t>at dawn meal</w:t>
            </w:r>
          </w:p>
          <w:p w14:paraId="25A9600E" w14:textId="7DECBC1C" w:rsidR="00540EA8" w:rsidRPr="00540EA8" w:rsidRDefault="00540EA8" w:rsidP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 xml:space="preserve">Take normal dose with </w:t>
            </w:r>
            <w:r w:rsidR="0042518B">
              <w:rPr>
                <w:rFonts w:cstheme="minorHAnsi"/>
              </w:rPr>
              <w:t>evening meal</w:t>
            </w:r>
          </w:p>
        </w:tc>
      </w:tr>
      <w:tr w:rsidR="00540EA8" w:rsidRPr="00540EA8" w14:paraId="29763A20" w14:textId="77777777" w:rsidTr="00540E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633618FC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540EA8">
              <w:rPr>
                <w:rFonts w:asciiTheme="minorHAnsi" w:hAnsiTheme="minorHAnsi" w:cstheme="minorHAnsi"/>
                <w:sz w:val="24"/>
              </w:rPr>
              <w:t>Sulphonylurea</w:t>
            </w:r>
            <w:proofErr w:type="spellEnd"/>
          </w:p>
        </w:tc>
        <w:tc>
          <w:tcPr>
            <w:tcW w:w="3769" w:type="dxa"/>
          </w:tcPr>
          <w:p w14:paraId="2D69795A" w14:textId="77777777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Once daily</w:t>
            </w:r>
          </w:p>
        </w:tc>
        <w:tc>
          <w:tcPr>
            <w:tcW w:w="4394" w:type="dxa"/>
          </w:tcPr>
          <w:p w14:paraId="42614A8F" w14:textId="77777777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With evening meal</w:t>
            </w:r>
          </w:p>
        </w:tc>
      </w:tr>
      <w:tr w:rsidR="00540EA8" w:rsidRPr="00540EA8" w14:paraId="5ED1F69D" w14:textId="77777777" w:rsidTr="00540E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37A09FDD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769" w:type="dxa"/>
          </w:tcPr>
          <w:p w14:paraId="2821AAA4" w14:textId="77777777" w:rsidR="00540EA8" w:rsidRPr="00540EA8" w:rsidRDefault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Twice daily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4394" w:type="dxa"/>
          </w:tcPr>
          <w:p w14:paraId="2E9C28C0" w14:textId="5E563D25" w:rsidR="00540EA8" w:rsidRDefault="00540EA8" w:rsidP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If well controlled, take lower-than-usual dose with </w:t>
            </w:r>
            <w:r w:rsidR="0042518B">
              <w:t>dawn meal</w:t>
            </w:r>
          </w:p>
          <w:p w14:paraId="37D4190E" w14:textId="0C38FA58" w:rsidR="00540EA8" w:rsidRPr="00540EA8" w:rsidRDefault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Take normal dose with </w:t>
            </w:r>
            <w:r w:rsidR="0042518B">
              <w:t>evening meal</w:t>
            </w:r>
          </w:p>
        </w:tc>
      </w:tr>
      <w:tr w:rsidR="00540EA8" w:rsidRPr="00540EA8" w14:paraId="3F635D40" w14:textId="77777777" w:rsidTr="00540E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1F6EF807" w14:textId="77777777" w:rsidR="00540EA8" w:rsidRPr="00540EA8" w:rsidRDefault="00540EA8">
            <w:pPr>
              <w:rPr>
                <w:rFonts w:asciiTheme="minorHAnsi" w:hAnsiTheme="minorHAnsi" w:cstheme="minorHAnsi"/>
                <w:sz w:val="24"/>
              </w:rPr>
            </w:pPr>
            <w:r w:rsidRPr="00540EA8">
              <w:rPr>
                <w:rFonts w:asciiTheme="minorHAnsi" w:hAnsiTheme="minorHAnsi" w:cstheme="minorHAnsi"/>
                <w:sz w:val="24"/>
              </w:rPr>
              <w:t>pioglitazone</w:t>
            </w:r>
          </w:p>
        </w:tc>
        <w:tc>
          <w:tcPr>
            <w:tcW w:w="3769" w:type="dxa"/>
          </w:tcPr>
          <w:p w14:paraId="7F2DFAB5" w14:textId="77777777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-</w:t>
            </w:r>
          </w:p>
        </w:tc>
        <w:tc>
          <w:tcPr>
            <w:tcW w:w="4394" w:type="dxa"/>
          </w:tcPr>
          <w:p w14:paraId="21F7ED9D" w14:textId="1B00E5EF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>No dose adjustment</w:t>
            </w:r>
          </w:p>
        </w:tc>
      </w:tr>
      <w:tr w:rsidR="00540EA8" w:rsidRPr="00540EA8" w14:paraId="2E928F9E" w14:textId="77777777" w:rsidTr="00540E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61FD4973" w14:textId="77777777" w:rsidR="00540EA8" w:rsidRPr="0042518B" w:rsidRDefault="00540EA8">
            <w:pPr>
              <w:rPr>
                <w:rFonts w:asciiTheme="minorHAnsi" w:hAnsiTheme="minorHAnsi" w:cstheme="minorHAnsi"/>
                <w:sz w:val="24"/>
              </w:rPr>
            </w:pPr>
            <w:r w:rsidRPr="0042518B">
              <w:rPr>
                <w:rFonts w:asciiTheme="minorHAnsi" w:hAnsiTheme="minorHAnsi" w:cstheme="minorHAnsi"/>
                <w:sz w:val="24"/>
              </w:rPr>
              <w:t>Gliflozins (SGLT2 inhibitors)</w:t>
            </w:r>
          </w:p>
        </w:tc>
        <w:tc>
          <w:tcPr>
            <w:tcW w:w="3769" w:type="dxa"/>
          </w:tcPr>
          <w:p w14:paraId="4CF79B84" w14:textId="07EBF666" w:rsidR="00540EA8" w:rsidRPr="00540EA8" w:rsidRDefault="00425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4394" w:type="dxa"/>
          </w:tcPr>
          <w:p w14:paraId="5215EF85" w14:textId="2A9833F8" w:rsidR="00540EA8" w:rsidRPr="00540EA8" w:rsidRDefault="00540E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40EA8">
              <w:rPr>
                <w:rFonts w:cstheme="minorHAnsi"/>
              </w:rPr>
              <w:t xml:space="preserve">Use with caution but no dose adjustment needed. Take with </w:t>
            </w:r>
            <w:r w:rsidR="0042518B">
              <w:rPr>
                <w:rFonts w:cstheme="minorHAnsi"/>
              </w:rPr>
              <w:t>evening meal.</w:t>
            </w:r>
            <w:r w:rsidRPr="00540EA8">
              <w:rPr>
                <w:rFonts w:cstheme="minorHAnsi"/>
              </w:rPr>
              <w:t xml:space="preserve"> Increase fluids in non-fasting hours if possible.</w:t>
            </w:r>
          </w:p>
        </w:tc>
      </w:tr>
      <w:tr w:rsidR="00540EA8" w:rsidRPr="00540EA8" w14:paraId="5EB08387" w14:textId="77777777" w:rsidTr="00540E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</w:tcPr>
          <w:p w14:paraId="479C731E" w14:textId="77777777" w:rsidR="00540EA8" w:rsidRPr="0042518B" w:rsidRDefault="00540EA8">
            <w:pPr>
              <w:rPr>
                <w:rFonts w:asciiTheme="minorHAnsi" w:hAnsiTheme="minorHAnsi" w:cstheme="minorHAnsi"/>
                <w:sz w:val="24"/>
              </w:rPr>
            </w:pPr>
            <w:r w:rsidRPr="0042518B">
              <w:rPr>
                <w:rFonts w:asciiTheme="minorHAnsi" w:hAnsiTheme="minorHAnsi" w:cstheme="minorHAnsi"/>
                <w:sz w:val="24"/>
              </w:rPr>
              <w:t>GLP-1s</w:t>
            </w:r>
          </w:p>
        </w:tc>
        <w:tc>
          <w:tcPr>
            <w:tcW w:w="3769" w:type="dxa"/>
          </w:tcPr>
          <w:p w14:paraId="57F9341E" w14:textId="77777777" w:rsidR="00540EA8" w:rsidRPr="00540EA8" w:rsidRDefault="00540E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4394" w:type="dxa"/>
          </w:tcPr>
          <w:p w14:paraId="0E514429" w14:textId="51F165EE" w:rsidR="00540EA8" w:rsidRPr="00540EA8" w:rsidRDefault="00BF30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22EF94C" wp14:editId="3CA5F679">
                  <wp:simplePos x="0" y="0"/>
                  <wp:positionH relativeFrom="column">
                    <wp:posOffset>-4391025</wp:posOffset>
                  </wp:positionH>
                  <wp:positionV relativeFrom="paragraph">
                    <wp:posOffset>-9386569</wp:posOffset>
                  </wp:positionV>
                  <wp:extent cx="7534275" cy="10740390"/>
                  <wp:effectExtent l="0" t="0" r="9525" b="381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alphaModFix amt="3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8385" cy="1077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40EA8" w:rsidRPr="00540EA8">
              <w:rPr>
                <w:rFonts w:cstheme="minorHAnsi"/>
              </w:rPr>
              <w:t>No dose adjustment needed</w:t>
            </w:r>
          </w:p>
        </w:tc>
      </w:tr>
    </w:tbl>
    <w:p w14:paraId="4115111D" w14:textId="77777777" w:rsidR="0042518B" w:rsidRDefault="0042518B"/>
    <w:p w14:paraId="34B2B972" w14:textId="74CF45B7" w:rsidR="00540EA8" w:rsidRDefault="00540EA8">
      <w:r>
        <w:t>For more information on the management of other medications, please se</w:t>
      </w:r>
      <w:r w:rsidR="0042518B">
        <w:t xml:space="preserve">e leaflet HMC Ramadan medicines </w:t>
      </w:r>
      <w:proofErr w:type="spellStart"/>
      <w:r w:rsidR="0042518B">
        <w:t>managment</w:t>
      </w:r>
      <w:proofErr w:type="spellEnd"/>
      <w:r w:rsidR="0042518B">
        <w:t xml:space="preserve"> which will be on the shared drive.</w:t>
      </w:r>
    </w:p>
    <w:sectPr w:rsidR="00540EA8" w:rsidSect="0042518B">
      <w:headerReference w:type="even" r:id="rId10"/>
      <w:headerReference w:type="default" r:id="rId11"/>
      <w:headerReference w:type="first" r:id="rId12"/>
      <w:pgSz w:w="11906" w:h="16838"/>
      <w:pgMar w:top="1440" w:right="1440" w:bottom="1045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AFE28" w14:textId="77777777" w:rsidR="00C46A1B" w:rsidRDefault="00C46A1B" w:rsidP="00E832E4">
      <w:r>
        <w:separator/>
      </w:r>
    </w:p>
  </w:endnote>
  <w:endnote w:type="continuationSeparator" w:id="0">
    <w:p w14:paraId="6DEF23D4" w14:textId="77777777" w:rsidR="00C46A1B" w:rsidRDefault="00C46A1B" w:rsidP="00E83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B048A" w14:textId="77777777" w:rsidR="00C46A1B" w:rsidRDefault="00C46A1B" w:rsidP="00E832E4">
      <w:r>
        <w:separator/>
      </w:r>
    </w:p>
  </w:footnote>
  <w:footnote w:type="continuationSeparator" w:id="0">
    <w:p w14:paraId="6AD2B4BB" w14:textId="77777777" w:rsidR="00C46A1B" w:rsidRDefault="00C46A1B" w:rsidP="00E83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6D5A0" w14:textId="04AFDA54" w:rsidR="00BF306E" w:rsidRDefault="00BF306E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9576C41" wp14:editId="6359392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6510" b="16510"/>
              <wp:wrapNone/>
              <wp:docPr id="8" name="Text Box 8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814CFB" w14:textId="32730F94" w:rsidR="00BF306E" w:rsidRPr="00BF306E" w:rsidRDefault="00BF306E" w:rsidP="00BF306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F306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576C41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alt="OFFICI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textbox style="mso-fit-shape-to-text:t" inset="0,15pt,0,0">
                <w:txbxContent>
                  <w:p w14:paraId="23814CFB" w14:textId="32730F94" w:rsidR="00BF306E" w:rsidRPr="00BF306E" w:rsidRDefault="00BF306E" w:rsidP="00BF306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F306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8D650" w14:textId="00B13A09" w:rsidR="00BF306E" w:rsidRDefault="00BF30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8D3DD" w14:textId="2799F851" w:rsidR="00BF306E" w:rsidRDefault="00BF306E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8D802D5" wp14:editId="56583AF4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6510" b="16510"/>
              <wp:wrapNone/>
              <wp:docPr id="7" name="Text Box 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B9B41F" w14:textId="653FF24F" w:rsidR="00BF306E" w:rsidRPr="00BF306E" w:rsidRDefault="00BF306E" w:rsidP="00BF306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F306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802D5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alt="OFFICIAL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" filled="f" stroked="f">
              <v:textbox style="mso-fit-shape-to-text:t" inset="0,15pt,0,0">
                <w:txbxContent>
                  <w:p w14:paraId="6EB9B41F" w14:textId="653FF24F" w:rsidR="00BF306E" w:rsidRPr="00BF306E" w:rsidRDefault="00BF306E" w:rsidP="00BF306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F306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A67DAA"/>
    <w:multiLevelType w:val="hybridMultilevel"/>
    <w:tmpl w:val="A39ABB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B5AA3"/>
    <w:multiLevelType w:val="hybridMultilevel"/>
    <w:tmpl w:val="ED02EFD8"/>
    <w:lvl w:ilvl="0" w:tplc="F0BAA44E">
      <w:start w:val="1"/>
      <w:numFmt w:val="bullet"/>
      <w:lvlText w:val="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B7283C"/>
    <w:multiLevelType w:val="hybridMultilevel"/>
    <w:tmpl w:val="6DEEC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313771">
    <w:abstractNumId w:val="1"/>
  </w:num>
  <w:num w:numId="2" w16cid:durableId="158228340">
    <w:abstractNumId w:val="0"/>
  </w:num>
  <w:num w:numId="3" w16cid:durableId="24923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EA8"/>
    <w:rsid w:val="00055052"/>
    <w:rsid w:val="0042518B"/>
    <w:rsid w:val="00540EA8"/>
    <w:rsid w:val="00BC6B6F"/>
    <w:rsid w:val="00BF306E"/>
    <w:rsid w:val="00C46A1B"/>
    <w:rsid w:val="00E47F70"/>
    <w:rsid w:val="00E83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6A3988"/>
  <w15:chartTrackingRefBased/>
  <w15:docId w15:val="{DEC9261C-BDEE-1B47-8070-BC567E0FB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EA8"/>
    <w:pPr>
      <w:ind w:left="720"/>
      <w:contextualSpacing/>
    </w:pPr>
  </w:style>
  <w:style w:type="table" w:styleId="TableGrid">
    <w:name w:val="Table Grid"/>
    <w:basedOn w:val="TableNormal"/>
    <w:uiPriority w:val="39"/>
    <w:rsid w:val="00540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40EA8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0EA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40EA8"/>
    <w:rPr>
      <w:b/>
      <w:bCs/>
    </w:rPr>
  </w:style>
  <w:style w:type="table" w:styleId="GridTable5Dark-Accent5">
    <w:name w:val="Grid Table 5 Dark Accent 5"/>
    <w:basedOn w:val="TableNormal"/>
    <w:uiPriority w:val="50"/>
    <w:rsid w:val="00540EA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F0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AB5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AB5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AB5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AB5C4" w:themeFill="accent5"/>
      </w:tcPr>
    </w:tblStylePr>
    <w:tblStylePr w:type="band1Vert">
      <w:tblPr/>
      <w:tcPr>
        <w:shd w:val="clear" w:color="auto" w:fill="B6E1E7" w:themeFill="accent5" w:themeFillTint="66"/>
      </w:tcPr>
    </w:tblStylePr>
    <w:tblStylePr w:type="band1Horz">
      <w:tblPr/>
      <w:tcPr>
        <w:shd w:val="clear" w:color="auto" w:fill="B6E1E7" w:themeFill="accent5" w:themeFillTint="66"/>
      </w:tcPr>
    </w:tblStylePr>
  </w:style>
  <w:style w:type="table" w:styleId="GridTable7Colorful-Accent4">
    <w:name w:val="Grid Table 7 Colorful Accent 4"/>
    <w:basedOn w:val="TableNormal"/>
    <w:uiPriority w:val="52"/>
    <w:rsid w:val="00540EA8"/>
    <w:rPr>
      <w:color w:val="017057" w:themeColor="accent4" w:themeShade="BF"/>
    </w:rPr>
    <w:tblPr>
      <w:tblStyleRowBandSize w:val="1"/>
      <w:tblStyleColBandSize w:val="1"/>
      <w:tblBorders>
        <w:top w:val="single" w:sz="4" w:space="0" w:color="2AFCCE" w:themeColor="accent4" w:themeTint="99"/>
        <w:left w:val="single" w:sz="4" w:space="0" w:color="2AFCCE" w:themeColor="accent4" w:themeTint="99"/>
        <w:bottom w:val="single" w:sz="4" w:space="0" w:color="2AFCCE" w:themeColor="accent4" w:themeTint="99"/>
        <w:right w:val="single" w:sz="4" w:space="0" w:color="2AFCCE" w:themeColor="accent4" w:themeTint="99"/>
        <w:insideH w:val="single" w:sz="4" w:space="0" w:color="2AFCCE" w:themeColor="accent4" w:themeTint="99"/>
        <w:insideV w:val="single" w:sz="4" w:space="0" w:color="2AFCC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  <w:tblStylePr w:type="neCell">
      <w:tblPr/>
      <w:tcPr>
        <w:tcBorders>
          <w:bottom w:val="single" w:sz="4" w:space="0" w:color="2AFCCE" w:themeColor="accent4" w:themeTint="99"/>
        </w:tcBorders>
      </w:tcPr>
    </w:tblStylePr>
    <w:tblStylePr w:type="nwCell">
      <w:tblPr/>
      <w:tcPr>
        <w:tcBorders>
          <w:bottom w:val="single" w:sz="4" w:space="0" w:color="2AFCCE" w:themeColor="accent4" w:themeTint="99"/>
        </w:tcBorders>
      </w:tcPr>
    </w:tblStylePr>
    <w:tblStylePr w:type="seCell">
      <w:tblPr/>
      <w:tcPr>
        <w:tcBorders>
          <w:top w:val="single" w:sz="4" w:space="0" w:color="2AFCCE" w:themeColor="accent4" w:themeTint="99"/>
        </w:tcBorders>
      </w:tcPr>
    </w:tblStylePr>
    <w:tblStylePr w:type="swCell">
      <w:tblPr/>
      <w:tcPr>
        <w:tcBorders>
          <w:top w:val="single" w:sz="4" w:space="0" w:color="2AFCCE" w:themeColor="accent4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40EA8"/>
    <w:rPr>
      <w:color w:val="939F27" w:themeColor="accent3" w:themeShade="BF"/>
    </w:rPr>
    <w:tblPr>
      <w:tblStyleRowBandSize w:val="1"/>
      <w:tblStyleColBandSize w:val="1"/>
      <w:tblBorders>
        <w:top w:val="single" w:sz="4" w:space="0" w:color="D9E288" w:themeColor="accent3" w:themeTint="99"/>
        <w:left w:val="single" w:sz="4" w:space="0" w:color="D9E288" w:themeColor="accent3" w:themeTint="99"/>
        <w:bottom w:val="single" w:sz="4" w:space="0" w:color="D9E288" w:themeColor="accent3" w:themeTint="99"/>
        <w:right w:val="single" w:sz="4" w:space="0" w:color="D9E288" w:themeColor="accent3" w:themeTint="99"/>
        <w:insideH w:val="single" w:sz="4" w:space="0" w:color="D9E288" w:themeColor="accent3" w:themeTint="99"/>
        <w:insideV w:val="single" w:sz="4" w:space="0" w:color="D9E28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  <w:tblStylePr w:type="neCell">
      <w:tblPr/>
      <w:tcPr>
        <w:tcBorders>
          <w:bottom w:val="single" w:sz="4" w:space="0" w:color="D9E288" w:themeColor="accent3" w:themeTint="99"/>
        </w:tcBorders>
      </w:tcPr>
    </w:tblStylePr>
    <w:tblStylePr w:type="nwCell">
      <w:tblPr/>
      <w:tcPr>
        <w:tcBorders>
          <w:bottom w:val="single" w:sz="4" w:space="0" w:color="D9E288" w:themeColor="accent3" w:themeTint="99"/>
        </w:tcBorders>
      </w:tcPr>
    </w:tblStylePr>
    <w:tblStylePr w:type="seCell">
      <w:tblPr/>
      <w:tcPr>
        <w:tcBorders>
          <w:top w:val="single" w:sz="4" w:space="0" w:color="D9E288" w:themeColor="accent3" w:themeTint="99"/>
        </w:tcBorders>
      </w:tcPr>
    </w:tblStylePr>
    <w:tblStylePr w:type="swCell">
      <w:tblPr/>
      <w:tcPr>
        <w:tcBorders>
          <w:top w:val="single" w:sz="4" w:space="0" w:color="D9E288" w:themeColor="accent3" w:themeTint="99"/>
        </w:tcBorders>
      </w:tcPr>
    </w:tblStylePr>
  </w:style>
  <w:style w:type="table" w:styleId="ListTable7Colorful">
    <w:name w:val="List Table 7 Colorful"/>
    <w:basedOn w:val="TableNormal"/>
    <w:uiPriority w:val="52"/>
    <w:rsid w:val="00540EA8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832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2E4"/>
  </w:style>
  <w:style w:type="paragraph" w:styleId="Footer">
    <w:name w:val="footer"/>
    <w:basedOn w:val="Normal"/>
    <w:link w:val="FooterChar"/>
    <w:uiPriority w:val="99"/>
    <w:unhideWhenUsed/>
    <w:rsid w:val="00E832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2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ritishima.org/Ramadan-compendiu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50750-C856-4DC9-8EE5-015F0E32D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3885</Characters>
  <Application>Microsoft Office Word</Application>
  <DocSecurity>0</DocSecurity>
  <Lines>194</Lines>
  <Paragraphs>134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Lamia Ibrahim</dc:creator>
  <cp:keywords/>
  <dc:description/>
  <cp:lastModifiedBy>Ramesh Mehay</cp:lastModifiedBy>
  <cp:revision>2</cp:revision>
  <dcterms:created xsi:type="dcterms:W3CDTF">2024-01-22T23:03:00Z</dcterms:created>
  <dcterms:modified xsi:type="dcterms:W3CDTF">2024-01-22T23:03:00Z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7,8,9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OFFICIAL</vt:lpwstr>
  </property>
  <property fmtid="{D5CDD505-2E9C-101B-9397-08002B2CF9AE}" pid="5" name="MSIP_Label_8577031b-11bc-4db9-b655-7d79027ad570_Enabled">
    <vt:lpwstr>true</vt:lpwstr>
  </property>
  <property fmtid="{D5CDD505-2E9C-101B-9397-08002B2CF9AE}" pid="6" name="MSIP_Label_8577031b-11bc-4db9-b655-7d79027ad570_SetDate">
    <vt:lpwstr>2024-01-04T13:20:35Z</vt:lpwstr>
  </property>
  <property fmtid="{D5CDD505-2E9C-101B-9397-08002B2CF9AE}" pid="7" name="MSIP_Label_8577031b-11bc-4db9-b655-7d79027ad570_Method">
    <vt:lpwstr>Standard</vt:lpwstr>
  </property>
  <property fmtid="{D5CDD505-2E9C-101B-9397-08002B2CF9AE}" pid="8" name="MSIP_Label_8577031b-11bc-4db9-b655-7d79027ad570_Name">
    <vt:lpwstr>8577031b-11bc-4db9-b655-7d79027ad570</vt:lpwstr>
  </property>
  <property fmtid="{D5CDD505-2E9C-101B-9397-08002B2CF9AE}" pid="9" name="MSIP_Label_8577031b-11bc-4db9-b655-7d79027ad570_SiteId">
    <vt:lpwstr>c22cc3e1-5d7f-4f4d-be03-d5a158cc9409</vt:lpwstr>
  </property>
  <property fmtid="{D5CDD505-2E9C-101B-9397-08002B2CF9AE}" pid="10" name="MSIP_Label_8577031b-11bc-4db9-b655-7d79027ad570_ActionId">
    <vt:lpwstr>a0c9566f-33de-4d98-a801-447b49c82a18</vt:lpwstr>
  </property>
  <property fmtid="{D5CDD505-2E9C-101B-9397-08002B2CF9AE}" pid="11" name="MSIP_Label_8577031b-11bc-4db9-b655-7d79027ad570_ContentBits">
    <vt:lpwstr>1</vt:lpwstr>
  </property>
  <property fmtid="{D5CDD505-2E9C-101B-9397-08002B2CF9AE}" pid="12" name="GrammarlyDocumentId">
    <vt:lpwstr>517f70e8f9845504c6b1b0e85c28669033d3af84e643a4f2e5e1c9adc1a57789</vt:lpwstr>
  </property>
</Properties>
</file>