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1EC65E" w14:textId="652E1129" w:rsidR="00F038CF" w:rsidRPr="00410F0F" w:rsidRDefault="00F038CF" w:rsidP="00410F0F">
      <w:pPr>
        <w:shd w:val="clear" w:color="auto" w:fill="FFFFFF"/>
        <w:spacing w:before="375" w:after="375" w:line="240" w:lineRule="auto"/>
        <w:jc w:val="center"/>
        <w:outlineLvl w:val="1"/>
        <w:rPr>
          <w:rFonts w:ascii="Palatino Linotype" w:eastAsia="Times New Roman" w:hAnsi="Palatino Linotype" w:cs="Times New Roman"/>
          <w:color w:val="002959"/>
          <w:sz w:val="40"/>
          <w:szCs w:val="40"/>
          <w:lang w:eastAsia="en-GB"/>
        </w:rPr>
      </w:pPr>
      <w:r w:rsidRPr="00410F0F">
        <w:rPr>
          <w:rFonts w:ascii="Palatino Linotype" w:eastAsia="Times New Roman" w:hAnsi="Palatino Linotype" w:cs="Times New Roman"/>
          <w:color w:val="002959"/>
          <w:sz w:val="40"/>
          <w:szCs w:val="40"/>
          <w:lang w:eastAsia="en-GB"/>
        </w:rPr>
        <w:t>What sort of cases are likely to contain insufficient evidence</w:t>
      </w:r>
      <w:r w:rsidR="00410F0F" w:rsidRPr="00410F0F">
        <w:rPr>
          <w:rFonts w:ascii="Palatino Linotype" w:eastAsia="Times New Roman" w:hAnsi="Palatino Linotype" w:cs="Times New Roman"/>
          <w:color w:val="002959"/>
          <w:sz w:val="40"/>
          <w:szCs w:val="40"/>
          <w:lang w:eastAsia="en-GB"/>
        </w:rPr>
        <w:t xml:space="preserve"> for RCA</w:t>
      </w:r>
      <w:r w:rsidRPr="00410F0F">
        <w:rPr>
          <w:rFonts w:ascii="Palatino Linotype" w:eastAsia="Times New Roman" w:hAnsi="Palatino Linotype" w:cs="Times New Roman"/>
          <w:color w:val="002959"/>
          <w:sz w:val="40"/>
          <w:szCs w:val="40"/>
          <w:lang w:eastAsia="en-GB"/>
        </w:rPr>
        <w:t>?</w:t>
      </w:r>
    </w:p>
    <w:p w14:paraId="5AAD0865" w14:textId="08D70497" w:rsidR="00F038CF" w:rsidRPr="00410F0F" w:rsidRDefault="00F038CF" w:rsidP="00410F0F">
      <w:p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An initial analysis of cases flagged by both examiners as low challenge (LCx2) in the July diet of the RCA shows some clear patterns.</w:t>
      </w:r>
    </w:p>
    <w:p w14:paraId="3BD7C5A2" w14:textId="77777777" w:rsidR="00410F0F" w:rsidRPr="00410F0F" w:rsidRDefault="00410F0F" w:rsidP="00410F0F">
      <w:pPr>
        <w:shd w:val="clear" w:color="auto" w:fill="FFFFFF"/>
        <w:spacing w:after="0" w:line="240" w:lineRule="auto"/>
        <w:jc w:val="both"/>
        <w:rPr>
          <w:rFonts w:asciiTheme="majorHAnsi" w:eastAsia="Times New Roman" w:hAnsiTheme="majorHAnsi" w:cstheme="majorHAnsi"/>
          <w:lang w:eastAsia="en-GB"/>
        </w:rPr>
      </w:pPr>
    </w:p>
    <w:p w14:paraId="3B27FB76" w14:textId="5FC5BB34" w:rsidR="00F038CF" w:rsidRPr="00410F0F" w:rsidRDefault="00F038CF" w:rsidP="00410F0F">
      <w:p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In some cases, there was doubt about whether the patient needed to see a GP – the case being more appropriately handled by a nurse practitioner or pharmacist, for example. In many cases, the patient already had a diagnosis, or the explanation and management had already been done, either by the candidate on a previous occasion or by somebody else.</w:t>
      </w:r>
    </w:p>
    <w:p w14:paraId="3FABB48C" w14:textId="77777777" w:rsidR="00410F0F" w:rsidRPr="00410F0F" w:rsidRDefault="00410F0F" w:rsidP="00410F0F">
      <w:pPr>
        <w:shd w:val="clear" w:color="auto" w:fill="FFFFFF"/>
        <w:spacing w:after="0" w:line="240" w:lineRule="auto"/>
        <w:jc w:val="both"/>
        <w:rPr>
          <w:rFonts w:asciiTheme="majorHAnsi" w:eastAsia="Times New Roman" w:hAnsiTheme="majorHAnsi" w:cstheme="majorHAnsi"/>
          <w:lang w:eastAsia="en-GB"/>
        </w:rPr>
      </w:pPr>
    </w:p>
    <w:p w14:paraId="07E69F82" w14:textId="77777777" w:rsidR="00F038CF" w:rsidRPr="00410F0F" w:rsidRDefault="00F038CF" w:rsidP="00410F0F">
      <w:pPr>
        <w:numPr>
          <w:ilvl w:val="0"/>
          <w:numId w:val="1"/>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Medication request / repeat prescription / adjust medication</w:t>
      </w:r>
    </w:p>
    <w:p w14:paraId="3581F633" w14:textId="77777777" w:rsidR="00F038CF" w:rsidRPr="00410F0F" w:rsidRDefault="00F038CF" w:rsidP="00410F0F">
      <w:pPr>
        <w:numPr>
          <w:ilvl w:val="0"/>
          <w:numId w:val="1"/>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Pill check</w:t>
      </w:r>
    </w:p>
    <w:p w14:paraId="55CED04D" w14:textId="77777777" w:rsidR="00F038CF" w:rsidRPr="00410F0F" w:rsidRDefault="00F038CF" w:rsidP="00410F0F">
      <w:pPr>
        <w:numPr>
          <w:ilvl w:val="0"/>
          <w:numId w:val="1"/>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Follow up</w:t>
      </w:r>
    </w:p>
    <w:p w14:paraId="7A1A08A3" w14:textId="77777777" w:rsidR="00F038CF" w:rsidRPr="00410F0F" w:rsidRDefault="00F038CF" w:rsidP="00410F0F">
      <w:pPr>
        <w:numPr>
          <w:ilvl w:val="0"/>
          <w:numId w:val="1"/>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Recurrence</w:t>
      </w:r>
    </w:p>
    <w:p w14:paraId="53CA6048" w14:textId="77777777" w:rsidR="00F038CF" w:rsidRPr="00410F0F" w:rsidRDefault="00F038CF" w:rsidP="00410F0F">
      <w:pPr>
        <w:numPr>
          <w:ilvl w:val="0"/>
          <w:numId w:val="1"/>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Results</w:t>
      </w:r>
    </w:p>
    <w:p w14:paraId="0B9AC5D0" w14:textId="6C8538AB" w:rsidR="00410F0F" w:rsidRPr="00410F0F" w:rsidRDefault="00F038CF" w:rsidP="00410F0F">
      <w:pPr>
        <w:numPr>
          <w:ilvl w:val="0"/>
          <w:numId w:val="1"/>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Sick note request / fitness to work</w:t>
      </w:r>
    </w:p>
    <w:p w14:paraId="57E8A2FC" w14:textId="77777777" w:rsidR="00410F0F" w:rsidRPr="00410F0F" w:rsidRDefault="00410F0F" w:rsidP="00410F0F">
      <w:pPr>
        <w:shd w:val="clear" w:color="auto" w:fill="FFFFFF"/>
        <w:spacing w:after="0" w:line="240" w:lineRule="auto"/>
        <w:jc w:val="both"/>
        <w:rPr>
          <w:rFonts w:asciiTheme="majorHAnsi" w:eastAsia="Times New Roman" w:hAnsiTheme="majorHAnsi" w:cstheme="majorHAnsi"/>
          <w:lang w:eastAsia="en-GB"/>
        </w:rPr>
      </w:pPr>
    </w:p>
    <w:p w14:paraId="48789708" w14:textId="12C18626" w:rsidR="00F038CF" w:rsidRPr="00410F0F" w:rsidRDefault="00F038CF" w:rsidP="00410F0F">
      <w:p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Clearly, in these cases there was comparatively little for the candidate to do and therefore limited opportunity to display the capabilities necessary for licensing (especially in Data Gathering and Clinical Management). An initial psychometric analysis of the marking of cases flagged as low challenge in the July diet showed a difference of just over one mark in the mean overall case mark compared with other cases (5.15 compared with 6.19. Note that a pass in all three domains would give a mark of 6.). This seems likely to be related to the limited opportunity to display relevant capabilities. There may be confounding factors. For example, weaker candidates may be more likely to submit LC cases.</w:t>
      </w:r>
    </w:p>
    <w:p w14:paraId="25442929" w14:textId="77777777" w:rsidR="00410F0F" w:rsidRPr="00410F0F" w:rsidRDefault="00410F0F" w:rsidP="00410F0F">
      <w:pPr>
        <w:shd w:val="clear" w:color="auto" w:fill="FFFFFF"/>
        <w:spacing w:after="0" w:line="240" w:lineRule="auto"/>
        <w:jc w:val="both"/>
        <w:rPr>
          <w:rFonts w:asciiTheme="majorHAnsi" w:eastAsia="Times New Roman" w:hAnsiTheme="majorHAnsi" w:cstheme="majorHAnsi"/>
          <w:lang w:eastAsia="en-GB"/>
        </w:rPr>
      </w:pPr>
    </w:p>
    <w:p w14:paraId="5546EC17" w14:textId="77777777" w:rsidR="00F038CF" w:rsidRPr="00410F0F" w:rsidRDefault="00F038CF" w:rsidP="00410F0F">
      <w:p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Certain clinical areas occur frequently:</w:t>
      </w:r>
    </w:p>
    <w:p w14:paraId="1CDC148F" w14:textId="77777777"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Skin / dry skin / skin lesion</w:t>
      </w:r>
    </w:p>
    <w:p w14:paraId="420D827F" w14:textId="77777777"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Eczema (especially recurrence or flare)</w:t>
      </w:r>
    </w:p>
    <w:p w14:paraId="1B542618" w14:textId="77777777"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Acne (especially recurrence)</w:t>
      </w:r>
    </w:p>
    <w:p w14:paraId="06462609" w14:textId="77777777"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Molluscum</w:t>
      </w:r>
    </w:p>
    <w:p w14:paraId="4C2DED67" w14:textId="77777777"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Ear wax</w:t>
      </w:r>
    </w:p>
    <w:p w14:paraId="18F962DC" w14:textId="77777777"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Earache</w:t>
      </w:r>
    </w:p>
    <w:p w14:paraId="32524E9D" w14:textId="77777777"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Conjunctivitis / sticky eye</w:t>
      </w:r>
    </w:p>
    <w:p w14:paraId="1A9EBBD2" w14:textId="77777777"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Blepharitis</w:t>
      </w:r>
    </w:p>
    <w:p w14:paraId="56983883" w14:textId="77777777"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Stye</w:t>
      </w:r>
    </w:p>
    <w:p w14:paraId="28BCCF89" w14:textId="77777777"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Hay fever</w:t>
      </w:r>
    </w:p>
    <w:p w14:paraId="6E727B5B" w14:textId="77777777"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Sore throat</w:t>
      </w:r>
    </w:p>
    <w:p w14:paraId="38F341ED" w14:textId="77777777"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Tonsillitis</w:t>
      </w:r>
    </w:p>
    <w:p w14:paraId="67350247" w14:textId="77777777"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Sinusitis</w:t>
      </w:r>
    </w:p>
    <w:p w14:paraId="77A54E2F" w14:textId="42EBDD11" w:rsidR="00F038CF" w:rsidRPr="00410F0F" w:rsidRDefault="00F038C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Cough</w:t>
      </w:r>
    </w:p>
    <w:p w14:paraId="6D8CA07A" w14:textId="77777777" w:rsidR="00410F0F" w:rsidRPr="00410F0F" w:rsidRDefault="00410F0F" w:rsidP="00410F0F">
      <w:pPr>
        <w:numPr>
          <w:ilvl w:val="0"/>
          <w:numId w:val="2"/>
        </w:numPr>
        <w:shd w:val="clear" w:color="auto" w:fill="FFFFFF"/>
        <w:spacing w:after="0" w:line="240" w:lineRule="auto"/>
        <w:jc w:val="both"/>
        <w:rPr>
          <w:rFonts w:asciiTheme="majorHAnsi" w:eastAsia="Times New Roman" w:hAnsiTheme="majorHAnsi" w:cstheme="majorHAnsi"/>
          <w:lang w:eastAsia="en-GB"/>
        </w:rPr>
      </w:pPr>
    </w:p>
    <w:p w14:paraId="1BB54C99" w14:textId="77777777" w:rsidR="00F038CF" w:rsidRPr="00410F0F" w:rsidRDefault="00F038CF" w:rsidP="00410F0F">
      <w:p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Two areas, dermatology (18.1%) and ENT (14.8%), account for almost one third of LCx2 cases.</w:t>
      </w:r>
    </w:p>
    <w:p w14:paraId="23136E75" w14:textId="4DDBF2A1" w:rsidR="00FC1406" w:rsidRPr="00410F0F" w:rsidRDefault="00F038CF" w:rsidP="00410F0F">
      <w:pPr>
        <w:shd w:val="clear" w:color="auto" w:fill="FFFFFF"/>
        <w:spacing w:after="0" w:line="240" w:lineRule="auto"/>
        <w:jc w:val="both"/>
        <w:rPr>
          <w:rFonts w:asciiTheme="majorHAnsi" w:eastAsia="Times New Roman" w:hAnsiTheme="majorHAnsi" w:cstheme="majorHAnsi"/>
          <w:lang w:eastAsia="en-GB"/>
        </w:rPr>
      </w:pPr>
      <w:r w:rsidRPr="00410F0F">
        <w:rPr>
          <w:rFonts w:asciiTheme="majorHAnsi" w:eastAsia="Times New Roman" w:hAnsiTheme="majorHAnsi" w:cstheme="majorHAnsi"/>
          <w:lang w:eastAsia="en-GB"/>
        </w:rPr>
        <w:t>However, it would be dangerous to equate certain diagnoses with insufficient evidence (low challenge) in an overly simplistic way. The challenge could come from complicating factors such as patient expectations, beliefs, social situation, psychological issue, hidden agendas etc.  It is only when the simple diagnosis is completely straightforward that there is likely to be insufficient evidence. (There is a case of sinusitis in the CSA that is very discriminating.)</w:t>
      </w:r>
    </w:p>
    <w:sectPr w:rsidR="00FC1406" w:rsidRPr="00410F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E9A62B8"/>
    <w:multiLevelType w:val="multilevel"/>
    <w:tmpl w:val="DCBA8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953E94"/>
    <w:multiLevelType w:val="multilevel"/>
    <w:tmpl w:val="F8743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AwNTQ3NjQ1MDc2sTRW0lEKTi0uzszPAykwrAUAvD9m9ywAAAA="/>
  </w:docVars>
  <w:rsids>
    <w:rsidRoot w:val="00F038CF"/>
    <w:rsid w:val="00410F0F"/>
    <w:rsid w:val="00F038CF"/>
    <w:rsid w:val="00FC14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9D542"/>
  <w15:chartTrackingRefBased/>
  <w15:docId w15:val="{6B20DF47-A053-4DA3-9BF0-D07C421E9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038CF"/>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038CF"/>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F038CF"/>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9987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331</Words>
  <Characters>1893</Characters>
  <Application>Microsoft Office Word</Application>
  <DocSecurity>0</DocSecurity>
  <Lines>15</Lines>
  <Paragraphs>4</Paragraphs>
  <ScaleCrop>false</ScaleCrop>
  <Company/>
  <LinksUpToDate>false</LinksUpToDate>
  <CharactersWithSpaces>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Smith</dc:creator>
  <cp:keywords/>
  <dc:description/>
  <cp:lastModifiedBy>Ramesh Mehay</cp:lastModifiedBy>
  <cp:revision>3</cp:revision>
  <dcterms:created xsi:type="dcterms:W3CDTF">2020-11-19T04:58:00Z</dcterms:created>
  <dcterms:modified xsi:type="dcterms:W3CDTF">2021-03-12T19:43:00Z</dcterms:modified>
</cp:coreProperties>
</file>