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CE6F3C" w14:textId="77777777" w:rsidR="00183742" w:rsidRDefault="00183742" w:rsidP="00183742">
      <w:pPr>
        <w:pStyle w:val="Title"/>
      </w:pPr>
      <w:r>
        <w:t xml:space="preserve">The Caldicott Principles </w:t>
      </w:r>
    </w:p>
    <w:p w14:paraId="5D32B670" w14:textId="77777777" w:rsidR="00183742" w:rsidRDefault="00183742"/>
    <w:p w14:paraId="07ED998D" w14:textId="756F71C9" w:rsidR="00183742" w:rsidRPr="007917E0" w:rsidRDefault="00183742" w:rsidP="00183742">
      <w:pPr>
        <w:jc w:val="both"/>
        <w:rPr>
          <w:b/>
          <w:bCs/>
        </w:rPr>
      </w:pPr>
      <w:r>
        <w:t xml:space="preserve">In 2012, following concerns about how patients’ information was being used in the NHS, a committee was established under the chairmanship of Dame Fiona Caldicott to investigate. In the resulting report seven Caldicott Principles were identified. These were re-published in 2016 in the National Data Guardian for Health and Care Review of Data Security Consent and Opt Outs. </w:t>
      </w:r>
      <w:r w:rsidRPr="007917E0">
        <w:rPr>
          <w:b/>
          <w:bCs/>
        </w:rPr>
        <w:t>These principles do not provide a legal basis for sharing but are a useful summary of how to proceed.</w:t>
      </w:r>
      <w:r>
        <w:t xml:space="preserve"> </w:t>
      </w:r>
      <w:r w:rsidR="007917E0">
        <w:rPr>
          <w:b/>
          <w:bCs/>
        </w:rPr>
        <w:t xml:space="preserve">  </w:t>
      </w:r>
      <w:r w:rsidR="007917E0" w:rsidRPr="007917E0">
        <w:t>Dame Fiona Caldicott (a British psychiatrist and psychotherapist) was the National Data Guardian for Health and Social Care in England until her death in 2021.</w:t>
      </w:r>
    </w:p>
    <w:p w14:paraId="39958567" w14:textId="77777777" w:rsidR="007917E0" w:rsidRDefault="007917E0" w:rsidP="00183742">
      <w:pPr>
        <w:jc w:val="both"/>
      </w:pPr>
    </w:p>
    <w:p w14:paraId="02D39CA8" w14:textId="6C7CF405" w:rsidR="00183742" w:rsidRDefault="00183742" w:rsidP="007917E0">
      <w:pPr>
        <w:jc w:val="both"/>
      </w:pPr>
      <w:r>
        <w:rPr>
          <w:noProof/>
        </w:rPr>
        <w:drawing>
          <wp:inline distT="0" distB="0" distL="0" distR="0" wp14:anchorId="10AA5D58" wp14:editId="562A6BB2">
            <wp:extent cx="5842000" cy="5460312"/>
            <wp:effectExtent l="323850" t="38100" r="4445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14:paraId="3891BCF5" w14:textId="0F052B1C" w:rsidR="00AD70A9" w:rsidRDefault="00183742" w:rsidP="00183742">
      <w:pPr>
        <w:jc w:val="both"/>
      </w:pPr>
      <w:r>
        <w:t xml:space="preserve"> </w:t>
      </w:r>
    </w:p>
    <w:sectPr w:rsidR="00AD70A9" w:rsidSect="007917E0">
      <w:footerReference w:type="default" r:id="rId11"/>
      <w:pgSz w:w="11906" w:h="16838"/>
      <w:pgMar w:top="1440" w:right="74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CBA45" w14:textId="77777777" w:rsidR="00ED3F34" w:rsidRDefault="00ED3F34" w:rsidP="007B3637">
      <w:pPr>
        <w:spacing w:after="0" w:line="240" w:lineRule="auto"/>
      </w:pPr>
      <w:r>
        <w:separator/>
      </w:r>
    </w:p>
  </w:endnote>
  <w:endnote w:type="continuationSeparator" w:id="0">
    <w:p w14:paraId="378BE031" w14:textId="77777777" w:rsidR="00ED3F34" w:rsidRDefault="00ED3F34" w:rsidP="007B36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0FC5CD" w14:textId="343277C6" w:rsidR="007B3637" w:rsidRDefault="007B3637" w:rsidP="007B3637">
    <w:pPr>
      <w:pStyle w:val="Footer"/>
      <w:jc w:val="center"/>
    </w:pPr>
    <w:r>
      <w:t>www.bradfordvts.co.uk, Apr 2021</w:t>
    </w:r>
  </w:p>
  <w:p w14:paraId="619665AC" w14:textId="77777777" w:rsidR="007B3637" w:rsidRDefault="007B36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B2A032" w14:textId="77777777" w:rsidR="00ED3F34" w:rsidRDefault="00ED3F34" w:rsidP="007B3637">
      <w:pPr>
        <w:spacing w:after="0" w:line="240" w:lineRule="auto"/>
      </w:pPr>
      <w:r>
        <w:separator/>
      </w:r>
    </w:p>
  </w:footnote>
  <w:footnote w:type="continuationSeparator" w:id="0">
    <w:p w14:paraId="6C921A0D" w14:textId="77777777" w:rsidR="00ED3F34" w:rsidRDefault="00ED3F34" w:rsidP="007B363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7QwNzMxtTA3NzIyMbNQ0lEKTi0uzszPAykwrAUA1Zw+XSwAAAA="/>
    <w:docVar w:name="dgnword-docGUID" w:val="{3DA58828-326D-4501-B43C-F067C2A32268}"/>
    <w:docVar w:name="dgnword-eventsink" w:val="535875912"/>
  </w:docVars>
  <w:rsids>
    <w:rsidRoot w:val="00183742"/>
    <w:rsid w:val="00183742"/>
    <w:rsid w:val="007917E0"/>
    <w:rsid w:val="007B3637"/>
    <w:rsid w:val="00AD70A9"/>
    <w:rsid w:val="00ED3F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CB308"/>
  <w15:chartTrackingRefBased/>
  <w15:docId w15:val="{00EA7366-E1B4-43B1-89C5-487B7C694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374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3742"/>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7B36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3637"/>
  </w:style>
  <w:style w:type="paragraph" w:styleId="Footer">
    <w:name w:val="footer"/>
    <w:basedOn w:val="Normal"/>
    <w:link w:val="FooterChar"/>
    <w:uiPriority w:val="99"/>
    <w:unhideWhenUsed/>
    <w:rsid w:val="007B36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36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diagramLayout" Target="diagrams/layout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footer" Target="footer1.xml"/><Relationship Id="rId5" Type="http://schemas.openxmlformats.org/officeDocument/2006/relationships/endnotes" Target="endnotes.xml"/><Relationship Id="rId10" Type="http://schemas.microsoft.com/office/2007/relationships/diagramDrawing" Target="diagrams/drawing1.xml"/><Relationship Id="rId4" Type="http://schemas.openxmlformats.org/officeDocument/2006/relationships/footnotes" Target="footnote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97919C3-6B56-489B-AAC4-0E7706B4C21B}" type="doc">
      <dgm:prSet loTypeId="urn:microsoft.com/office/officeart/2011/layout/TabList" loCatId="list" qsTypeId="urn:microsoft.com/office/officeart/2005/8/quickstyle/simple1" qsCatId="simple" csTypeId="urn:microsoft.com/office/officeart/2005/8/colors/colorful5" csCatId="colorful" phldr="1"/>
      <dgm:spPr/>
      <dgm:t>
        <a:bodyPr/>
        <a:lstStyle/>
        <a:p>
          <a:endParaRPr lang="en-GB"/>
        </a:p>
      </dgm:t>
    </dgm:pt>
    <dgm:pt modelId="{A507C641-E737-456D-BD1D-A6933B456724}">
      <dgm:prSet phldrT="[Text]"/>
      <dgm:spPr/>
      <dgm:t>
        <a:bodyPr/>
        <a:lstStyle/>
        <a:p>
          <a:r>
            <a:rPr lang="en-GB"/>
            <a:t>1</a:t>
          </a:r>
        </a:p>
      </dgm:t>
    </dgm:pt>
    <dgm:pt modelId="{68DBE2E7-15CC-4C6D-A06A-298EC74B56BE}" type="parTrans" cxnId="{BC34EAE8-A7D1-4BEE-A5D4-5300DF7DC989}">
      <dgm:prSet/>
      <dgm:spPr/>
      <dgm:t>
        <a:bodyPr/>
        <a:lstStyle/>
        <a:p>
          <a:endParaRPr lang="en-GB"/>
        </a:p>
      </dgm:t>
    </dgm:pt>
    <dgm:pt modelId="{6D3C52F7-8E49-4078-AA49-F828FB25EA3B}" type="sibTrans" cxnId="{BC34EAE8-A7D1-4BEE-A5D4-5300DF7DC989}">
      <dgm:prSet/>
      <dgm:spPr/>
      <dgm:t>
        <a:bodyPr/>
        <a:lstStyle/>
        <a:p>
          <a:endParaRPr lang="en-GB"/>
        </a:p>
      </dgm:t>
    </dgm:pt>
    <dgm:pt modelId="{40F658DD-2066-4F7E-884B-26967C04E1A9}">
      <dgm:prSet phldrT="[Text]"/>
      <dgm:spPr/>
      <dgm:t>
        <a:bodyPr/>
        <a:lstStyle/>
        <a:p>
          <a:r>
            <a:rPr lang="en-GB" b="1"/>
            <a:t>Justify the purpose(s) </a:t>
          </a:r>
        </a:p>
      </dgm:t>
    </dgm:pt>
    <dgm:pt modelId="{8CAF0E97-08BE-4B93-A3C2-AF8F8A4355CA}" type="parTrans" cxnId="{6C735286-3C02-482A-8427-AF43F5C75D87}">
      <dgm:prSet/>
      <dgm:spPr/>
      <dgm:t>
        <a:bodyPr/>
        <a:lstStyle/>
        <a:p>
          <a:endParaRPr lang="en-GB"/>
        </a:p>
      </dgm:t>
    </dgm:pt>
    <dgm:pt modelId="{4EC1EA1B-B20F-4668-86A0-D8CCE81D47E3}" type="sibTrans" cxnId="{6C735286-3C02-482A-8427-AF43F5C75D87}">
      <dgm:prSet/>
      <dgm:spPr/>
      <dgm:t>
        <a:bodyPr/>
        <a:lstStyle/>
        <a:p>
          <a:endParaRPr lang="en-GB"/>
        </a:p>
      </dgm:t>
    </dgm:pt>
    <dgm:pt modelId="{2BBAFE40-3115-40B0-BF7F-C2798D3BB851}">
      <dgm:prSet phldrT="[Text]" custT="1"/>
      <dgm:spPr/>
      <dgm:t>
        <a:bodyPr/>
        <a:lstStyle/>
        <a:p>
          <a:pPr algn="just"/>
          <a:r>
            <a:rPr lang="en-GB" sz="1000">
              <a:latin typeface="+mj-lt"/>
            </a:rPr>
            <a:t>Every proposed use or transfer of personal-confidential data within or from an organisation should be clearly defined, scrutinised and documented with continuing uses regularly reviewed, by an appropriate guardian. </a:t>
          </a:r>
        </a:p>
      </dgm:t>
    </dgm:pt>
    <dgm:pt modelId="{AEE6567C-5A62-490C-A4EC-FB88180103C6}" type="parTrans" cxnId="{E1405036-362E-4D43-935B-79F1CEDFEBD3}">
      <dgm:prSet/>
      <dgm:spPr/>
      <dgm:t>
        <a:bodyPr/>
        <a:lstStyle/>
        <a:p>
          <a:endParaRPr lang="en-GB"/>
        </a:p>
      </dgm:t>
    </dgm:pt>
    <dgm:pt modelId="{969D6E73-2EC6-4545-B7AD-B939D632664C}" type="sibTrans" cxnId="{E1405036-362E-4D43-935B-79F1CEDFEBD3}">
      <dgm:prSet/>
      <dgm:spPr/>
      <dgm:t>
        <a:bodyPr/>
        <a:lstStyle/>
        <a:p>
          <a:endParaRPr lang="en-GB"/>
        </a:p>
      </dgm:t>
    </dgm:pt>
    <dgm:pt modelId="{16246A96-E80D-43A8-BBFC-F10E73CD6110}">
      <dgm:prSet phldrT="[Text]"/>
      <dgm:spPr/>
      <dgm:t>
        <a:bodyPr/>
        <a:lstStyle/>
        <a:p>
          <a:r>
            <a:rPr lang="en-GB"/>
            <a:t>2</a:t>
          </a:r>
        </a:p>
      </dgm:t>
    </dgm:pt>
    <dgm:pt modelId="{690AF7F2-5864-49B2-87C6-F428E7332513}" type="parTrans" cxnId="{B5562385-56E2-44E6-A6A7-943350E0766A}">
      <dgm:prSet/>
      <dgm:spPr/>
      <dgm:t>
        <a:bodyPr/>
        <a:lstStyle/>
        <a:p>
          <a:endParaRPr lang="en-GB"/>
        </a:p>
      </dgm:t>
    </dgm:pt>
    <dgm:pt modelId="{7F1A1FB6-8153-40D0-90A0-6F60C35D5752}" type="sibTrans" cxnId="{B5562385-56E2-44E6-A6A7-943350E0766A}">
      <dgm:prSet/>
      <dgm:spPr/>
      <dgm:t>
        <a:bodyPr/>
        <a:lstStyle/>
        <a:p>
          <a:endParaRPr lang="en-GB"/>
        </a:p>
      </dgm:t>
    </dgm:pt>
    <dgm:pt modelId="{C6C1955F-EBD0-4622-92A9-DB5E876C464E}">
      <dgm:prSet phldrT="[Text]"/>
      <dgm:spPr/>
      <dgm:t>
        <a:bodyPr/>
        <a:lstStyle/>
        <a:p>
          <a:r>
            <a:rPr lang="en-GB" b="1"/>
            <a:t>Don't use personable identifiable information unless it is absolutely necessary </a:t>
          </a:r>
        </a:p>
      </dgm:t>
    </dgm:pt>
    <dgm:pt modelId="{794F7759-ED1D-418C-B83B-2532FB33BF48}" type="parTrans" cxnId="{69BFD2C2-4951-4A97-9D6D-76ADDF1A0E90}">
      <dgm:prSet/>
      <dgm:spPr/>
      <dgm:t>
        <a:bodyPr/>
        <a:lstStyle/>
        <a:p>
          <a:endParaRPr lang="en-GB"/>
        </a:p>
      </dgm:t>
    </dgm:pt>
    <dgm:pt modelId="{5E184DA4-91A4-4A89-8147-5D2F5AC69F5D}" type="sibTrans" cxnId="{69BFD2C2-4951-4A97-9D6D-76ADDF1A0E90}">
      <dgm:prSet/>
      <dgm:spPr/>
      <dgm:t>
        <a:bodyPr/>
        <a:lstStyle/>
        <a:p>
          <a:endParaRPr lang="en-GB"/>
        </a:p>
      </dgm:t>
    </dgm:pt>
    <dgm:pt modelId="{427B2185-8FFF-4059-B846-173CD069D0A4}">
      <dgm:prSet phldrT="[Text]"/>
      <dgm:spPr/>
      <dgm:t>
        <a:bodyPr/>
        <a:lstStyle/>
        <a:p>
          <a:pPr algn="just"/>
          <a:r>
            <a:rPr lang="en-GB">
              <a:latin typeface="+mj-lt"/>
            </a:rPr>
            <a:t>Personal confidential data should not be included unless it is essential for the specified purpose(s) of that flow. The need for patients to be identified should be considered at each stage of satisfying the purpose(s). </a:t>
          </a:r>
        </a:p>
      </dgm:t>
    </dgm:pt>
    <dgm:pt modelId="{00A7DC21-3DDD-4A07-A2A7-79855CD26F78}" type="parTrans" cxnId="{3752DCDF-D4A4-4387-8D98-2A10708D1D0D}">
      <dgm:prSet/>
      <dgm:spPr/>
      <dgm:t>
        <a:bodyPr/>
        <a:lstStyle/>
        <a:p>
          <a:endParaRPr lang="en-GB"/>
        </a:p>
      </dgm:t>
    </dgm:pt>
    <dgm:pt modelId="{E269B273-82EA-46CA-8AFB-077BFB861F3D}" type="sibTrans" cxnId="{3752DCDF-D4A4-4387-8D98-2A10708D1D0D}">
      <dgm:prSet/>
      <dgm:spPr/>
      <dgm:t>
        <a:bodyPr/>
        <a:lstStyle/>
        <a:p>
          <a:endParaRPr lang="en-GB"/>
        </a:p>
      </dgm:t>
    </dgm:pt>
    <dgm:pt modelId="{C41B4A61-62BA-41F7-830A-27541501DC5C}">
      <dgm:prSet phldrT="[Text]"/>
      <dgm:spPr/>
      <dgm:t>
        <a:bodyPr/>
        <a:lstStyle/>
        <a:p>
          <a:r>
            <a:rPr lang="en-GB"/>
            <a:t>3</a:t>
          </a:r>
        </a:p>
      </dgm:t>
    </dgm:pt>
    <dgm:pt modelId="{5AC0A4B5-9E9A-4A31-8B42-32917B35AAD8}" type="parTrans" cxnId="{B89C656D-4DE9-4F4B-98BB-9FE65B479E26}">
      <dgm:prSet/>
      <dgm:spPr/>
      <dgm:t>
        <a:bodyPr/>
        <a:lstStyle/>
        <a:p>
          <a:endParaRPr lang="en-GB"/>
        </a:p>
      </dgm:t>
    </dgm:pt>
    <dgm:pt modelId="{114FDE3E-DE97-4C43-A78B-72CF50FAA262}" type="sibTrans" cxnId="{B89C656D-4DE9-4F4B-98BB-9FE65B479E26}">
      <dgm:prSet/>
      <dgm:spPr/>
      <dgm:t>
        <a:bodyPr/>
        <a:lstStyle/>
        <a:p>
          <a:endParaRPr lang="en-GB"/>
        </a:p>
      </dgm:t>
    </dgm:pt>
    <dgm:pt modelId="{8C0AE5F0-61ED-4261-BCE0-3DFF5EED4D03}">
      <dgm:prSet phldrT="[Text]"/>
      <dgm:spPr/>
      <dgm:t>
        <a:bodyPr/>
        <a:lstStyle/>
        <a:p>
          <a:r>
            <a:rPr lang="en-GB" b="1"/>
            <a:t>Use the minimum necessary personal confidential data </a:t>
          </a:r>
        </a:p>
      </dgm:t>
    </dgm:pt>
    <dgm:pt modelId="{2B36E007-8E88-42D7-8FAB-DC1E46347491}" type="parTrans" cxnId="{1D3825DC-3DEE-408D-A006-ED1AE4593C9C}">
      <dgm:prSet/>
      <dgm:spPr/>
      <dgm:t>
        <a:bodyPr/>
        <a:lstStyle/>
        <a:p>
          <a:endParaRPr lang="en-GB"/>
        </a:p>
      </dgm:t>
    </dgm:pt>
    <dgm:pt modelId="{7ACF484E-394F-4965-88F6-78FC3F3C903E}" type="sibTrans" cxnId="{1D3825DC-3DEE-408D-A006-ED1AE4593C9C}">
      <dgm:prSet/>
      <dgm:spPr/>
      <dgm:t>
        <a:bodyPr/>
        <a:lstStyle/>
        <a:p>
          <a:endParaRPr lang="en-GB"/>
        </a:p>
      </dgm:t>
    </dgm:pt>
    <dgm:pt modelId="{0139A9A6-3C80-4805-8D04-DF2B21CFCDB4}">
      <dgm:prSet phldrT="[Text]"/>
      <dgm:spPr/>
      <dgm:t>
        <a:bodyPr/>
        <a:lstStyle/>
        <a:p>
          <a:pPr algn="just"/>
          <a:r>
            <a:rPr lang="en-GB">
              <a:latin typeface="+mj-lt"/>
            </a:rPr>
            <a:t>Where use of personal confidential data is considered to be essential, the inclusion of each individual item of data should be considered and justified so that the minimum amount of personal confidential data is transferred or accessible as is necessary for a function to be carried out. </a:t>
          </a:r>
        </a:p>
      </dgm:t>
    </dgm:pt>
    <dgm:pt modelId="{1BBED1C1-BEEC-4F30-9FB8-E3C67E0761DA}" type="parTrans" cxnId="{597C2686-A72B-43B1-8011-A55D5A21B211}">
      <dgm:prSet/>
      <dgm:spPr/>
      <dgm:t>
        <a:bodyPr/>
        <a:lstStyle/>
        <a:p>
          <a:endParaRPr lang="en-GB"/>
        </a:p>
      </dgm:t>
    </dgm:pt>
    <dgm:pt modelId="{8519B30E-6507-46D8-BC69-7567A336A146}" type="sibTrans" cxnId="{597C2686-A72B-43B1-8011-A55D5A21B211}">
      <dgm:prSet/>
      <dgm:spPr/>
      <dgm:t>
        <a:bodyPr/>
        <a:lstStyle/>
        <a:p>
          <a:endParaRPr lang="en-GB"/>
        </a:p>
      </dgm:t>
    </dgm:pt>
    <dgm:pt modelId="{86552020-4405-4017-A7AD-EF9473BF272E}">
      <dgm:prSet phldrT="[Text]"/>
      <dgm:spPr/>
      <dgm:t>
        <a:bodyPr/>
        <a:lstStyle/>
        <a:p>
          <a:pPr algn="just"/>
          <a:r>
            <a:rPr lang="en-GB">
              <a:latin typeface="+mj-lt"/>
            </a:rPr>
            <a:t>Health and social care professionals should have the confidence to share information in the best interests of their patients within the framework set out by these principles. They should be supported by the policies of their employers, regulators and professional bodies.</a:t>
          </a:r>
        </a:p>
      </dgm:t>
    </dgm:pt>
    <dgm:pt modelId="{49704CCC-A851-464B-855C-7028DD0FFAD7}" type="parTrans" cxnId="{B98674DB-666B-4CAB-B1A7-25BD35FB9D2D}">
      <dgm:prSet/>
      <dgm:spPr/>
      <dgm:t>
        <a:bodyPr/>
        <a:lstStyle/>
        <a:p>
          <a:endParaRPr lang="en-GB"/>
        </a:p>
      </dgm:t>
    </dgm:pt>
    <dgm:pt modelId="{9033A210-37D8-4B58-97EB-123B1623CA4A}" type="sibTrans" cxnId="{B98674DB-666B-4CAB-B1A7-25BD35FB9D2D}">
      <dgm:prSet/>
      <dgm:spPr/>
      <dgm:t>
        <a:bodyPr/>
        <a:lstStyle/>
        <a:p>
          <a:endParaRPr lang="en-GB"/>
        </a:p>
      </dgm:t>
    </dgm:pt>
    <dgm:pt modelId="{17B15931-EBD8-4162-9BCE-C9E60D1BDE74}">
      <dgm:prSet phldrT="[Text]"/>
      <dgm:spPr/>
      <dgm:t>
        <a:bodyPr/>
        <a:lstStyle/>
        <a:p>
          <a:r>
            <a:rPr lang="en-GB"/>
            <a:t>4</a:t>
          </a:r>
        </a:p>
      </dgm:t>
    </dgm:pt>
    <dgm:pt modelId="{0D04F90D-0EF7-4B73-A761-520D761D0AFD}" type="parTrans" cxnId="{362160D4-D8F8-4611-B67A-0E73A3A72F99}">
      <dgm:prSet/>
      <dgm:spPr/>
      <dgm:t>
        <a:bodyPr/>
        <a:lstStyle/>
        <a:p>
          <a:endParaRPr lang="en-GB"/>
        </a:p>
      </dgm:t>
    </dgm:pt>
    <dgm:pt modelId="{ECBFA3CA-E07E-4FFF-950C-2743A05084B1}" type="sibTrans" cxnId="{362160D4-D8F8-4611-B67A-0E73A3A72F99}">
      <dgm:prSet/>
      <dgm:spPr/>
      <dgm:t>
        <a:bodyPr/>
        <a:lstStyle/>
        <a:p>
          <a:endParaRPr lang="en-GB"/>
        </a:p>
      </dgm:t>
    </dgm:pt>
    <dgm:pt modelId="{1C716919-FADF-4845-B7CC-28971674A34B}">
      <dgm:prSet phldrT="[Text]"/>
      <dgm:spPr/>
      <dgm:t>
        <a:bodyPr/>
        <a:lstStyle/>
        <a:p>
          <a:r>
            <a:rPr lang="en-GB" b="1"/>
            <a:t>Access to personal confidential data should be on a strict need-to-know basis</a:t>
          </a:r>
        </a:p>
      </dgm:t>
    </dgm:pt>
    <dgm:pt modelId="{8AC1DCA7-92C2-4FBC-A3FC-C11D3A935B7C}" type="parTrans" cxnId="{7BF76876-8913-4F8D-B824-6F95E2EAAA30}">
      <dgm:prSet/>
      <dgm:spPr/>
      <dgm:t>
        <a:bodyPr/>
        <a:lstStyle/>
        <a:p>
          <a:endParaRPr lang="en-GB"/>
        </a:p>
      </dgm:t>
    </dgm:pt>
    <dgm:pt modelId="{9B7E8116-CA07-410B-BE55-502D856CCB84}" type="sibTrans" cxnId="{7BF76876-8913-4F8D-B824-6F95E2EAAA30}">
      <dgm:prSet/>
      <dgm:spPr/>
      <dgm:t>
        <a:bodyPr/>
        <a:lstStyle/>
        <a:p>
          <a:endParaRPr lang="en-GB"/>
        </a:p>
      </dgm:t>
    </dgm:pt>
    <dgm:pt modelId="{A1941492-A712-49B3-B07B-578CBDDF9107}">
      <dgm:prSet phldrT="[Text]"/>
      <dgm:spPr/>
      <dgm:t>
        <a:bodyPr/>
        <a:lstStyle/>
        <a:p>
          <a:pPr algn="just"/>
          <a:r>
            <a:rPr lang="en-GB">
              <a:latin typeface="+mj-lt"/>
            </a:rPr>
            <a:t>Only those individuals who need access to personal confidential data should have access to it, and they should only have access to the information items that they need to see. This may mean introducing access controls or splitting data flows where one data flow is used for several purposes. </a:t>
          </a:r>
        </a:p>
      </dgm:t>
    </dgm:pt>
    <dgm:pt modelId="{83F892F5-13AB-4E21-A0ED-725E1BB8D559}" type="parTrans" cxnId="{EAC84957-E638-46AD-9C0E-7D6063AA98D8}">
      <dgm:prSet/>
      <dgm:spPr/>
      <dgm:t>
        <a:bodyPr/>
        <a:lstStyle/>
        <a:p>
          <a:endParaRPr lang="en-GB"/>
        </a:p>
      </dgm:t>
    </dgm:pt>
    <dgm:pt modelId="{AF21669F-62B8-4C09-92D0-1E919D1C2A34}" type="sibTrans" cxnId="{EAC84957-E638-46AD-9C0E-7D6063AA98D8}">
      <dgm:prSet/>
      <dgm:spPr/>
      <dgm:t>
        <a:bodyPr/>
        <a:lstStyle/>
        <a:p>
          <a:endParaRPr lang="en-GB"/>
        </a:p>
      </dgm:t>
    </dgm:pt>
    <dgm:pt modelId="{C8B708E9-5538-4364-BEBB-75902AA581D5}">
      <dgm:prSet phldrT="[Text]"/>
      <dgm:spPr/>
      <dgm:t>
        <a:bodyPr/>
        <a:lstStyle/>
        <a:p>
          <a:r>
            <a:rPr lang="en-GB"/>
            <a:t>5</a:t>
          </a:r>
        </a:p>
      </dgm:t>
    </dgm:pt>
    <dgm:pt modelId="{7E0DFF3B-78EB-4DBC-8FFD-F63AAEF7D814}" type="parTrans" cxnId="{1A60AAE9-370C-47A2-8DFF-E8B5C73F0452}">
      <dgm:prSet/>
      <dgm:spPr/>
      <dgm:t>
        <a:bodyPr/>
        <a:lstStyle/>
        <a:p>
          <a:endParaRPr lang="en-GB"/>
        </a:p>
      </dgm:t>
    </dgm:pt>
    <dgm:pt modelId="{61F0C7DD-2213-4AF6-A44D-341B806DEDA8}" type="sibTrans" cxnId="{1A60AAE9-370C-47A2-8DFF-E8B5C73F0452}">
      <dgm:prSet/>
      <dgm:spPr/>
      <dgm:t>
        <a:bodyPr/>
        <a:lstStyle/>
        <a:p>
          <a:endParaRPr lang="en-GB"/>
        </a:p>
      </dgm:t>
    </dgm:pt>
    <dgm:pt modelId="{7713133F-E2D0-4540-BE13-086D16557250}">
      <dgm:prSet phldrT="[Text]" custT="1"/>
      <dgm:spPr/>
      <dgm:t>
        <a:bodyPr/>
        <a:lstStyle/>
        <a:p>
          <a:r>
            <a:rPr lang="en-GB" sz="1000" b="1"/>
            <a:t>Everyone with access to personal confidential data should be aware of their responsibilities </a:t>
          </a:r>
        </a:p>
      </dgm:t>
    </dgm:pt>
    <dgm:pt modelId="{4E3795BF-6806-432F-862D-9F0AA477AE09}" type="parTrans" cxnId="{4BB5C126-77E8-4BA4-8F72-51B8F483CB63}">
      <dgm:prSet/>
      <dgm:spPr/>
      <dgm:t>
        <a:bodyPr/>
        <a:lstStyle/>
        <a:p>
          <a:endParaRPr lang="en-GB"/>
        </a:p>
      </dgm:t>
    </dgm:pt>
    <dgm:pt modelId="{B347CA1E-83D2-4473-958C-39EA83D4B9A3}" type="sibTrans" cxnId="{4BB5C126-77E8-4BA4-8F72-51B8F483CB63}">
      <dgm:prSet/>
      <dgm:spPr/>
      <dgm:t>
        <a:bodyPr/>
        <a:lstStyle/>
        <a:p>
          <a:endParaRPr lang="en-GB"/>
        </a:p>
      </dgm:t>
    </dgm:pt>
    <dgm:pt modelId="{05B3F217-D1EA-4278-8C2E-4A767F9E21F4}">
      <dgm:prSet phldrT="[Text]"/>
      <dgm:spPr/>
      <dgm:t>
        <a:bodyPr/>
        <a:lstStyle/>
        <a:p>
          <a:pPr algn="just"/>
          <a:r>
            <a:rPr lang="en-GB">
              <a:latin typeface="+mj-lt"/>
            </a:rPr>
            <a:t>Action should be taken to ensure that those handling personal confidential data - both clinical and non-clinical staff are made fully aware of their responsibilities and obligations to respect patient confidentiality</a:t>
          </a:r>
        </a:p>
      </dgm:t>
    </dgm:pt>
    <dgm:pt modelId="{B8F0329D-6B86-43FD-9250-22D3FC5B5A95}" type="parTrans" cxnId="{B823947A-0C44-4F16-BA24-828FECAF26D9}">
      <dgm:prSet/>
      <dgm:spPr/>
      <dgm:t>
        <a:bodyPr/>
        <a:lstStyle/>
        <a:p>
          <a:endParaRPr lang="en-GB"/>
        </a:p>
      </dgm:t>
    </dgm:pt>
    <dgm:pt modelId="{7ADE3649-5A99-4088-8373-8297505C5AE4}" type="sibTrans" cxnId="{B823947A-0C44-4F16-BA24-828FECAF26D9}">
      <dgm:prSet/>
      <dgm:spPr/>
      <dgm:t>
        <a:bodyPr/>
        <a:lstStyle/>
        <a:p>
          <a:endParaRPr lang="en-GB"/>
        </a:p>
      </dgm:t>
    </dgm:pt>
    <dgm:pt modelId="{C3FCF383-F849-4C67-83AC-C981313E083C}">
      <dgm:prSet phldrT="[Text]"/>
      <dgm:spPr/>
      <dgm:t>
        <a:bodyPr/>
        <a:lstStyle/>
        <a:p>
          <a:r>
            <a:rPr lang="en-GB"/>
            <a:t>6</a:t>
          </a:r>
        </a:p>
      </dgm:t>
    </dgm:pt>
    <dgm:pt modelId="{5B311A9E-1EA9-4187-B38A-CFE2E8ABF40F}" type="parTrans" cxnId="{0E8CEBC6-B1EE-4C44-BDDF-ADDE07E0D789}">
      <dgm:prSet/>
      <dgm:spPr/>
      <dgm:t>
        <a:bodyPr/>
        <a:lstStyle/>
        <a:p>
          <a:endParaRPr lang="en-GB"/>
        </a:p>
      </dgm:t>
    </dgm:pt>
    <dgm:pt modelId="{60E697C3-1FFE-4305-896F-151009CF3117}" type="sibTrans" cxnId="{0E8CEBC6-B1EE-4C44-BDDF-ADDE07E0D789}">
      <dgm:prSet/>
      <dgm:spPr/>
      <dgm:t>
        <a:bodyPr/>
        <a:lstStyle/>
        <a:p>
          <a:endParaRPr lang="en-GB"/>
        </a:p>
      </dgm:t>
    </dgm:pt>
    <dgm:pt modelId="{A7129057-64B9-46C4-8089-0B8827E1596D}">
      <dgm:prSet phldrT="[Text]"/>
      <dgm:spPr/>
      <dgm:t>
        <a:bodyPr/>
        <a:lstStyle/>
        <a:p>
          <a:r>
            <a:rPr lang="en-GB" b="1"/>
            <a:t>Comply with the law.   Every use of personal confidential data must be lawful. </a:t>
          </a:r>
        </a:p>
      </dgm:t>
    </dgm:pt>
    <dgm:pt modelId="{BCD311CE-03C3-4A66-BE3F-782357DCE364}" type="parTrans" cxnId="{2C89D51D-9598-43FB-8B1C-65003E44A3C9}">
      <dgm:prSet/>
      <dgm:spPr/>
      <dgm:t>
        <a:bodyPr/>
        <a:lstStyle/>
        <a:p>
          <a:endParaRPr lang="en-GB"/>
        </a:p>
      </dgm:t>
    </dgm:pt>
    <dgm:pt modelId="{E57A04AA-5773-44AE-AD65-7851098E7D56}" type="sibTrans" cxnId="{2C89D51D-9598-43FB-8B1C-65003E44A3C9}">
      <dgm:prSet/>
      <dgm:spPr/>
      <dgm:t>
        <a:bodyPr/>
        <a:lstStyle/>
        <a:p>
          <a:endParaRPr lang="en-GB"/>
        </a:p>
      </dgm:t>
    </dgm:pt>
    <dgm:pt modelId="{B63B9B55-3FA0-4A09-9D77-E17458375EBC}">
      <dgm:prSet phldrT="[Text]"/>
      <dgm:spPr/>
      <dgm:t>
        <a:bodyPr/>
        <a:lstStyle/>
        <a:p>
          <a:pPr algn="just"/>
          <a:r>
            <a:rPr lang="en-GB">
              <a:latin typeface="+mj-lt"/>
            </a:rPr>
            <a:t>Someone in each organisation handling personal confidential data should be responsible for ensuring that the organisation complies with legal requirements. </a:t>
          </a:r>
        </a:p>
      </dgm:t>
    </dgm:pt>
    <dgm:pt modelId="{4B6ADD6A-9184-4851-AF49-F5A177522D56}" type="parTrans" cxnId="{03EAD038-9B3B-4CE6-97E4-AB14C4F987B5}">
      <dgm:prSet/>
      <dgm:spPr/>
      <dgm:t>
        <a:bodyPr/>
        <a:lstStyle/>
        <a:p>
          <a:endParaRPr lang="en-GB"/>
        </a:p>
      </dgm:t>
    </dgm:pt>
    <dgm:pt modelId="{0E10CBA9-585C-440B-9BE6-ABE1CEB8E1C9}" type="sibTrans" cxnId="{03EAD038-9B3B-4CE6-97E4-AB14C4F987B5}">
      <dgm:prSet/>
      <dgm:spPr/>
      <dgm:t>
        <a:bodyPr/>
        <a:lstStyle/>
        <a:p>
          <a:endParaRPr lang="en-GB"/>
        </a:p>
      </dgm:t>
    </dgm:pt>
    <dgm:pt modelId="{148E7B50-2A8C-4E8C-9F90-69560D656855}">
      <dgm:prSet phldrT="[Text]"/>
      <dgm:spPr/>
      <dgm:t>
        <a:bodyPr/>
        <a:lstStyle/>
        <a:p>
          <a:r>
            <a:rPr lang="en-GB"/>
            <a:t>7</a:t>
          </a:r>
        </a:p>
      </dgm:t>
    </dgm:pt>
    <dgm:pt modelId="{DE53B0F4-1044-4F72-9CE6-5132AC179FBD}" type="parTrans" cxnId="{BB9936C2-6338-420D-B9D3-65EED6D91D06}">
      <dgm:prSet/>
      <dgm:spPr/>
      <dgm:t>
        <a:bodyPr/>
        <a:lstStyle/>
        <a:p>
          <a:endParaRPr lang="en-GB"/>
        </a:p>
      </dgm:t>
    </dgm:pt>
    <dgm:pt modelId="{DB281D58-0593-41A4-B7F0-B9D1479B13A2}" type="sibTrans" cxnId="{BB9936C2-6338-420D-B9D3-65EED6D91D06}">
      <dgm:prSet/>
      <dgm:spPr/>
      <dgm:t>
        <a:bodyPr/>
        <a:lstStyle/>
        <a:p>
          <a:endParaRPr lang="en-GB"/>
        </a:p>
      </dgm:t>
    </dgm:pt>
    <dgm:pt modelId="{3E30FEF4-9DD5-474F-9E02-8D3E92B79C9D}">
      <dgm:prSet phldrT="[Text]"/>
      <dgm:spPr/>
      <dgm:t>
        <a:bodyPr/>
        <a:lstStyle/>
        <a:p>
          <a:r>
            <a:rPr lang="en-GB" b="1"/>
            <a:t>The duty to share information can be as important as the duty to protect patient confidentiality </a:t>
          </a:r>
        </a:p>
      </dgm:t>
    </dgm:pt>
    <dgm:pt modelId="{476E7985-63F7-48C2-A024-89DEB0BAE3CF}" type="parTrans" cxnId="{70F5C0D7-9115-4F8A-8440-8D79AE735303}">
      <dgm:prSet/>
      <dgm:spPr/>
      <dgm:t>
        <a:bodyPr/>
        <a:lstStyle/>
        <a:p>
          <a:endParaRPr lang="en-GB"/>
        </a:p>
      </dgm:t>
    </dgm:pt>
    <dgm:pt modelId="{38E0823F-F3C5-49B6-A787-D942323C3DC1}" type="sibTrans" cxnId="{70F5C0D7-9115-4F8A-8440-8D79AE735303}">
      <dgm:prSet/>
      <dgm:spPr/>
      <dgm:t>
        <a:bodyPr/>
        <a:lstStyle/>
        <a:p>
          <a:endParaRPr lang="en-GB"/>
        </a:p>
      </dgm:t>
    </dgm:pt>
    <dgm:pt modelId="{2466E332-D212-4D04-8F24-51CBD4C2DBF3}" type="pres">
      <dgm:prSet presAssocID="{897919C3-6B56-489B-AAC4-0E7706B4C21B}" presName="Name0" presStyleCnt="0">
        <dgm:presLayoutVars>
          <dgm:chMax/>
          <dgm:chPref val="3"/>
          <dgm:dir/>
          <dgm:animOne val="branch"/>
          <dgm:animLvl val="lvl"/>
        </dgm:presLayoutVars>
      </dgm:prSet>
      <dgm:spPr/>
    </dgm:pt>
    <dgm:pt modelId="{57CCFDBF-1546-440B-B41A-C00514E3B787}" type="pres">
      <dgm:prSet presAssocID="{A507C641-E737-456D-BD1D-A6933B456724}" presName="composite" presStyleCnt="0"/>
      <dgm:spPr/>
    </dgm:pt>
    <dgm:pt modelId="{7466FBA1-1E24-44BC-93E8-5045A606748E}" type="pres">
      <dgm:prSet presAssocID="{A507C641-E737-456D-BD1D-A6933B456724}" presName="FirstChild" presStyleLbl="revTx" presStyleIdx="0" presStyleCnt="14" custScaleX="128472">
        <dgm:presLayoutVars>
          <dgm:chMax val="0"/>
          <dgm:chPref val="0"/>
          <dgm:bulletEnabled val="1"/>
        </dgm:presLayoutVars>
      </dgm:prSet>
      <dgm:spPr/>
    </dgm:pt>
    <dgm:pt modelId="{33C0747B-6AE8-4F7F-B8BE-C9CDE6DA806B}" type="pres">
      <dgm:prSet presAssocID="{A507C641-E737-456D-BD1D-A6933B456724}" presName="Parent" presStyleLbl="alignNode1" presStyleIdx="0" presStyleCnt="7" custScaleX="31138" custLinFactNeighborX="-35442" custLinFactNeighborY="-1668">
        <dgm:presLayoutVars>
          <dgm:chMax val="3"/>
          <dgm:chPref val="3"/>
          <dgm:bulletEnabled val="1"/>
        </dgm:presLayoutVars>
      </dgm:prSet>
      <dgm:spPr/>
    </dgm:pt>
    <dgm:pt modelId="{9F7D0891-88B9-4F4F-97B4-DF68957570D5}" type="pres">
      <dgm:prSet presAssocID="{A507C641-E737-456D-BD1D-A6933B456724}" presName="Accent" presStyleLbl="parChTrans1D1" presStyleIdx="0" presStyleCnt="7"/>
      <dgm:spPr/>
    </dgm:pt>
    <dgm:pt modelId="{DC4A7C71-C4CA-44DC-92D8-AD479434FFB6}" type="pres">
      <dgm:prSet presAssocID="{A507C641-E737-456D-BD1D-A6933B456724}" presName="Child" presStyleLbl="revTx" presStyleIdx="1" presStyleCnt="14">
        <dgm:presLayoutVars>
          <dgm:chMax val="0"/>
          <dgm:chPref val="0"/>
          <dgm:bulletEnabled val="1"/>
        </dgm:presLayoutVars>
      </dgm:prSet>
      <dgm:spPr/>
    </dgm:pt>
    <dgm:pt modelId="{94BA26F0-8028-42D1-9119-F8238EA25FE4}" type="pres">
      <dgm:prSet presAssocID="{6D3C52F7-8E49-4078-AA49-F828FB25EA3B}" presName="sibTrans" presStyleCnt="0"/>
      <dgm:spPr/>
    </dgm:pt>
    <dgm:pt modelId="{247DADB9-3D10-4A64-BE03-441487008529}" type="pres">
      <dgm:prSet presAssocID="{16246A96-E80D-43A8-BBFC-F10E73CD6110}" presName="composite" presStyleCnt="0"/>
      <dgm:spPr/>
    </dgm:pt>
    <dgm:pt modelId="{EE289F65-F03C-4AA9-8BB1-039AFFDE97ED}" type="pres">
      <dgm:prSet presAssocID="{16246A96-E80D-43A8-BBFC-F10E73CD6110}" presName="FirstChild" presStyleLbl="revTx" presStyleIdx="2" presStyleCnt="14" custScaleX="129087">
        <dgm:presLayoutVars>
          <dgm:chMax val="0"/>
          <dgm:chPref val="0"/>
          <dgm:bulletEnabled val="1"/>
        </dgm:presLayoutVars>
      </dgm:prSet>
      <dgm:spPr/>
    </dgm:pt>
    <dgm:pt modelId="{5F630699-3608-4ECB-9F2A-8E73DD6406FC}" type="pres">
      <dgm:prSet presAssocID="{16246A96-E80D-43A8-BBFC-F10E73CD6110}" presName="Parent" presStyleLbl="alignNode1" presStyleIdx="1" presStyleCnt="7" custScaleX="31138" custLinFactNeighborX="-35442" custLinFactNeighborY="-1668">
        <dgm:presLayoutVars>
          <dgm:chMax val="3"/>
          <dgm:chPref val="3"/>
          <dgm:bulletEnabled val="1"/>
        </dgm:presLayoutVars>
      </dgm:prSet>
      <dgm:spPr/>
    </dgm:pt>
    <dgm:pt modelId="{7C42EF15-BF6E-44B2-9FDC-15D5E918A0C4}" type="pres">
      <dgm:prSet presAssocID="{16246A96-E80D-43A8-BBFC-F10E73CD6110}" presName="Accent" presStyleLbl="parChTrans1D1" presStyleIdx="1" presStyleCnt="7"/>
      <dgm:spPr/>
    </dgm:pt>
    <dgm:pt modelId="{E42C3A95-44B7-481B-A949-94628A71B057}" type="pres">
      <dgm:prSet presAssocID="{16246A96-E80D-43A8-BBFC-F10E73CD6110}" presName="Child" presStyleLbl="revTx" presStyleIdx="3" presStyleCnt="14">
        <dgm:presLayoutVars>
          <dgm:chMax val="0"/>
          <dgm:chPref val="0"/>
          <dgm:bulletEnabled val="1"/>
        </dgm:presLayoutVars>
      </dgm:prSet>
      <dgm:spPr/>
    </dgm:pt>
    <dgm:pt modelId="{418886FF-D9CD-4219-866E-8E179141CAF5}" type="pres">
      <dgm:prSet presAssocID="{7F1A1FB6-8153-40D0-90A0-6F60C35D5752}" presName="sibTrans" presStyleCnt="0"/>
      <dgm:spPr/>
    </dgm:pt>
    <dgm:pt modelId="{459DA358-9CD5-4DFB-9925-FF66901A1BEE}" type="pres">
      <dgm:prSet presAssocID="{C41B4A61-62BA-41F7-830A-27541501DC5C}" presName="composite" presStyleCnt="0"/>
      <dgm:spPr/>
    </dgm:pt>
    <dgm:pt modelId="{CB64F75E-B849-4869-B165-B9E505DA14BD}" type="pres">
      <dgm:prSet presAssocID="{C41B4A61-62BA-41F7-830A-27541501DC5C}" presName="FirstChild" presStyleLbl="revTx" presStyleIdx="4" presStyleCnt="14" custScaleX="128176">
        <dgm:presLayoutVars>
          <dgm:chMax val="0"/>
          <dgm:chPref val="0"/>
          <dgm:bulletEnabled val="1"/>
        </dgm:presLayoutVars>
      </dgm:prSet>
      <dgm:spPr/>
    </dgm:pt>
    <dgm:pt modelId="{FC097CB4-336F-4042-96F4-09D7719E8C7F}" type="pres">
      <dgm:prSet presAssocID="{C41B4A61-62BA-41F7-830A-27541501DC5C}" presName="Parent" presStyleLbl="alignNode1" presStyleIdx="2" presStyleCnt="7" custScaleX="31138" custLinFactNeighborX="-35442" custLinFactNeighborY="-1668">
        <dgm:presLayoutVars>
          <dgm:chMax val="3"/>
          <dgm:chPref val="3"/>
          <dgm:bulletEnabled val="1"/>
        </dgm:presLayoutVars>
      </dgm:prSet>
      <dgm:spPr/>
    </dgm:pt>
    <dgm:pt modelId="{FB84E666-2392-440B-B5D5-AFE84650F289}" type="pres">
      <dgm:prSet presAssocID="{C41B4A61-62BA-41F7-830A-27541501DC5C}" presName="Accent" presStyleLbl="parChTrans1D1" presStyleIdx="2" presStyleCnt="7"/>
      <dgm:spPr/>
    </dgm:pt>
    <dgm:pt modelId="{2F918897-E47F-4ADE-AFC1-7D556EABE70F}" type="pres">
      <dgm:prSet presAssocID="{C41B4A61-62BA-41F7-830A-27541501DC5C}" presName="Child" presStyleLbl="revTx" presStyleIdx="5" presStyleCnt="14">
        <dgm:presLayoutVars>
          <dgm:chMax val="0"/>
          <dgm:chPref val="0"/>
          <dgm:bulletEnabled val="1"/>
        </dgm:presLayoutVars>
      </dgm:prSet>
      <dgm:spPr/>
    </dgm:pt>
    <dgm:pt modelId="{073C53F9-AEDE-4060-AA78-EE878469C694}" type="pres">
      <dgm:prSet presAssocID="{114FDE3E-DE97-4C43-A78B-72CF50FAA262}" presName="sibTrans" presStyleCnt="0"/>
      <dgm:spPr/>
    </dgm:pt>
    <dgm:pt modelId="{3B316D27-4BA3-41CA-8965-E42324A5A38F}" type="pres">
      <dgm:prSet presAssocID="{17B15931-EBD8-4162-9BCE-C9E60D1BDE74}" presName="composite" presStyleCnt="0"/>
      <dgm:spPr/>
    </dgm:pt>
    <dgm:pt modelId="{15FA8295-6547-4D1B-8F8D-2B976473F2EC}" type="pres">
      <dgm:prSet presAssocID="{17B15931-EBD8-4162-9BCE-C9E60D1BDE74}" presName="FirstChild" presStyleLbl="revTx" presStyleIdx="6" presStyleCnt="14" custScaleX="127928">
        <dgm:presLayoutVars>
          <dgm:chMax val="0"/>
          <dgm:chPref val="0"/>
          <dgm:bulletEnabled val="1"/>
        </dgm:presLayoutVars>
      </dgm:prSet>
      <dgm:spPr/>
    </dgm:pt>
    <dgm:pt modelId="{150B7A85-9740-4079-AE5D-06B10F19464D}" type="pres">
      <dgm:prSet presAssocID="{17B15931-EBD8-4162-9BCE-C9E60D1BDE74}" presName="Parent" presStyleLbl="alignNode1" presStyleIdx="3" presStyleCnt="7" custScaleX="31138" custLinFactNeighborX="-35442" custLinFactNeighborY="-1668">
        <dgm:presLayoutVars>
          <dgm:chMax val="3"/>
          <dgm:chPref val="3"/>
          <dgm:bulletEnabled val="1"/>
        </dgm:presLayoutVars>
      </dgm:prSet>
      <dgm:spPr/>
    </dgm:pt>
    <dgm:pt modelId="{18D79830-FDE0-46B5-960F-A4AC481EF10C}" type="pres">
      <dgm:prSet presAssocID="{17B15931-EBD8-4162-9BCE-C9E60D1BDE74}" presName="Accent" presStyleLbl="parChTrans1D1" presStyleIdx="3" presStyleCnt="7"/>
      <dgm:spPr/>
    </dgm:pt>
    <dgm:pt modelId="{86B5B4F9-8ABE-4F30-AD84-7530D4E9FA6D}" type="pres">
      <dgm:prSet presAssocID="{17B15931-EBD8-4162-9BCE-C9E60D1BDE74}" presName="Child" presStyleLbl="revTx" presStyleIdx="7" presStyleCnt="14">
        <dgm:presLayoutVars>
          <dgm:chMax val="0"/>
          <dgm:chPref val="0"/>
          <dgm:bulletEnabled val="1"/>
        </dgm:presLayoutVars>
      </dgm:prSet>
      <dgm:spPr/>
    </dgm:pt>
    <dgm:pt modelId="{6F0F0E32-C784-4730-9886-89B07E97FCB7}" type="pres">
      <dgm:prSet presAssocID="{ECBFA3CA-E07E-4FFF-950C-2743A05084B1}" presName="sibTrans" presStyleCnt="0"/>
      <dgm:spPr/>
    </dgm:pt>
    <dgm:pt modelId="{9B50CC2A-BD1F-4AB1-8FCB-918F94355EB0}" type="pres">
      <dgm:prSet presAssocID="{C8B708E9-5538-4364-BEBB-75902AA581D5}" presName="composite" presStyleCnt="0"/>
      <dgm:spPr/>
    </dgm:pt>
    <dgm:pt modelId="{CD2C7BBD-D87A-4A3A-848A-9334A1F130C4}" type="pres">
      <dgm:prSet presAssocID="{C8B708E9-5538-4364-BEBB-75902AA581D5}" presName="FirstChild" presStyleLbl="revTx" presStyleIdx="8" presStyleCnt="14" custScaleX="126753">
        <dgm:presLayoutVars>
          <dgm:chMax val="0"/>
          <dgm:chPref val="0"/>
          <dgm:bulletEnabled val="1"/>
        </dgm:presLayoutVars>
      </dgm:prSet>
      <dgm:spPr/>
    </dgm:pt>
    <dgm:pt modelId="{0EE1BE28-ACCA-4054-B053-EF71363F68DD}" type="pres">
      <dgm:prSet presAssocID="{C8B708E9-5538-4364-BEBB-75902AA581D5}" presName="Parent" presStyleLbl="alignNode1" presStyleIdx="4" presStyleCnt="7" custScaleX="31138" custLinFactNeighborX="-35442" custLinFactNeighborY="-1668">
        <dgm:presLayoutVars>
          <dgm:chMax val="3"/>
          <dgm:chPref val="3"/>
          <dgm:bulletEnabled val="1"/>
        </dgm:presLayoutVars>
      </dgm:prSet>
      <dgm:spPr/>
    </dgm:pt>
    <dgm:pt modelId="{9F93F39E-B5A8-46D3-84A8-411BA98C8D31}" type="pres">
      <dgm:prSet presAssocID="{C8B708E9-5538-4364-BEBB-75902AA581D5}" presName="Accent" presStyleLbl="parChTrans1D1" presStyleIdx="4" presStyleCnt="7"/>
      <dgm:spPr/>
    </dgm:pt>
    <dgm:pt modelId="{7A778B9F-400A-43B0-88BD-0A85093F4A76}" type="pres">
      <dgm:prSet presAssocID="{C8B708E9-5538-4364-BEBB-75902AA581D5}" presName="Child" presStyleLbl="revTx" presStyleIdx="9" presStyleCnt="14">
        <dgm:presLayoutVars>
          <dgm:chMax val="0"/>
          <dgm:chPref val="0"/>
          <dgm:bulletEnabled val="1"/>
        </dgm:presLayoutVars>
      </dgm:prSet>
      <dgm:spPr/>
    </dgm:pt>
    <dgm:pt modelId="{42458461-B1B4-4293-8117-A3A9473C2D8A}" type="pres">
      <dgm:prSet presAssocID="{61F0C7DD-2213-4AF6-A44D-341B806DEDA8}" presName="sibTrans" presStyleCnt="0"/>
      <dgm:spPr/>
    </dgm:pt>
    <dgm:pt modelId="{C4E0BBAC-F08F-498C-9159-CFE5CAFA47FF}" type="pres">
      <dgm:prSet presAssocID="{C3FCF383-F849-4C67-83AC-C981313E083C}" presName="composite" presStyleCnt="0"/>
      <dgm:spPr/>
    </dgm:pt>
    <dgm:pt modelId="{0064E3B1-53DD-4E00-B2CE-CCA4AEEF6F14}" type="pres">
      <dgm:prSet presAssocID="{C3FCF383-F849-4C67-83AC-C981313E083C}" presName="FirstChild" presStyleLbl="revTx" presStyleIdx="10" presStyleCnt="14" custScaleX="126879">
        <dgm:presLayoutVars>
          <dgm:chMax val="0"/>
          <dgm:chPref val="0"/>
          <dgm:bulletEnabled val="1"/>
        </dgm:presLayoutVars>
      </dgm:prSet>
      <dgm:spPr/>
    </dgm:pt>
    <dgm:pt modelId="{8CE0EFF9-3138-4535-9A40-77D16A24E607}" type="pres">
      <dgm:prSet presAssocID="{C3FCF383-F849-4C67-83AC-C981313E083C}" presName="Parent" presStyleLbl="alignNode1" presStyleIdx="5" presStyleCnt="7" custScaleX="31138" custLinFactNeighborX="-35442" custLinFactNeighborY="-1668">
        <dgm:presLayoutVars>
          <dgm:chMax val="3"/>
          <dgm:chPref val="3"/>
          <dgm:bulletEnabled val="1"/>
        </dgm:presLayoutVars>
      </dgm:prSet>
      <dgm:spPr/>
    </dgm:pt>
    <dgm:pt modelId="{9F26EAA4-7AE6-4600-8B0D-69916097EEA8}" type="pres">
      <dgm:prSet presAssocID="{C3FCF383-F849-4C67-83AC-C981313E083C}" presName="Accent" presStyleLbl="parChTrans1D1" presStyleIdx="5" presStyleCnt="7"/>
      <dgm:spPr/>
    </dgm:pt>
    <dgm:pt modelId="{CF09147F-914C-4A61-BA29-8B3B09227AEC}" type="pres">
      <dgm:prSet presAssocID="{C3FCF383-F849-4C67-83AC-C981313E083C}" presName="Child" presStyleLbl="revTx" presStyleIdx="11" presStyleCnt="14">
        <dgm:presLayoutVars>
          <dgm:chMax val="0"/>
          <dgm:chPref val="0"/>
          <dgm:bulletEnabled val="1"/>
        </dgm:presLayoutVars>
      </dgm:prSet>
      <dgm:spPr/>
    </dgm:pt>
    <dgm:pt modelId="{37A3E499-8BF8-4C98-9F8B-DEDD83A5001F}" type="pres">
      <dgm:prSet presAssocID="{60E697C3-1FFE-4305-896F-151009CF3117}" presName="sibTrans" presStyleCnt="0"/>
      <dgm:spPr/>
    </dgm:pt>
    <dgm:pt modelId="{14E4881F-D2F4-4F0A-9E9E-318577AF3B6B}" type="pres">
      <dgm:prSet presAssocID="{148E7B50-2A8C-4E8C-9F90-69560D656855}" presName="composite" presStyleCnt="0"/>
      <dgm:spPr/>
    </dgm:pt>
    <dgm:pt modelId="{ADB7FFD4-701A-4E62-B216-E717ED228CCC}" type="pres">
      <dgm:prSet presAssocID="{148E7B50-2A8C-4E8C-9F90-69560D656855}" presName="FirstChild" presStyleLbl="revTx" presStyleIdx="12" presStyleCnt="14" custScaleX="127005">
        <dgm:presLayoutVars>
          <dgm:chMax val="0"/>
          <dgm:chPref val="0"/>
          <dgm:bulletEnabled val="1"/>
        </dgm:presLayoutVars>
      </dgm:prSet>
      <dgm:spPr/>
    </dgm:pt>
    <dgm:pt modelId="{A0A7211E-BADA-4891-8DCB-8DADCFAE8017}" type="pres">
      <dgm:prSet presAssocID="{148E7B50-2A8C-4E8C-9F90-69560D656855}" presName="Parent" presStyleLbl="alignNode1" presStyleIdx="6" presStyleCnt="7" custScaleX="31138" custLinFactNeighborX="-35442" custLinFactNeighborY="-1668">
        <dgm:presLayoutVars>
          <dgm:chMax val="3"/>
          <dgm:chPref val="3"/>
          <dgm:bulletEnabled val="1"/>
        </dgm:presLayoutVars>
      </dgm:prSet>
      <dgm:spPr/>
    </dgm:pt>
    <dgm:pt modelId="{A1F83222-FC33-45B7-A3BD-7CD2F1861BB9}" type="pres">
      <dgm:prSet presAssocID="{148E7B50-2A8C-4E8C-9F90-69560D656855}" presName="Accent" presStyleLbl="parChTrans1D1" presStyleIdx="6" presStyleCnt="7"/>
      <dgm:spPr/>
    </dgm:pt>
    <dgm:pt modelId="{E8D528CB-9F36-428F-9C29-A68E57AF1B52}" type="pres">
      <dgm:prSet presAssocID="{148E7B50-2A8C-4E8C-9F90-69560D656855}" presName="Child" presStyleLbl="revTx" presStyleIdx="13" presStyleCnt="14">
        <dgm:presLayoutVars>
          <dgm:chMax val="0"/>
          <dgm:chPref val="0"/>
          <dgm:bulletEnabled val="1"/>
        </dgm:presLayoutVars>
      </dgm:prSet>
      <dgm:spPr/>
    </dgm:pt>
  </dgm:ptLst>
  <dgm:cxnLst>
    <dgm:cxn modelId="{1D94B10C-B460-4647-9AD7-A4179368472D}" type="presOf" srcId="{7713133F-E2D0-4540-BE13-086D16557250}" destId="{CD2C7BBD-D87A-4A3A-848A-9334A1F130C4}" srcOrd="0" destOrd="0" presId="urn:microsoft.com/office/officeart/2011/layout/TabList"/>
    <dgm:cxn modelId="{0CE9C010-42EE-43D2-93C3-28D7F1D5BF11}" type="presOf" srcId="{16246A96-E80D-43A8-BBFC-F10E73CD6110}" destId="{5F630699-3608-4ECB-9F2A-8E73DD6406FC}" srcOrd="0" destOrd="0" presId="urn:microsoft.com/office/officeart/2011/layout/TabList"/>
    <dgm:cxn modelId="{BFB21312-332A-430D-8579-58CD30309ECF}" type="presOf" srcId="{40F658DD-2066-4F7E-884B-26967C04E1A9}" destId="{7466FBA1-1E24-44BC-93E8-5045A606748E}" srcOrd="0" destOrd="0" presId="urn:microsoft.com/office/officeart/2011/layout/TabList"/>
    <dgm:cxn modelId="{4128A91A-3C6F-4AA8-92D0-40CB9D8B800A}" type="presOf" srcId="{148E7B50-2A8C-4E8C-9F90-69560D656855}" destId="{A0A7211E-BADA-4891-8DCB-8DADCFAE8017}" srcOrd="0" destOrd="0" presId="urn:microsoft.com/office/officeart/2011/layout/TabList"/>
    <dgm:cxn modelId="{97747C1B-42C6-44DE-85A9-71E0F559BEDD}" type="presOf" srcId="{C6C1955F-EBD0-4622-92A9-DB5E876C464E}" destId="{EE289F65-F03C-4AA9-8BB1-039AFFDE97ED}" srcOrd="0" destOrd="0" presId="urn:microsoft.com/office/officeart/2011/layout/TabList"/>
    <dgm:cxn modelId="{4501651D-B843-41F2-9E7A-58C6D043A247}" type="presOf" srcId="{8C0AE5F0-61ED-4261-BCE0-3DFF5EED4D03}" destId="{CB64F75E-B849-4869-B165-B9E505DA14BD}" srcOrd="0" destOrd="0" presId="urn:microsoft.com/office/officeart/2011/layout/TabList"/>
    <dgm:cxn modelId="{2C89D51D-9598-43FB-8B1C-65003E44A3C9}" srcId="{C3FCF383-F849-4C67-83AC-C981313E083C}" destId="{A7129057-64B9-46C4-8089-0B8827E1596D}" srcOrd="0" destOrd="0" parTransId="{BCD311CE-03C3-4A66-BE3F-782357DCE364}" sibTransId="{E57A04AA-5773-44AE-AD65-7851098E7D56}"/>
    <dgm:cxn modelId="{4BB5C126-77E8-4BA4-8F72-51B8F483CB63}" srcId="{C8B708E9-5538-4364-BEBB-75902AA581D5}" destId="{7713133F-E2D0-4540-BE13-086D16557250}" srcOrd="0" destOrd="0" parTransId="{4E3795BF-6806-432F-862D-9F0AA477AE09}" sibTransId="{B347CA1E-83D2-4473-958C-39EA83D4B9A3}"/>
    <dgm:cxn modelId="{DEA19F29-4CDE-48BF-B8AF-9DE12CA6C2C3}" type="presOf" srcId="{0139A9A6-3C80-4805-8D04-DF2B21CFCDB4}" destId="{2F918897-E47F-4ADE-AFC1-7D556EABE70F}" srcOrd="0" destOrd="0" presId="urn:microsoft.com/office/officeart/2011/layout/TabList"/>
    <dgm:cxn modelId="{8F58E02A-9013-4520-B57F-A87FD4B33897}" type="presOf" srcId="{A1941492-A712-49B3-B07B-578CBDDF9107}" destId="{86B5B4F9-8ABE-4F30-AD84-7530D4E9FA6D}" srcOrd="0" destOrd="0" presId="urn:microsoft.com/office/officeart/2011/layout/TabList"/>
    <dgm:cxn modelId="{D3E94436-9B18-4894-8361-068B65D35CD8}" type="presOf" srcId="{86552020-4405-4017-A7AD-EF9473BF272E}" destId="{E8D528CB-9F36-428F-9C29-A68E57AF1B52}" srcOrd="0" destOrd="0" presId="urn:microsoft.com/office/officeart/2011/layout/TabList"/>
    <dgm:cxn modelId="{E1405036-362E-4D43-935B-79F1CEDFEBD3}" srcId="{A507C641-E737-456D-BD1D-A6933B456724}" destId="{2BBAFE40-3115-40B0-BF7F-C2798D3BB851}" srcOrd="1" destOrd="0" parTransId="{AEE6567C-5A62-490C-A4EC-FB88180103C6}" sibTransId="{969D6E73-2EC6-4545-B7AD-B939D632664C}"/>
    <dgm:cxn modelId="{03EAD038-9B3B-4CE6-97E4-AB14C4F987B5}" srcId="{C3FCF383-F849-4C67-83AC-C981313E083C}" destId="{B63B9B55-3FA0-4A09-9D77-E17458375EBC}" srcOrd="1" destOrd="0" parTransId="{4B6ADD6A-9184-4851-AF49-F5A177522D56}" sibTransId="{0E10CBA9-585C-440B-9BE6-ABE1CEB8E1C9}"/>
    <dgm:cxn modelId="{C8161E62-1D92-41C6-A188-D6015502F564}" type="presOf" srcId="{05B3F217-D1EA-4278-8C2E-4A767F9E21F4}" destId="{7A778B9F-400A-43B0-88BD-0A85093F4A76}" srcOrd="0" destOrd="0" presId="urn:microsoft.com/office/officeart/2011/layout/TabList"/>
    <dgm:cxn modelId="{B89C656D-4DE9-4F4B-98BB-9FE65B479E26}" srcId="{897919C3-6B56-489B-AAC4-0E7706B4C21B}" destId="{C41B4A61-62BA-41F7-830A-27541501DC5C}" srcOrd="2" destOrd="0" parTransId="{5AC0A4B5-9E9A-4A31-8B42-32917B35AAD8}" sibTransId="{114FDE3E-DE97-4C43-A78B-72CF50FAA262}"/>
    <dgm:cxn modelId="{A9555F4E-BD54-4817-B6A4-B6092F591D1E}" type="presOf" srcId="{C3FCF383-F849-4C67-83AC-C981313E083C}" destId="{8CE0EFF9-3138-4535-9A40-77D16A24E607}" srcOrd="0" destOrd="0" presId="urn:microsoft.com/office/officeart/2011/layout/TabList"/>
    <dgm:cxn modelId="{C650DF52-857F-439A-846E-80B9C65BFD1E}" type="presOf" srcId="{B63B9B55-3FA0-4A09-9D77-E17458375EBC}" destId="{CF09147F-914C-4A61-BA29-8B3B09227AEC}" srcOrd="0" destOrd="0" presId="urn:microsoft.com/office/officeart/2011/layout/TabList"/>
    <dgm:cxn modelId="{7BF76876-8913-4F8D-B824-6F95E2EAAA30}" srcId="{17B15931-EBD8-4162-9BCE-C9E60D1BDE74}" destId="{1C716919-FADF-4845-B7CC-28971674A34B}" srcOrd="0" destOrd="0" parTransId="{8AC1DCA7-92C2-4FBC-A3FC-C11D3A935B7C}" sibTransId="{9B7E8116-CA07-410B-BE55-502D856CCB84}"/>
    <dgm:cxn modelId="{EAC84957-E638-46AD-9C0E-7D6063AA98D8}" srcId="{17B15931-EBD8-4162-9BCE-C9E60D1BDE74}" destId="{A1941492-A712-49B3-B07B-578CBDDF9107}" srcOrd="1" destOrd="0" parTransId="{83F892F5-13AB-4E21-A0ED-725E1BB8D559}" sibTransId="{AF21669F-62B8-4C09-92D0-1E919D1C2A34}"/>
    <dgm:cxn modelId="{B823947A-0C44-4F16-BA24-828FECAF26D9}" srcId="{C8B708E9-5538-4364-BEBB-75902AA581D5}" destId="{05B3F217-D1EA-4278-8C2E-4A767F9E21F4}" srcOrd="1" destOrd="0" parTransId="{B8F0329D-6B86-43FD-9250-22D3FC5B5A95}" sibTransId="{7ADE3649-5A99-4088-8373-8297505C5AE4}"/>
    <dgm:cxn modelId="{84B11D7E-5547-4ACA-93F3-CD83F66BCB94}" type="presOf" srcId="{A7129057-64B9-46C4-8089-0B8827E1596D}" destId="{0064E3B1-53DD-4E00-B2CE-CCA4AEEF6F14}" srcOrd="0" destOrd="0" presId="urn:microsoft.com/office/officeart/2011/layout/TabList"/>
    <dgm:cxn modelId="{CDA88F7E-CEF2-4942-A304-98F6272002C6}" type="presOf" srcId="{A507C641-E737-456D-BD1D-A6933B456724}" destId="{33C0747B-6AE8-4F7F-B8BE-C9CDE6DA806B}" srcOrd="0" destOrd="0" presId="urn:microsoft.com/office/officeart/2011/layout/TabList"/>
    <dgm:cxn modelId="{5C32D184-F6BC-4F3E-B719-A4BF8A08B70E}" type="presOf" srcId="{C41B4A61-62BA-41F7-830A-27541501DC5C}" destId="{FC097CB4-336F-4042-96F4-09D7719E8C7F}" srcOrd="0" destOrd="0" presId="urn:microsoft.com/office/officeart/2011/layout/TabList"/>
    <dgm:cxn modelId="{B5562385-56E2-44E6-A6A7-943350E0766A}" srcId="{897919C3-6B56-489B-AAC4-0E7706B4C21B}" destId="{16246A96-E80D-43A8-BBFC-F10E73CD6110}" srcOrd="1" destOrd="0" parTransId="{690AF7F2-5864-49B2-87C6-F428E7332513}" sibTransId="{7F1A1FB6-8153-40D0-90A0-6F60C35D5752}"/>
    <dgm:cxn modelId="{597C2686-A72B-43B1-8011-A55D5A21B211}" srcId="{C41B4A61-62BA-41F7-830A-27541501DC5C}" destId="{0139A9A6-3C80-4805-8D04-DF2B21CFCDB4}" srcOrd="1" destOrd="0" parTransId="{1BBED1C1-BEEC-4F30-9FB8-E3C67E0761DA}" sibTransId="{8519B30E-6507-46D8-BC69-7567A336A146}"/>
    <dgm:cxn modelId="{6C735286-3C02-482A-8427-AF43F5C75D87}" srcId="{A507C641-E737-456D-BD1D-A6933B456724}" destId="{40F658DD-2066-4F7E-884B-26967C04E1A9}" srcOrd="0" destOrd="0" parTransId="{8CAF0E97-08BE-4B93-A3C2-AF8F8A4355CA}" sibTransId="{4EC1EA1B-B20F-4668-86A0-D8CCE81D47E3}"/>
    <dgm:cxn modelId="{E0F143B2-CCA1-4CDC-8847-8DF0A290FD01}" type="presOf" srcId="{C8B708E9-5538-4364-BEBB-75902AA581D5}" destId="{0EE1BE28-ACCA-4054-B053-EF71363F68DD}" srcOrd="0" destOrd="0" presId="urn:microsoft.com/office/officeart/2011/layout/TabList"/>
    <dgm:cxn modelId="{3B5B66B9-C080-49E5-AFAA-D83562D3E5A7}" type="presOf" srcId="{1C716919-FADF-4845-B7CC-28971674A34B}" destId="{15FA8295-6547-4D1B-8F8D-2B976473F2EC}" srcOrd="0" destOrd="0" presId="urn:microsoft.com/office/officeart/2011/layout/TabList"/>
    <dgm:cxn modelId="{BB9936C2-6338-420D-B9D3-65EED6D91D06}" srcId="{897919C3-6B56-489B-AAC4-0E7706B4C21B}" destId="{148E7B50-2A8C-4E8C-9F90-69560D656855}" srcOrd="6" destOrd="0" parTransId="{DE53B0F4-1044-4F72-9CE6-5132AC179FBD}" sibTransId="{DB281D58-0593-41A4-B7F0-B9D1479B13A2}"/>
    <dgm:cxn modelId="{69BFD2C2-4951-4A97-9D6D-76ADDF1A0E90}" srcId="{16246A96-E80D-43A8-BBFC-F10E73CD6110}" destId="{C6C1955F-EBD0-4622-92A9-DB5E876C464E}" srcOrd="0" destOrd="0" parTransId="{794F7759-ED1D-418C-B83B-2532FB33BF48}" sibTransId="{5E184DA4-91A4-4A89-8147-5D2F5AC69F5D}"/>
    <dgm:cxn modelId="{0E8CEBC6-B1EE-4C44-BDDF-ADDE07E0D789}" srcId="{897919C3-6B56-489B-AAC4-0E7706B4C21B}" destId="{C3FCF383-F849-4C67-83AC-C981313E083C}" srcOrd="5" destOrd="0" parTransId="{5B311A9E-1EA9-4187-B38A-CFE2E8ABF40F}" sibTransId="{60E697C3-1FFE-4305-896F-151009CF3117}"/>
    <dgm:cxn modelId="{C2E672CD-BDDA-4404-A2BF-B1D0AFC9990A}" type="presOf" srcId="{2BBAFE40-3115-40B0-BF7F-C2798D3BB851}" destId="{DC4A7C71-C4CA-44DC-92D8-AD479434FFB6}" srcOrd="0" destOrd="0" presId="urn:microsoft.com/office/officeart/2011/layout/TabList"/>
    <dgm:cxn modelId="{CEEE21CF-1F91-4CB8-A02D-1B38F5A63377}" type="presOf" srcId="{427B2185-8FFF-4059-B846-173CD069D0A4}" destId="{E42C3A95-44B7-481B-A949-94628A71B057}" srcOrd="0" destOrd="0" presId="urn:microsoft.com/office/officeart/2011/layout/TabList"/>
    <dgm:cxn modelId="{362160D4-D8F8-4611-B67A-0E73A3A72F99}" srcId="{897919C3-6B56-489B-AAC4-0E7706B4C21B}" destId="{17B15931-EBD8-4162-9BCE-C9E60D1BDE74}" srcOrd="3" destOrd="0" parTransId="{0D04F90D-0EF7-4B73-A761-520D761D0AFD}" sibTransId="{ECBFA3CA-E07E-4FFF-950C-2743A05084B1}"/>
    <dgm:cxn modelId="{70F5C0D7-9115-4F8A-8440-8D79AE735303}" srcId="{148E7B50-2A8C-4E8C-9F90-69560D656855}" destId="{3E30FEF4-9DD5-474F-9E02-8D3E92B79C9D}" srcOrd="0" destOrd="0" parTransId="{476E7985-63F7-48C2-A024-89DEB0BAE3CF}" sibTransId="{38E0823F-F3C5-49B6-A787-D942323C3DC1}"/>
    <dgm:cxn modelId="{B98674DB-666B-4CAB-B1A7-25BD35FB9D2D}" srcId="{148E7B50-2A8C-4E8C-9F90-69560D656855}" destId="{86552020-4405-4017-A7AD-EF9473BF272E}" srcOrd="1" destOrd="0" parTransId="{49704CCC-A851-464B-855C-7028DD0FFAD7}" sibTransId="{9033A210-37D8-4B58-97EB-123B1623CA4A}"/>
    <dgm:cxn modelId="{1D3825DC-3DEE-408D-A006-ED1AE4593C9C}" srcId="{C41B4A61-62BA-41F7-830A-27541501DC5C}" destId="{8C0AE5F0-61ED-4261-BCE0-3DFF5EED4D03}" srcOrd="0" destOrd="0" parTransId="{2B36E007-8E88-42D7-8FAB-DC1E46347491}" sibTransId="{7ACF484E-394F-4965-88F6-78FC3F3C903E}"/>
    <dgm:cxn modelId="{3752DCDF-D4A4-4387-8D98-2A10708D1D0D}" srcId="{16246A96-E80D-43A8-BBFC-F10E73CD6110}" destId="{427B2185-8FFF-4059-B846-173CD069D0A4}" srcOrd="1" destOrd="0" parTransId="{00A7DC21-3DDD-4A07-A2A7-79855CD26F78}" sibTransId="{E269B273-82EA-46CA-8AFB-077BFB861F3D}"/>
    <dgm:cxn modelId="{58AFD3E6-2789-4277-BE4C-8E46F35B5A52}" type="presOf" srcId="{897919C3-6B56-489B-AAC4-0E7706B4C21B}" destId="{2466E332-D212-4D04-8F24-51CBD4C2DBF3}" srcOrd="0" destOrd="0" presId="urn:microsoft.com/office/officeart/2011/layout/TabList"/>
    <dgm:cxn modelId="{BC34EAE8-A7D1-4BEE-A5D4-5300DF7DC989}" srcId="{897919C3-6B56-489B-AAC4-0E7706B4C21B}" destId="{A507C641-E737-456D-BD1D-A6933B456724}" srcOrd="0" destOrd="0" parTransId="{68DBE2E7-15CC-4C6D-A06A-298EC74B56BE}" sibTransId="{6D3C52F7-8E49-4078-AA49-F828FB25EA3B}"/>
    <dgm:cxn modelId="{1A60AAE9-370C-47A2-8DFF-E8B5C73F0452}" srcId="{897919C3-6B56-489B-AAC4-0E7706B4C21B}" destId="{C8B708E9-5538-4364-BEBB-75902AA581D5}" srcOrd="4" destOrd="0" parTransId="{7E0DFF3B-78EB-4DBC-8FFD-F63AAEF7D814}" sibTransId="{61F0C7DD-2213-4AF6-A44D-341B806DEDA8}"/>
    <dgm:cxn modelId="{DE0D0CFB-EB53-4725-A5FD-DC9260979F43}" type="presOf" srcId="{3E30FEF4-9DD5-474F-9E02-8D3E92B79C9D}" destId="{ADB7FFD4-701A-4E62-B216-E717ED228CCC}" srcOrd="0" destOrd="0" presId="urn:microsoft.com/office/officeart/2011/layout/TabList"/>
    <dgm:cxn modelId="{B6E996FB-8828-4871-A9E1-CDD993DD7653}" type="presOf" srcId="{17B15931-EBD8-4162-9BCE-C9E60D1BDE74}" destId="{150B7A85-9740-4079-AE5D-06B10F19464D}" srcOrd="0" destOrd="0" presId="urn:microsoft.com/office/officeart/2011/layout/TabList"/>
    <dgm:cxn modelId="{156C7B1C-9330-48ED-B4C6-875A336061F3}" type="presParOf" srcId="{2466E332-D212-4D04-8F24-51CBD4C2DBF3}" destId="{57CCFDBF-1546-440B-B41A-C00514E3B787}" srcOrd="0" destOrd="0" presId="urn:microsoft.com/office/officeart/2011/layout/TabList"/>
    <dgm:cxn modelId="{FD8AC664-7FB4-4DF7-82B1-0AB8E7366BAF}" type="presParOf" srcId="{57CCFDBF-1546-440B-B41A-C00514E3B787}" destId="{7466FBA1-1E24-44BC-93E8-5045A606748E}" srcOrd="0" destOrd="0" presId="urn:microsoft.com/office/officeart/2011/layout/TabList"/>
    <dgm:cxn modelId="{E92FD505-B556-4DC6-BDE6-3F76AB693F9E}" type="presParOf" srcId="{57CCFDBF-1546-440B-B41A-C00514E3B787}" destId="{33C0747B-6AE8-4F7F-B8BE-C9CDE6DA806B}" srcOrd="1" destOrd="0" presId="urn:microsoft.com/office/officeart/2011/layout/TabList"/>
    <dgm:cxn modelId="{75440C2B-A5DF-48F4-A0B8-4224875CD214}" type="presParOf" srcId="{57CCFDBF-1546-440B-B41A-C00514E3B787}" destId="{9F7D0891-88B9-4F4F-97B4-DF68957570D5}" srcOrd="2" destOrd="0" presId="urn:microsoft.com/office/officeart/2011/layout/TabList"/>
    <dgm:cxn modelId="{2AB6B23C-2549-4DC4-AAA8-8F2A507FC498}" type="presParOf" srcId="{2466E332-D212-4D04-8F24-51CBD4C2DBF3}" destId="{DC4A7C71-C4CA-44DC-92D8-AD479434FFB6}" srcOrd="1" destOrd="0" presId="urn:microsoft.com/office/officeart/2011/layout/TabList"/>
    <dgm:cxn modelId="{86E94EF1-0021-4473-976D-082B368B8F18}" type="presParOf" srcId="{2466E332-D212-4D04-8F24-51CBD4C2DBF3}" destId="{94BA26F0-8028-42D1-9119-F8238EA25FE4}" srcOrd="2" destOrd="0" presId="urn:microsoft.com/office/officeart/2011/layout/TabList"/>
    <dgm:cxn modelId="{657AEFC1-9895-464F-AC7D-6D04C05A6524}" type="presParOf" srcId="{2466E332-D212-4D04-8F24-51CBD4C2DBF3}" destId="{247DADB9-3D10-4A64-BE03-441487008529}" srcOrd="3" destOrd="0" presId="urn:microsoft.com/office/officeart/2011/layout/TabList"/>
    <dgm:cxn modelId="{C6E599BF-AB80-49F8-B547-DC28E9B621F9}" type="presParOf" srcId="{247DADB9-3D10-4A64-BE03-441487008529}" destId="{EE289F65-F03C-4AA9-8BB1-039AFFDE97ED}" srcOrd="0" destOrd="0" presId="urn:microsoft.com/office/officeart/2011/layout/TabList"/>
    <dgm:cxn modelId="{3FD54B9A-6B67-497D-BBDD-2442525CB771}" type="presParOf" srcId="{247DADB9-3D10-4A64-BE03-441487008529}" destId="{5F630699-3608-4ECB-9F2A-8E73DD6406FC}" srcOrd="1" destOrd="0" presId="urn:microsoft.com/office/officeart/2011/layout/TabList"/>
    <dgm:cxn modelId="{3418CF69-7BBB-4498-8862-707386B51D16}" type="presParOf" srcId="{247DADB9-3D10-4A64-BE03-441487008529}" destId="{7C42EF15-BF6E-44B2-9FDC-15D5E918A0C4}" srcOrd="2" destOrd="0" presId="urn:microsoft.com/office/officeart/2011/layout/TabList"/>
    <dgm:cxn modelId="{ABF93807-92A9-45A9-A29D-14805F03E14A}" type="presParOf" srcId="{2466E332-D212-4D04-8F24-51CBD4C2DBF3}" destId="{E42C3A95-44B7-481B-A949-94628A71B057}" srcOrd="4" destOrd="0" presId="urn:microsoft.com/office/officeart/2011/layout/TabList"/>
    <dgm:cxn modelId="{8DAB73F1-3C7C-4E7E-8C75-0723BC2B92D6}" type="presParOf" srcId="{2466E332-D212-4D04-8F24-51CBD4C2DBF3}" destId="{418886FF-D9CD-4219-866E-8E179141CAF5}" srcOrd="5" destOrd="0" presId="urn:microsoft.com/office/officeart/2011/layout/TabList"/>
    <dgm:cxn modelId="{CA9114EB-0846-4361-85F6-B4218125D703}" type="presParOf" srcId="{2466E332-D212-4D04-8F24-51CBD4C2DBF3}" destId="{459DA358-9CD5-4DFB-9925-FF66901A1BEE}" srcOrd="6" destOrd="0" presId="urn:microsoft.com/office/officeart/2011/layout/TabList"/>
    <dgm:cxn modelId="{A0B2A96E-9D72-4142-8F7B-B85A401C8BE8}" type="presParOf" srcId="{459DA358-9CD5-4DFB-9925-FF66901A1BEE}" destId="{CB64F75E-B849-4869-B165-B9E505DA14BD}" srcOrd="0" destOrd="0" presId="urn:microsoft.com/office/officeart/2011/layout/TabList"/>
    <dgm:cxn modelId="{2763448E-DA72-4845-8F39-305B0022AE55}" type="presParOf" srcId="{459DA358-9CD5-4DFB-9925-FF66901A1BEE}" destId="{FC097CB4-336F-4042-96F4-09D7719E8C7F}" srcOrd="1" destOrd="0" presId="urn:microsoft.com/office/officeart/2011/layout/TabList"/>
    <dgm:cxn modelId="{07F79895-CE21-41FE-818B-764B5566A24B}" type="presParOf" srcId="{459DA358-9CD5-4DFB-9925-FF66901A1BEE}" destId="{FB84E666-2392-440B-B5D5-AFE84650F289}" srcOrd="2" destOrd="0" presId="urn:microsoft.com/office/officeart/2011/layout/TabList"/>
    <dgm:cxn modelId="{A8F7A0A2-A439-4517-A79F-DD06C29F7FD8}" type="presParOf" srcId="{2466E332-D212-4D04-8F24-51CBD4C2DBF3}" destId="{2F918897-E47F-4ADE-AFC1-7D556EABE70F}" srcOrd="7" destOrd="0" presId="urn:microsoft.com/office/officeart/2011/layout/TabList"/>
    <dgm:cxn modelId="{388202D5-EC7A-4386-918D-C4D8EDF656ED}" type="presParOf" srcId="{2466E332-D212-4D04-8F24-51CBD4C2DBF3}" destId="{073C53F9-AEDE-4060-AA78-EE878469C694}" srcOrd="8" destOrd="0" presId="urn:microsoft.com/office/officeart/2011/layout/TabList"/>
    <dgm:cxn modelId="{7F07CA3C-07BD-4ED0-B1D0-58931A044856}" type="presParOf" srcId="{2466E332-D212-4D04-8F24-51CBD4C2DBF3}" destId="{3B316D27-4BA3-41CA-8965-E42324A5A38F}" srcOrd="9" destOrd="0" presId="urn:microsoft.com/office/officeart/2011/layout/TabList"/>
    <dgm:cxn modelId="{01F7D6C9-1B61-42FF-871E-9D3BDBF33B2B}" type="presParOf" srcId="{3B316D27-4BA3-41CA-8965-E42324A5A38F}" destId="{15FA8295-6547-4D1B-8F8D-2B976473F2EC}" srcOrd="0" destOrd="0" presId="urn:microsoft.com/office/officeart/2011/layout/TabList"/>
    <dgm:cxn modelId="{56C87D62-9F5E-470A-890A-F877735C46C1}" type="presParOf" srcId="{3B316D27-4BA3-41CA-8965-E42324A5A38F}" destId="{150B7A85-9740-4079-AE5D-06B10F19464D}" srcOrd="1" destOrd="0" presId="urn:microsoft.com/office/officeart/2011/layout/TabList"/>
    <dgm:cxn modelId="{B6888FB8-5E63-4042-AC89-55DE63306F96}" type="presParOf" srcId="{3B316D27-4BA3-41CA-8965-E42324A5A38F}" destId="{18D79830-FDE0-46B5-960F-A4AC481EF10C}" srcOrd="2" destOrd="0" presId="urn:microsoft.com/office/officeart/2011/layout/TabList"/>
    <dgm:cxn modelId="{4B5D1C95-DCED-48A9-AD0B-D0AAADCE3C6C}" type="presParOf" srcId="{2466E332-D212-4D04-8F24-51CBD4C2DBF3}" destId="{86B5B4F9-8ABE-4F30-AD84-7530D4E9FA6D}" srcOrd="10" destOrd="0" presId="urn:microsoft.com/office/officeart/2011/layout/TabList"/>
    <dgm:cxn modelId="{7D97CFE1-7CBB-46AE-A319-932E8C8DF965}" type="presParOf" srcId="{2466E332-D212-4D04-8F24-51CBD4C2DBF3}" destId="{6F0F0E32-C784-4730-9886-89B07E97FCB7}" srcOrd="11" destOrd="0" presId="urn:microsoft.com/office/officeart/2011/layout/TabList"/>
    <dgm:cxn modelId="{543F2E58-6818-4454-90AC-3DDD2C545607}" type="presParOf" srcId="{2466E332-D212-4D04-8F24-51CBD4C2DBF3}" destId="{9B50CC2A-BD1F-4AB1-8FCB-918F94355EB0}" srcOrd="12" destOrd="0" presId="urn:microsoft.com/office/officeart/2011/layout/TabList"/>
    <dgm:cxn modelId="{364C8208-B6A3-4897-8767-2BAA8F7FA674}" type="presParOf" srcId="{9B50CC2A-BD1F-4AB1-8FCB-918F94355EB0}" destId="{CD2C7BBD-D87A-4A3A-848A-9334A1F130C4}" srcOrd="0" destOrd="0" presId="urn:microsoft.com/office/officeart/2011/layout/TabList"/>
    <dgm:cxn modelId="{642CB2C1-DF60-4DCB-81EB-AC73B168149A}" type="presParOf" srcId="{9B50CC2A-BD1F-4AB1-8FCB-918F94355EB0}" destId="{0EE1BE28-ACCA-4054-B053-EF71363F68DD}" srcOrd="1" destOrd="0" presId="urn:microsoft.com/office/officeart/2011/layout/TabList"/>
    <dgm:cxn modelId="{55A408D5-60A5-4411-88F8-6C313EB46B3E}" type="presParOf" srcId="{9B50CC2A-BD1F-4AB1-8FCB-918F94355EB0}" destId="{9F93F39E-B5A8-46D3-84A8-411BA98C8D31}" srcOrd="2" destOrd="0" presId="urn:microsoft.com/office/officeart/2011/layout/TabList"/>
    <dgm:cxn modelId="{D5725D85-882C-4282-91B1-E288061C519E}" type="presParOf" srcId="{2466E332-D212-4D04-8F24-51CBD4C2DBF3}" destId="{7A778B9F-400A-43B0-88BD-0A85093F4A76}" srcOrd="13" destOrd="0" presId="urn:microsoft.com/office/officeart/2011/layout/TabList"/>
    <dgm:cxn modelId="{291AC31E-BB8E-4AE8-9725-F283BD557B8F}" type="presParOf" srcId="{2466E332-D212-4D04-8F24-51CBD4C2DBF3}" destId="{42458461-B1B4-4293-8117-A3A9473C2D8A}" srcOrd="14" destOrd="0" presId="urn:microsoft.com/office/officeart/2011/layout/TabList"/>
    <dgm:cxn modelId="{EC87984A-8438-46E9-A846-78ACB3B0CB36}" type="presParOf" srcId="{2466E332-D212-4D04-8F24-51CBD4C2DBF3}" destId="{C4E0BBAC-F08F-498C-9159-CFE5CAFA47FF}" srcOrd="15" destOrd="0" presId="urn:microsoft.com/office/officeart/2011/layout/TabList"/>
    <dgm:cxn modelId="{D5F55C5E-13A3-4495-92A7-29D45F21D6E9}" type="presParOf" srcId="{C4E0BBAC-F08F-498C-9159-CFE5CAFA47FF}" destId="{0064E3B1-53DD-4E00-B2CE-CCA4AEEF6F14}" srcOrd="0" destOrd="0" presId="urn:microsoft.com/office/officeart/2011/layout/TabList"/>
    <dgm:cxn modelId="{2DDEA90E-F9FB-4435-8B0D-5C6A33D465C2}" type="presParOf" srcId="{C4E0BBAC-F08F-498C-9159-CFE5CAFA47FF}" destId="{8CE0EFF9-3138-4535-9A40-77D16A24E607}" srcOrd="1" destOrd="0" presId="urn:microsoft.com/office/officeart/2011/layout/TabList"/>
    <dgm:cxn modelId="{9DE4E4FC-6EF4-4CA7-AD41-BECBC8C54AEC}" type="presParOf" srcId="{C4E0BBAC-F08F-498C-9159-CFE5CAFA47FF}" destId="{9F26EAA4-7AE6-4600-8B0D-69916097EEA8}" srcOrd="2" destOrd="0" presId="urn:microsoft.com/office/officeart/2011/layout/TabList"/>
    <dgm:cxn modelId="{D72D4EF9-7C8A-4E39-BBBA-A5BB1615EDCE}" type="presParOf" srcId="{2466E332-D212-4D04-8F24-51CBD4C2DBF3}" destId="{CF09147F-914C-4A61-BA29-8B3B09227AEC}" srcOrd="16" destOrd="0" presId="urn:microsoft.com/office/officeart/2011/layout/TabList"/>
    <dgm:cxn modelId="{1F07236B-9743-422A-A707-62638589E461}" type="presParOf" srcId="{2466E332-D212-4D04-8F24-51CBD4C2DBF3}" destId="{37A3E499-8BF8-4C98-9F8B-DEDD83A5001F}" srcOrd="17" destOrd="0" presId="urn:microsoft.com/office/officeart/2011/layout/TabList"/>
    <dgm:cxn modelId="{384B7735-8DFD-4BC5-ABE7-ABA42167EC39}" type="presParOf" srcId="{2466E332-D212-4D04-8F24-51CBD4C2DBF3}" destId="{14E4881F-D2F4-4F0A-9E9E-318577AF3B6B}" srcOrd="18" destOrd="0" presId="urn:microsoft.com/office/officeart/2011/layout/TabList"/>
    <dgm:cxn modelId="{B60E0CEE-12A2-4460-98CD-44172AA3EF3E}" type="presParOf" srcId="{14E4881F-D2F4-4F0A-9E9E-318577AF3B6B}" destId="{ADB7FFD4-701A-4E62-B216-E717ED228CCC}" srcOrd="0" destOrd="0" presId="urn:microsoft.com/office/officeart/2011/layout/TabList"/>
    <dgm:cxn modelId="{E7F91B0A-C8EB-4F20-A2BB-26F8DFB6685E}" type="presParOf" srcId="{14E4881F-D2F4-4F0A-9E9E-318577AF3B6B}" destId="{A0A7211E-BADA-4891-8DCB-8DADCFAE8017}" srcOrd="1" destOrd="0" presId="urn:microsoft.com/office/officeart/2011/layout/TabList"/>
    <dgm:cxn modelId="{8FBE40E0-D8A7-41D9-9DAD-A611646EC226}" type="presParOf" srcId="{14E4881F-D2F4-4F0A-9E9E-318577AF3B6B}" destId="{A1F83222-FC33-45B7-A3BD-7CD2F1861BB9}" srcOrd="2" destOrd="0" presId="urn:microsoft.com/office/officeart/2011/layout/TabList"/>
    <dgm:cxn modelId="{6B2A187F-719E-4E3F-8930-D245C86B8C57}" type="presParOf" srcId="{2466E332-D212-4D04-8F24-51CBD4C2DBF3}" destId="{E8D528CB-9F36-428F-9C29-A68E57AF1B52}" srcOrd="19" destOrd="0" presId="urn:microsoft.com/office/officeart/2011/layout/TabList"/>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1F83222-FC33-45B7-A3BD-7CD2F1861BB9}">
      <dsp:nvSpPr>
        <dsp:cNvPr id="0" name=""/>
        <dsp:cNvSpPr/>
      </dsp:nvSpPr>
      <dsp:spPr>
        <a:xfrm>
          <a:off x="-291861" y="4944112"/>
          <a:ext cx="5842000" cy="0"/>
        </a:xfrm>
        <a:prstGeom prst="line">
          <a:avLst/>
        </a:pr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F26EAA4-7AE6-4600-8B0D-69916097EEA8}">
      <dsp:nvSpPr>
        <dsp:cNvPr id="0" name=""/>
        <dsp:cNvSpPr/>
      </dsp:nvSpPr>
      <dsp:spPr>
        <a:xfrm>
          <a:off x="-290500" y="4163459"/>
          <a:ext cx="5842000" cy="0"/>
        </a:xfrm>
        <a:prstGeom prst="line">
          <a:avLst/>
        </a:pr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F93F39E-B5A8-46D3-84A8-411BA98C8D31}">
      <dsp:nvSpPr>
        <dsp:cNvPr id="0" name=""/>
        <dsp:cNvSpPr/>
      </dsp:nvSpPr>
      <dsp:spPr>
        <a:xfrm>
          <a:off x="-289138" y="3382807"/>
          <a:ext cx="5842000" cy="0"/>
        </a:xfrm>
        <a:prstGeom prst="line">
          <a:avLst/>
        </a:pr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D79830-FDE0-46B5-960F-A4AC481EF10C}">
      <dsp:nvSpPr>
        <dsp:cNvPr id="0" name=""/>
        <dsp:cNvSpPr/>
      </dsp:nvSpPr>
      <dsp:spPr>
        <a:xfrm>
          <a:off x="-301837" y="2602154"/>
          <a:ext cx="5842000" cy="0"/>
        </a:xfrm>
        <a:prstGeom prst="line">
          <a:avLst/>
        </a:pr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B84E666-2392-440B-B5D5-AFE84650F289}">
      <dsp:nvSpPr>
        <dsp:cNvPr id="0" name=""/>
        <dsp:cNvSpPr/>
      </dsp:nvSpPr>
      <dsp:spPr>
        <a:xfrm>
          <a:off x="-304517" y="1821501"/>
          <a:ext cx="5842000" cy="0"/>
        </a:xfrm>
        <a:prstGeom prst="line">
          <a:avLst/>
        </a:pr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C42EF15-BF6E-44B2-9FDC-15D5E918A0C4}">
      <dsp:nvSpPr>
        <dsp:cNvPr id="0" name=""/>
        <dsp:cNvSpPr/>
      </dsp:nvSpPr>
      <dsp:spPr>
        <a:xfrm>
          <a:off x="-314363" y="1040848"/>
          <a:ext cx="5842000" cy="0"/>
        </a:xfrm>
        <a:prstGeom prst="line">
          <a:avLst/>
        </a:pr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F7D0891-88B9-4F4F-97B4-DF68957570D5}">
      <dsp:nvSpPr>
        <dsp:cNvPr id="0" name=""/>
        <dsp:cNvSpPr/>
      </dsp:nvSpPr>
      <dsp:spPr>
        <a:xfrm>
          <a:off x="-307716" y="260196"/>
          <a:ext cx="5842000" cy="0"/>
        </a:xfrm>
        <a:prstGeom prst="line">
          <a:avLst/>
        </a:prstGeom>
        <a:noFill/>
        <a:ln w="12700" cap="flat" cmpd="sng" algn="ctr">
          <a:solidFill>
            <a:schemeClr val="accent5">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466FBA1-1E24-44BC-93E8-5045A606748E}">
      <dsp:nvSpPr>
        <dsp:cNvPr id="0" name=""/>
        <dsp:cNvSpPr/>
      </dsp:nvSpPr>
      <dsp:spPr>
        <a:xfrm>
          <a:off x="595769" y="4269"/>
          <a:ext cx="5553947" cy="2559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marL="0" lvl="0" indent="0" algn="l" defTabSz="444500">
            <a:lnSpc>
              <a:spcPct val="90000"/>
            </a:lnSpc>
            <a:spcBef>
              <a:spcPct val="0"/>
            </a:spcBef>
            <a:spcAft>
              <a:spcPct val="35000"/>
            </a:spcAft>
            <a:buNone/>
          </a:pPr>
          <a:r>
            <a:rPr lang="en-GB" sz="1000" b="1" kern="1200"/>
            <a:t>Justify the purpose(s) </a:t>
          </a:r>
        </a:p>
      </dsp:txBody>
      <dsp:txXfrm>
        <a:off x="595769" y="4269"/>
        <a:ext cx="5553947" cy="255926"/>
      </dsp:txXfrm>
    </dsp:sp>
    <dsp:sp modelId="{33C0747B-6AE8-4F7F-B8BE-C9CDE6DA806B}">
      <dsp:nvSpPr>
        <dsp:cNvPr id="0" name=""/>
        <dsp:cNvSpPr/>
      </dsp:nvSpPr>
      <dsp:spPr>
        <a:xfrm>
          <a:off x="0" y="0"/>
          <a:ext cx="472961" cy="255926"/>
        </a:xfrm>
        <a:prstGeom prst="round2SameRect">
          <a:avLst>
            <a:gd name="adj1" fmla="val 16670"/>
            <a:gd name="adj2" fmla="val 0"/>
          </a:avLst>
        </a:prstGeom>
        <a:solidFill>
          <a:schemeClr val="accent5">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marL="0" lvl="0" indent="0" algn="ctr" defTabSz="577850">
            <a:lnSpc>
              <a:spcPct val="90000"/>
            </a:lnSpc>
            <a:spcBef>
              <a:spcPct val="0"/>
            </a:spcBef>
            <a:spcAft>
              <a:spcPct val="35000"/>
            </a:spcAft>
            <a:buNone/>
          </a:pPr>
          <a:r>
            <a:rPr lang="en-GB" sz="1300" kern="1200"/>
            <a:t>1</a:t>
          </a:r>
        </a:p>
      </dsp:txBody>
      <dsp:txXfrm>
        <a:off x="12496" y="12496"/>
        <a:ext cx="447969" cy="243430"/>
      </dsp:txXfrm>
    </dsp:sp>
    <dsp:sp modelId="{DC4A7C71-C4CA-44DC-92D8-AD479434FFB6}">
      <dsp:nvSpPr>
        <dsp:cNvPr id="0" name=""/>
        <dsp:cNvSpPr/>
      </dsp:nvSpPr>
      <dsp:spPr>
        <a:xfrm>
          <a:off x="0" y="260196"/>
          <a:ext cx="5842000" cy="5119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t" anchorCtr="0">
          <a:noAutofit/>
        </a:bodyPr>
        <a:lstStyle/>
        <a:p>
          <a:pPr marL="57150" lvl="1" indent="-57150" algn="just" defTabSz="444500">
            <a:lnSpc>
              <a:spcPct val="90000"/>
            </a:lnSpc>
            <a:spcBef>
              <a:spcPct val="0"/>
            </a:spcBef>
            <a:spcAft>
              <a:spcPct val="15000"/>
            </a:spcAft>
            <a:buChar char="•"/>
          </a:pPr>
          <a:r>
            <a:rPr lang="en-GB" sz="1000" kern="1200">
              <a:latin typeface="+mj-lt"/>
            </a:rPr>
            <a:t>Every proposed use or transfer of personal-confidential data within or from an organisation should be clearly defined, scrutinised and documented with continuing uses regularly reviewed, by an appropriate guardian. </a:t>
          </a:r>
        </a:p>
      </dsp:txBody>
      <dsp:txXfrm>
        <a:off x="0" y="260196"/>
        <a:ext cx="5842000" cy="511929"/>
      </dsp:txXfrm>
    </dsp:sp>
    <dsp:sp modelId="{EE289F65-F03C-4AA9-8BB1-039AFFDE97ED}">
      <dsp:nvSpPr>
        <dsp:cNvPr id="0" name=""/>
        <dsp:cNvSpPr/>
      </dsp:nvSpPr>
      <dsp:spPr>
        <a:xfrm>
          <a:off x="575829" y="784922"/>
          <a:ext cx="5580534" cy="2559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marL="0" lvl="0" indent="0" algn="l" defTabSz="444500">
            <a:lnSpc>
              <a:spcPct val="90000"/>
            </a:lnSpc>
            <a:spcBef>
              <a:spcPct val="0"/>
            </a:spcBef>
            <a:spcAft>
              <a:spcPct val="35000"/>
            </a:spcAft>
            <a:buNone/>
          </a:pPr>
          <a:r>
            <a:rPr lang="en-GB" sz="1000" b="1" kern="1200"/>
            <a:t>Don't use personable identifiable information unless it is absolutely necessary </a:t>
          </a:r>
        </a:p>
      </dsp:txBody>
      <dsp:txXfrm>
        <a:off x="575829" y="784922"/>
        <a:ext cx="5580534" cy="255926"/>
      </dsp:txXfrm>
    </dsp:sp>
    <dsp:sp modelId="{5F630699-3608-4ECB-9F2A-8E73DD6406FC}">
      <dsp:nvSpPr>
        <dsp:cNvPr id="0" name=""/>
        <dsp:cNvSpPr/>
      </dsp:nvSpPr>
      <dsp:spPr>
        <a:xfrm>
          <a:off x="0" y="780653"/>
          <a:ext cx="472961" cy="255926"/>
        </a:xfrm>
        <a:prstGeom prst="round2SameRect">
          <a:avLst>
            <a:gd name="adj1" fmla="val 16670"/>
            <a:gd name="adj2" fmla="val 0"/>
          </a:avLst>
        </a:prstGeom>
        <a:solidFill>
          <a:schemeClr val="accent5">
            <a:hueOff val="-1126424"/>
            <a:satOff val="-2903"/>
            <a:lumOff val="-1961"/>
            <a:alphaOff val="0"/>
          </a:schemeClr>
        </a:solidFill>
        <a:ln w="12700" cap="flat" cmpd="sng" algn="ctr">
          <a:solidFill>
            <a:schemeClr val="accent5">
              <a:hueOff val="-1126424"/>
              <a:satOff val="-2903"/>
              <a:lumOff val="-1961"/>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marL="0" lvl="0" indent="0" algn="ctr" defTabSz="577850">
            <a:lnSpc>
              <a:spcPct val="90000"/>
            </a:lnSpc>
            <a:spcBef>
              <a:spcPct val="0"/>
            </a:spcBef>
            <a:spcAft>
              <a:spcPct val="35000"/>
            </a:spcAft>
            <a:buNone/>
          </a:pPr>
          <a:r>
            <a:rPr lang="en-GB" sz="1300" kern="1200"/>
            <a:t>2</a:t>
          </a:r>
        </a:p>
      </dsp:txBody>
      <dsp:txXfrm>
        <a:off x="12496" y="793149"/>
        <a:ext cx="447969" cy="243430"/>
      </dsp:txXfrm>
    </dsp:sp>
    <dsp:sp modelId="{E42C3A95-44B7-481B-A949-94628A71B057}">
      <dsp:nvSpPr>
        <dsp:cNvPr id="0" name=""/>
        <dsp:cNvSpPr/>
      </dsp:nvSpPr>
      <dsp:spPr>
        <a:xfrm>
          <a:off x="0" y="1040848"/>
          <a:ext cx="5842000" cy="5119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4765" tIns="24765" rIns="24765" bIns="24765" numCol="1" spcCol="1270" anchor="t" anchorCtr="0">
          <a:noAutofit/>
        </a:bodyPr>
        <a:lstStyle/>
        <a:p>
          <a:pPr marL="57150" lvl="1" indent="-57150" algn="just" defTabSz="444500">
            <a:lnSpc>
              <a:spcPct val="90000"/>
            </a:lnSpc>
            <a:spcBef>
              <a:spcPct val="0"/>
            </a:spcBef>
            <a:spcAft>
              <a:spcPct val="15000"/>
            </a:spcAft>
            <a:buChar char="•"/>
          </a:pPr>
          <a:r>
            <a:rPr lang="en-GB" sz="1000" kern="1200">
              <a:latin typeface="+mj-lt"/>
            </a:rPr>
            <a:t>Personal confidential data should not be included unless it is essential for the specified purpose(s) of that flow. The need for patients to be identified should be considered at each stage of satisfying the purpose(s). </a:t>
          </a:r>
        </a:p>
      </dsp:txBody>
      <dsp:txXfrm>
        <a:off x="0" y="1040848"/>
        <a:ext cx="5842000" cy="511929"/>
      </dsp:txXfrm>
    </dsp:sp>
    <dsp:sp modelId="{CB64F75E-B849-4869-B165-B9E505DA14BD}">
      <dsp:nvSpPr>
        <dsp:cNvPr id="0" name=""/>
        <dsp:cNvSpPr/>
      </dsp:nvSpPr>
      <dsp:spPr>
        <a:xfrm>
          <a:off x="605366" y="1565575"/>
          <a:ext cx="5541151" cy="2559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marL="0" lvl="0" indent="0" algn="l" defTabSz="444500">
            <a:lnSpc>
              <a:spcPct val="90000"/>
            </a:lnSpc>
            <a:spcBef>
              <a:spcPct val="0"/>
            </a:spcBef>
            <a:spcAft>
              <a:spcPct val="35000"/>
            </a:spcAft>
            <a:buNone/>
          </a:pPr>
          <a:r>
            <a:rPr lang="en-GB" sz="1000" b="1" kern="1200"/>
            <a:t>Use the minimum necessary personal confidential data </a:t>
          </a:r>
        </a:p>
      </dsp:txBody>
      <dsp:txXfrm>
        <a:off x="605366" y="1565575"/>
        <a:ext cx="5541151" cy="255926"/>
      </dsp:txXfrm>
    </dsp:sp>
    <dsp:sp modelId="{FC097CB4-336F-4042-96F4-09D7719E8C7F}">
      <dsp:nvSpPr>
        <dsp:cNvPr id="0" name=""/>
        <dsp:cNvSpPr/>
      </dsp:nvSpPr>
      <dsp:spPr>
        <a:xfrm>
          <a:off x="0" y="1561306"/>
          <a:ext cx="472961" cy="255926"/>
        </a:xfrm>
        <a:prstGeom prst="round2SameRect">
          <a:avLst>
            <a:gd name="adj1" fmla="val 16670"/>
            <a:gd name="adj2" fmla="val 0"/>
          </a:avLst>
        </a:prstGeom>
        <a:solidFill>
          <a:schemeClr val="accent5">
            <a:hueOff val="-2252848"/>
            <a:satOff val="-5806"/>
            <a:lumOff val="-3922"/>
            <a:alphaOff val="0"/>
          </a:schemeClr>
        </a:solidFill>
        <a:ln w="12700" cap="flat" cmpd="sng" algn="ctr">
          <a:solidFill>
            <a:schemeClr val="accent5">
              <a:hueOff val="-2252848"/>
              <a:satOff val="-5806"/>
              <a:lumOff val="-3922"/>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marL="0" lvl="0" indent="0" algn="ctr" defTabSz="577850">
            <a:lnSpc>
              <a:spcPct val="90000"/>
            </a:lnSpc>
            <a:spcBef>
              <a:spcPct val="0"/>
            </a:spcBef>
            <a:spcAft>
              <a:spcPct val="35000"/>
            </a:spcAft>
            <a:buNone/>
          </a:pPr>
          <a:r>
            <a:rPr lang="en-GB" sz="1300" kern="1200"/>
            <a:t>3</a:t>
          </a:r>
        </a:p>
      </dsp:txBody>
      <dsp:txXfrm>
        <a:off x="12496" y="1573802"/>
        <a:ext cx="447969" cy="243430"/>
      </dsp:txXfrm>
    </dsp:sp>
    <dsp:sp modelId="{2F918897-E47F-4ADE-AFC1-7D556EABE70F}">
      <dsp:nvSpPr>
        <dsp:cNvPr id="0" name=""/>
        <dsp:cNvSpPr/>
      </dsp:nvSpPr>
      <dsp:spPr>
        <a:xfrm>
          <a:off x="0" y="1821501"/>
          <a:ext cx="5842000" cy="5119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4765" tIns="24765" rIns="24765" bIns="24765" numCol="1" spcCol="1270" anchor="t" anchorCtr="0">
          <a:noAutofit/>
        </a:bodyPr>
        <a:lstStyle/>
        <a:p>
          <a:pPr marL="57150" lvl="1" indent="-57150" algn="just" defTabSz="444500">
            <a:lnSpc>
              <a:spcPct val="90000"/>
            </a:lnSpc>
            <a:spcBef>
              <a:spcPct val="0"/>
            </a:spcBef>
            <a:spcAft>
              <a:spcPct val="15000"/>
            </a:spcAft>
            <a:buChar char="•"/>
          </a:pPr>
          <a:r>
            <a:rPr lang="en-GB" sz="1000" kern="1200">
              <a:latin typeface="+mj-lt"/>
            </a:rPr>
            <a:t>Where use of personal confidential data is considered to be essential, the inclusion of each individual item of data should be considered and justified so that the minimum amount of personal confidential data is transferred or accessible as is necessary for a function to be carried out. </a:t>
          </a:r>
        </a:p>
      </dsp:txBody>
      <dsp:txXfrm>
        <a:off x="0" y="1821501"/>
        <a:ext cx="5842000" cy="511929"/>
      </dsp:txXfrm>
    </dsp:sp>
    <dsp:sp modelId="{15FA8295-6547-4D1B-8F8D-2B976473F2EC}">
      <dsp:nvSpPr>
        <dsp:cNvPr id="0" name=""/>
        <dsp:cNvSpPr/>
      </dsp:nvSpPr>
      <dsp:spPr>
        <a:xfrm>
          <a:off x="613407" y="2346227"/>
          <a:ext cx="5530429" cy="2559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marL="0" lvl="0" indent="0" algn="l" defTabSz="444500">
            <a:lnSpc>
              <a:spcPct val="90000"/>
            </a:lnSpc>
            <a:spcBef>
              <a:spcPct val="0"/>
            </a:spcBef>
            <a:spcAft>
              <a:spcPct val="35000"/>
            </a:spcAft>
            <a:buNone/>
          </a:pPr>
          <a:r>
            <a:rPr lang="en-GB" sz="1000" b="1" kern="1200"/>
            <a:t>Access to personal confidential data should be on a strict need-to-know basis</a:t>
          </a:r>
        </a:p>
      </dsp:txBody>
      <dsp:txXfrm>
        <a:off x="613407" y="2346227"/>
        <a:ext cx="5530429" cy="255926"/>
      </dsp:txXfrm>
    </dsp:sp>
    <dsp:sp modelId="{150B7A85-9740-4079-AE5D-06B10F19464D}">
      <dsp:nvSpPr>
        <dsp:cNvPr id="0" name=""/>
        <dsp:cNvSpPr/>
      </dsp:nvSpPr>
      <dsp:spPr>
        <a:xfrm>
          <a:off x="0" y="2341958"/>
          <a:ext cx="472961" cy="255926"/>
        </a:xfrm>
        <a:prstGeom prst="round2SameRect">
          <a:avLst>
            <a:gd name="adj1" fmla="val 16670"/>
            <a:gd name="adj2" fmla="val 0"/>
          </a:avLst>
        </a:prstGeom>
        <a:solidFill>
          <a:schemeClr val="accent5">
            <a:hueOff val="-3379271"/>
            <a:satOff val="-8710"/>
            <a:lumOff val="-5883"/>
            <a:alphaOff val="0"/>
          </a:schemeClr>
        </a:solidFill>
        <a:ln w="12700" cap="flat" cmpd="sng" algn="ctr">
          <a:solidFill>
            <a:schemeClr val="accent5">
              <a:hueOff val="-3379271"/>
              <a:satOff val="-8710"/>
              <a:lumOff val="-5883"/>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marL="0" lvl="0" indent="0" algn="ctr" defTabSz="577850">
            <a:lnSpc>
              <a:spcPct val="90000"/>
            </a:lnSpc>
            <a:spcBef>
              <a:spcPct val="0"/>
            </a:spcBef>
            <a:spcAft>
              <a:spcPct val="35000"/>
            </a:spcAft>
            <a:buNone/>
          </a:pPr>
          <a:r>
            <a:rPr lang="en-GB" sz="1300" kern="1200"/>
            <a:t>4</a:t>
          </a:r>
        </a:p>
      </dsp:txBody>
      <dsp:txXfrm>
        <a:off x="12496" y="2354454"/>
        <a:ext cx="447969" cy="243430"/>
      </dsp:txXfrm>
    </dsp:sp>
    <dsp:sp modelId="{86B5B4F9-8ABE-4F30-AD84-7530D4E9FA6D}">
      <dsp:nvSpPr>
        <dsp:cNvPr id="0" name=""/>
        <dsp:cNvSpPr/>
      </dsp:nvSpPr>
      <dsp:spPr>
        <a:xfrm>
          <a:off x="0" y="2602154"/>
          <a:ext cx="5842000" cy="5119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4765" tIns="24765" rIns="24765" bIns="24765" numCol="1" spcCol="1270" anchor="t" anchorCtr="0">
          <a:noAutofit/>
        </a:bodyPr>
        <a:lstStyle/>
        <a:p>
          <a:pPr marL="57150" lvl="1" indent="-57150" algn="just" defTabSz="444500">
            <a:lnSpc>
              <a:spcPct val="90000"/>
            </a:lnSpc>
            <a:spcBef>
              <a:spcPct val="0"/>
            </a:spcBef>
            <a:spcAft>
              <a:spcPct val="15000"/>
            </a:spcAft>
            <a:buChar char="•"/>
          </a:pPr>
          <a:r>
            <a:rPr lang="en-GB" sz="1000" kern="1200">
              <a:latin typeface="+mj-lt"/>
            </a:rPr>
            <a:t>Only those individuals who need access to personal confidential data should have access to it, and they should only have access to the information items that they need to see. This may mean introducing access controls or splitting data flows where one data flow is used for several purposes. </a:t>
          </a:r>
        </a:p>
      </dsp:txBody>
      <dsp:txXfrm>
        <a:off x="0" y="2602154"/>
        <a:ext cx="5842000" cy="511929"/>
      </dsp:txXfrm>
    </dsp:sp>
    <dsp:sp modelId="{CD2C7BBD-D87A-4A3A-848A-9334A1F130C4}">
      <dsp:nvSpPr>
        <dsp:cNvPr id="0" name=""/>
        <dsp:cNvSpPr/>
      </dsp:nvSpPr>
      <dsp:spPr>
        <a:xfrm>
          <a:off x="651504" y="3126880"/>
          <a:ext cx="5479633" cy="2559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marL="0" lvl="0" indent="0" algn="l" defTabSz="444500">
            <a:lnSpc>
              <a:spcPct val="90000"/>
            </a:lnSpc>
            <a:spcBef>
              <a:spcPct val="0"/>
            </a:spcBef>
            <a:spcAft>
              <a:spcPct val="35000"/>
            </a:spcAft>
            <a:buNone/>
          </a:pPr>
          <a:r>
            <a:rPr lang="en-GB" sz="1000" b="1" kern="1200"/>
            <a:t>Everyone with access to personal confidential data should be aware of their responsibilities </a:t>
          </a:r>
        </a:p>
      </dsp:txBody>
      <dsp:txXfrm>
        <a:off x="651504" y="3126880"/>
        <a:ext cx="5479633" cy="255926"/>
      </dsp:txXfrm>
    </dsp:sp>
    <dsp:sp modelId="{0EE1BE28-ACCA-4054-B053-EF71363F68DD}">
      <dsp:nvSpPr>
        <dsp:cNvPr id="0" name=""/>
        <dsp:cNvSpPr/>
      </dsp:nvSpPr>
      <dsp:spPr>
        <a:xfrm>
          <a:off x="0" y="3122611"/>
          <a:ext cx="472961" cy="255926"/>
        </a:xfrm>
        <a:prstGeom prst="round2SameRect">
          <a:avLst>
            <a:gd name="adj1" fmla="val 16670"/>
            <a:gd name="adj2" fmla="val 0"/>
          </a:avLst>
        </a:prstGeom>
        <a:solidFill>
          <a:schemeClr val="accent5">
            <a:hueOff val="-4505695"/>
            <a:satOff val="-11613"/>
            <a:lumOff val="-7843"/>
            <a:alphaOff val="0"/>
          </a:schemeClr>
        </a:solidFill>
        <a:ln w="12700" cap="flat" cmpd="sng" algn="ctr">
          <a:solidFill>
            <a:schemeClr val="accent5">
              <a:hueOff val="-4505695"/>
              <a:satOff val="-11613"/>
              <a:lumOff val="-7843"/>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marL="0" lvl="0" indent="0" algn="ctr" defTabSz="577850">
            <a:lnSpc>
              <a:spcPct val="90000"/>
            </a:lnSpc>
            <a:spcBef>
              <a:spcPct val="0"/>
            </a:spcBef>
            <a:spcAft>
              <a:spcPct val="35000"/>
            </a:spcAft>
            <a:buNone/>
          </a:pPr>
          <a:r>
            <a:rPr lang="en-GB" sz="1300" kern="1200"/>
            <a:t>5</a:t>
          </a:r>
        </a:p>
      </dsp:txBody>
      <dsp:txXfrm>
        <a:off x="12496" y="3135107"/>
        <a:ext cx="447969" cy="243430"/>
      </dsp:txXfrm>
    </dsp:sp>
    <dsp:sp modelId="{7A778B9F-400A-43B0-88BD-0A85093F4A76}">
      <dsp:nvSpPr>
        <dsp:cNvPr id="0" name=""/>
        <dsp:cNvSpPr/>
      </dsp:nvSpPr>
      <dsp:spPr>
        <a:xfrm>
          <a:off x="0" y="3382807"/>
          <a:ext cx="5842000" cy="5119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4765" tIns="24765" rIns="24765" bIns="24765" numCol="1" spcCol="1270" anchor="t" anchorCtr="0">
          <a:noAutofit/>
        </a:bodyPr>
        <a:lstStyle/>
        <a:p>
          <a:pPr marL="57150" lvl="1" indent="-57150" algn="just" defTabSz="444500">
            <a:lnSpc>
              <a:spcPct val="90000"/>
            </a:lnSpc>
            <a:spcBef>
              <a:spcPct val="0"/>
            </a:spcBef>
            <a:spcAft>
              <a:spcPct val="15000"/>
            </a:spcAft>
            <a:buChar char="•"/>
          </a:pPr>
          <a:r>
            <a:rPr lang="en-GB" sz="1000" kern="1200">
              <a:latin typeface="+mj-lt"/>
            </a:rPr>
            <a:t>Action should be taken to ensure that those handling personal confidential data - both clinical and non-clinical staff are made fully aware of their responsibilities and obligations to respect patient confidentiality</a:t>
          </a:r>
        </a:p>
      </dsp:txBody>
      <dsp:txXfrm>
        <a:off x="0" y="3382807"/>
        <a:ext cx="5842000" cy="511929"/>
      </dsp:txXfrm>
    </dsp:sp>
    <dsp:sp modelId="{0064E3B1-53DD-4E00-B2CE-CCA4AEEF6F14}">
      <dsp:nvSpPr>
        <dsp:cNvPr id="0" name=""/>
        <dsp:cNvSpPr/>
      </dsp:nvSpPr>
      <dsp:spPr>
        <a:xfrm>
          <a:off x="647419" y="3907533"/>
          <a:ext cx="5485080" cy="2559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marL="0" lvl="0" indent="0" algn="l" defTabSz="444500">
            <a:lnSpc>
              <a:spcPct val="90000"/>
            </a:lnSpc>
            <a:spcBef>
              <a:spcPct val="0"/>
            </a:spcBef>
            <a:spcAft>
              <a:spcPct val="35000"/>
            </a:spcAft>
            <a:buNone/>
          </a:pPr>
          <a:r>
            <a:rPr lang="en-GB" sz="1000" b="1" kern="1200"/>
            <a:t>Comply with the law.   Every use of personal confidential data must be lawful. </a:t>
          </a:r>
        </a:p>
      </dsp:txBody>
      <dsp:txXfrm>
        <a:off x="647419" y="3907533"/>
        <a:ext cx="5485080" cy="255926"/>
      </dsp:txXfrm>
    </dsp:sp>
    <dsp:sp modelId="{8CE0EFF9-3138-4535-9A40-77D16A24E607}">
      <dsp:nvSpPr>
        <dsp:cNvPr id="0" name=""/>
        <dsp:cNvSpPr/>
      </dsp:nvSpPr>
      <dsp:spPr>
        <a:xfrm>
          <a:off x="0" y="3903264"/>
          <a:ext cx="472961" cy="255926"/>
        </a:xfrm>
        <a:prstGeom prst="round2SameRect">
          <a:avLst>
            <a:gd name="adj1" fmla="val 16670"/>
            <a:gd name="adj2" fmla="val 0"/>
          </a:avLst>
        </a:prstGeom>
        <a:solidFill>
          <a:schemeClr val="accent5">
            <a:hueOff val="-5632119"/>
            <a:satOff val="-14516"/>
            <a:lumOff val="-9804"/>
            <a:alphaOff val="0"/>
          </a:schemeClr>
        </a:solidFill>
        <a:ln w="12700" cap="flat" cmpd="sng" algn="ctr">
          <a:solidFill>
            <a:schemeClr val="accent5">
              <a:hueOff val="-5632119"/>
              <a:satOff val="-14516"/>
              <a:lumOff val="-9804"/>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marL="0" lvl="0" indent="0" algn="ctr" defTabSz="577850">
            <a:lnSpc>
              <a:spcPct val="90000"/>
            </a:lnSpc>
            <a:spcBef>
              <a:spcPct val="0"/>
            </a:spcBef>
            <a:spcAft>
              <a:spcPct val="35000"/>
            </a:spcAft>
            <a:buNone/>
          </a:pPr>
          <a:r>
            <a:rPr lang="en-GB" sz="1300" kern="1200"/>
            <a:t>6</a:t>
          </a:r>
        </a:p>
      </dsp:txBody>
      <dsp:txXfrm>
        <a:off x="12496" y="3915760"/>
        <a:ext cx="447969" cy="243430"/>
      </dsp:txXfrm>
    </dsp:sp>
    <dsp:sp modelId="{CF09147F-914C-4A61-BA29-8B3B09227AEC}">
      <dsp:nvSpPr>
        <dsp:cNvPr id="0" name=""/>
        <dsp:cNvSpPr/>
      </dsp:nvSpPr>
      <dsp:spPr>
        <a:xfrm>
          <a:off x="0" y="4163459"/>
          <a:ext cx="5842000" cy="5119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4765" tIns="24765" rIns="24765" bIns="24765" numCol="1" spcCol="1270" anchor="t" anchorCtr="0">
          <a:noAutofit/>
        </a:bodyPr>
        <a:lstStyle/>
        <a:p>
          <a:pPr marL="57150" lvl="1" indent="-57150" algn="just" defTabSz="444500">
            <a:lnSpc>
              <a:spcPct val="90000"/>
            </a:lnSpc>
            <a:spcBef>
              <a:spcPct val="0"/>
            </a:spcBef>
            <a:spcAft>
              <a:spcPct val="15000"/>
            </a:spcAft>
            <a:buChar char="•"/>
          </a:pPr>
          <a:r>
            <a:rPr lang="en-GB" sz="1000" kern="1200">
              <a:latin typeface="+mj-lt"/>
            </a:rPr>
            <a:t>Someone in each organisation handling personal confidential data should be responsible for ensuring that the organisation complies with legal requirements. </a:t>
          </a:r>
        </a:p>
      </dsp:txBody>
      <dsp:txXfrm>
        <a:off x="0" y="4163459"/>
        <a:ext cx="5842000" cy="511929"/>
      </dsp:txXfrm>
    </dsp:sp>
    <dsp:sp modelId="{ADB7FFD4-701A-4E62-B216-E717ED228CCC}">
      <dsp:nvSpPr>
        <dsp:cNvPr id="0" name=""/>
        <dsp:cNvSpPr/>
      </dsp:nvSpPr>
      <dsp:spPr>
        <a:xfrm>
          <a:off x="643334" y="4688185"/>
          <a:ext cx="5490527" cy="25592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050" tIns="19050" rIns="19050" bIns="19050" numCol="1" spcCol="1270" anchor="b" anchorCtr="0">
          <a:noAutofit/>
        </a:bodyPr>
        <a:lstStyle/>
        <a:p>
          <a:pPr marL="0" lvl="0" indent="0" algn="l" defTabSz="444500">
            <a:lnSpc>
              <a:spcPct val="90000"/>
            </a:lnSpc>
            <a:spcBef>
              <a:spcPct val="0"/>
            </a:spcBef>
            <a:spcAft>
              <a:spcPct val="35000"/>
            </a:spcAft>
            <a:buNone/>
          </a:pPr>
          <a:r>
            <a:rPr lang="en-GB" sz="1000" b="1" kern="1200"/>
            <a:t>The duty to share information can be as important as the duty to protect patient confidentiality </a:t>
          </a:r>
        </a:p>
      </dsp:txBody>
      <dsp:txXfrm>
        <a:off x="643334" y="4688185"/>
        <a:ext cx="5490527" cy="255926"/>
      </dsp:txXfrm>
    </dsp:sp>
    <dsp:sp modelId="{A0A7211E-BADA-4891-8DCB-8DADCFAE8017}">
      <dsp:nvSpPr>
        <dsp:cNvPr id="0" name=""/>
        <dsp:cNvSpPr/>
      </dsp:nvSpPr>
      <dsp:spPr>
        <a:xfrm>
          <a:off x="0" y="4683917"/>
          <a:ext cx="472961" cy="255926"/>
        </a:xfrm>
        <a:prstGeom prst="round2SameRect">
          <a:avLst>
            <a:gd name="adj1" fmla="val 16670"/>
            <a:gd name="adj2" fmla="val 0"/>
          </a:avLst>
        </a:prstGeom>
        <a:solidFill>
          <a:schemeClr val="accent5">
            <a:hueOff val="-6758543"/>
            <a:satOff val="-17419"/>
            <a:lumOff val="-11765"/>
            <a:alphaOff val="0"/>
          </a:schemeClr>
        </a:solidFill>
        <a:ln w="12700" cap="flat" cmpd="sng" algn="ctr">
          <a:solidFill>
            <a:schemeClr val="accent5">
              <a:hueOff val="-6758543"/>
              <a:satOff val="-17419"/>
              <a:lumOff val="-11765"/>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765" tIns="24765" rIns="24765" bIns="24765" numCol="1" spcCol="1270" anchor="ctr" anchorCtr="0">
          <a:noAutofit/>
        </a:bodyPr>
        <a:lstStyle/>
        <a:p>
          <a:pPr marL="0" lvl="0" indent="0" algn="ctr" defTabSz="577850">
            <a:lnSpc>
              <a:spcPct val="90000"/>
            </a:lnSpc>
            <a:spcBef>
              <a:spcPct val="0"/>
            </a:spcBef>
            <a:spcAft>
              <a:spcPct val="35000"/>
            </a:spcAft>
            <a:buNone/>
          </a:pPr>
          <a:r>
            <a:rPr lang="en-GB" sz="1300" kern="1200"/>
            <a:t>7</a:t>
          </a:r>
        </a:p>
      </dsp:txBody>
      <dsp:txXfrm>
        <a:off x="12496" y="4696413"/>
        <a:ext cx="447969" cy="243430"/>
      </dsp:txXfrm>
    </dsp:sp>
    <dsp:sp modelId="{E8D528CB-9F36-428F-9C29-A68E57AF1B52}">
      <dsp:nvSpPr>
        <dsp:cNvPr id="0" name=""/>
        <dsp:cNvSpPr/>
      </dsp:nvSpPr>
      <dsp:spPr>
        <a:xfrm>
          <a:off x="0" y="4944112"/>
          <a:ext cx="5842000" cy="51192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4765" tIns="24765" rIns="24765" bIns="24765" numCol="1" spcCol="1270" anchor="t" anchorCtr="0">
          <a:noAutofit/>
        </a:bodyPr>
        <a:lstStyle/>
        <a:p>
          <a:pPr marL="57150" lvl="1" indent="-57150" algn="just" defTabSz="444500">
            <a:lnSpc>
              <a:spcPct val="90000"/>
            </a:lnSpc>
            <a:spcBef>
              <a:spcPct val="0"/>
            </a:spcBef>
            <a:spcAft>
              <a:spcPct val="15000"/>
            </a:spcAft>
            <a:buChar char="•"/>
          </a:pPr>
          <a:r>
            <a:rPr lang="en-GB" sz="1000" kern="1200">
              <a:latin typeface="+mj-lt"/>
            </a:rPr>
            <a:t>Health and social care professionals should have the confidence to share information in the best interests of their patients within the framework set out by these principles. They should be supported by the policies of their employers, regulators and professional bodies.</a:t>
          </a:r>
        </a:p>
      </dsp:txBody>
      <dsp:txXfrm>
        <a:off x="0" y="4944112"/>
        <a:ext cx="5842000" cy="511929"/>
      </dsp:txXfrm>
    </dsp:sp>
  </dsp:spTree>
</dsp:drawing>
</file>

<file path=word/diagrams/layout1.xml><?xml version="1.0" encoding="utf-8"?>
<dgm:layoutDef xmlns:dgm="http://schemas.openxmlformats.org/drawingml/2006/diagram" xmlns:a="http://schemas.openxmlformats.org/drawingml/2006/main" uniqueId="urn:microsoft.com/office/officeart/2011/layout/TabList">
  <dgm:title val="Tab List"/>
  <dgm:desc val="Use to show non-sequential or grouped blocks of information. Works well for lists with a small amount of Level 1 text. The first Level 2 displays next to the Level 1 text  and the remaining Level 2 text appears beneath the Level 1 text."/>
  <dgm:catLst>
    <dgm:cat type="list" pri="4500"/>
    <dgm:cat type="officeonline" pri="11000"/>
  </dgm:catLst>
  <dgm:sampData>
    <dgm:dataModel>
      <dgm:ptLst>
        <dgm:pt modelId="0" type="doc"/>
        <dgm:pt modelId="10">
          <dgm:prSet phldr="1"/>
        </dgm:pt>
        <dgm:pt modelId="11">
          <dgm:prSet phldr="1"/>
        </dgm:pt>
        <dgm:pt modelId="12">
          <dgm:prSet phldr="1"/>
        </dgm:pt>
        <dgm:pt modelId="20">
          <dgm:prSet phldr="1"/>
        </dgm:pt>
        <dgm:pt modelId="21">
          <dgm:prSet phldr="1"/>
        </dgm:pt>
        <dgm:pt modelId="22">
          <dgm:prSet phldr="1"/>
        </dgm:pt>
        <dgm:pt modelId="30">
          <dgm:prSet phldr="1"/>
        </dgm:pt>
        <dgm:pt modelId="31">
          <dgm:prSet phldr="1"/>
        </dgm:pt>
        <dgm:pt modelId="32">
          <dgm:prSet phldr="1"/>
        </dgm:pt>
      </dgm:ptLst>
      <dgm:cxnLst>
        <dgm:cxn modelId="40" srcId="0" destId="10" srcOrd="0" destOrd="0"/>
        <dgm:cxn modelId="41" srcId="10" destId="11" srcOrd="0" destOrd="0"/>
        <dgm:cxn modelId="42" srcId="10" destId="12" srcOrd="0" destOrd="0"/>
        <dgm:cxn modelId="50" srcId="0" destId="20" srcOrd="1" destOrd="0"/>
        <dgm:cxn modelId="51" srcId="20" destId="21" srcOrd="1" destOrd="0"/>
        <dgm:cxn modelId="52" srcId="20" destId="22" srcOrd="1" destOrd="0"/>
        <dgm:cxn modelId="60" srcId="0" destId="30" srcOrd="2" destOrd="0"/>
        <dgm:cxn modelId="61" srcId="30" destId="31" srcOrd="2" destOrd="0"/>
        <dgm:cxn modelId="62" srcId="30" destId="32"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dgm:chPref val="3"/>
      <dgm:dir/>
      <dgm:animOne val="branch"/>
      <dgm:animLvl val="lvl"/>
    </dgm:varLst>
    <dgm:alg type="lin">
      <dgm:param type="linDir" val="fromT"/>
    </dgm:alg>
    <dgm:shape xmlns:r="http://schemas.openxmlformats.org/officeDocument/2006/relationships" r:blip="">
      <dgm:adjLst/>
    </dgm:shape>
    <dgm:constrLst>
      <dgm:constr type="w" for="ch" forName="Child" refType="w"/>
      <dgm:constr type="h" for="ch" forName="Child" refType="h" fact="0.6667"/>
      <dgm:constr type="primFontSz" for="des" forName="Parent" op="equ" val="65"/>
      <dgm:constr type="primFontSz" for="des" forName="Child" op="equ" val="65"/>
      <dgm:constr type="primFontSz" for="des" forName="FirstChild" op="equ" val="65"/>
      <dgm:constr type="primFontSz" for="des" forName="Child" refType="primFontSz" refFor="des" refForName="Parent" op="lte"/>
      <dgm:constr type="primFontSz" for="des" forName="FirstChild" refType="primFontSz" refFor="des" refForName="Parent" op="lte"/>
      <dgm:constr type="primFontSz" for="des" forName="Child" refType="primFontSz" refFor="des" refForName="FirstChild" op="lte"/>
      <dgm:constr type="w" for="ch" forName="composite" refType="w"/>
      <dgm:constr type="h" for="ch" forName="composite" refType="h" fact="0.3333"/>
      <dgm:constr type="sp" refType="h" refFor="ch" refForName="composite" op="equ" fact="0.05"/>
      <dgm:constr type="h" for="ch" forName="sibTrans" refType="h" refFor="ch" refForName="composite" op="equ" fact="0.05"/>
      <dgm:constr type="w" for="ch" forName="sibTrans" refType="h" refFor="ch" refForName="sibTrans" op="equ"/>
    </dgm:constrLst>
    <dgm:forEach name="nodesForEach" axis="ch" ptType="node">
      <dgm:layoutNode name="composite">
        <dgm:alg type="composite"/>
        <dgm:shape xmlns:r="http://schemas.openxmlformats.org/officeDocument/2006/relationships" r:blip="">
          <dgm:adjLst/>
        </dgm:shape>
        <dgm:choose name="Name1">
          <dgm:if name="Name2" func="var" arg="dir" op="equ" val="norm">
            <dgm:constrLst>
              <dgm:constr type="l" for="ch" forName="Accent" refType="w" fact="0"/>
              <dgm:constr type="b" for="ch" forName="Accent" refType="h"/>
              <dgm:constr type="w" for="ch" forName="Accent" refType="w"/>
              <dgm:constr type="h" for="ch" forName="Accent" refType="h" fact="0"/>
              <dgm:constr type="l" for="ch" forName="FirstChild" refType="w" fact="0.26"/>
              <dgm:constr type="t" for="ch" forName="FirstChild" refType="h" fact="0"/>
              <dgm:constr type="w" for="ch" forName="FirstChild" refType="w" fact="0.74"/>
              <dgm:constr type="h" for="ch" forName="FirstChild" refType="h"/>
              <dgm:constr type="l" for="ch" forName="Parent" refType="w" fact="0"/>
              <dgm:constr type="t" for="ch" forName="Parent" refType="h" fact="0"/>
              <dgm:constr type="w" for="ch" forName="Parent" refType="w" fact="0.26"/>
              <dgm:constr type="h" for="ch" forName="Parent" refType="h"/>
            </dgm:constrLst>
          </dgm:if>
          <dgm:else name="Name3">
            <dgm:constrLst>
              <dgm:constr type="l" for="ch" forName="Accent" refType="w" fact="0"/>
              <dgm:constr type="b" for="ch" forName="Accent" refType="h"/>
              <dgm:constr type="w" for="ch" forName="Accent" refType="w"/>
              <dgm:constr type="h" for="ch" forName="Accent" refType="h" fact="0"/>
              <dgm:constr type="r" for="ch" forName="FirstChild" refType="w" fact="0.74"/>
              <dgm:constr type="t" for="ch" forName="FirstChild" refType="h" fact="0"/>
              <dgm:constr type="w" for="ch" forName="FirstChild" refType="w" fact="0.74"/>
              <dgm:constr type="h" for="ch" forName="FirstChild" refType="h"/>
              <dgm:constr type="r" for="ch" forName="Parent" refType="w"/>
              <dgm:constr type="t" for="ch" forName="Parent" refType="h" fact="0"/>
              <dgm:constr type="w" for="ch" forName="Parent" refType="w" fact="0.26"/>
              <dgm:constr type="h" for="ch" forName="Parent" refType="h"/>
            </dgm:constrLst>
          </dgm:else>
        </dgm:choose>
        <dgm:layoutNode name="FirstChild" styleLbl="revTx">
          <dgm:varLst>
            <dgm:chMax val="0"/>
            <dgm:chPref val="0"/>
            <dgm:bulletEnabled val="1"/>
          </dgm:varLst>
          <dgm:choose name="Name4">
            <dgm:if name="Name5" func="var" arg="dir" op="equ" val="norm">
              <dgm:alg type="tx">
                <dgm:param type="parTxLTRAlign" val="l"/>
                <dgm:param type="txAnchorVert" val="b"/>
                <dgm:param type="txAnchorVertCh" val="b"/>
                <dgm:param type="parTxRTLAlign" val="l"/>
              </dgm:alg>
            </dgm:if>
            <dgm:else name="Name6">
              <dgm:alg type="tx">
                <dgm:param type="parTxLTRAlign" val="r"/>
                <dgm:param type="shpTxLTRAlignCh" val="r"/>
                <dgm:param type="txAnchorVert" val="b"/>
                <dgm:param type="txAnchorVertCh" val="b"/>
                <dgm:param type="parTxRTLAlign" val="r"/>
              </dgm:alg>
            </dgm:else>
          </dgm:choose>
          <dgm:shape xmlns:r="http://schemas.openxmlformats.org/officeDocument/2006/relationships" type="rect" r:blip="">
            <dgm:adjLst/>
          </dgm:shape>
          <dgm:choose name="Name7">
            <dgm:if name="Name8" axis="ch" ptType="node" func="cnt" op="gte" val="1">
              <dgm:presOf axis="ch desOrSelf" ptType="node node" st="1 1" cnt="1 0"/>
            </dgm:if>
            <dgm:else name="Name9">
              <dgm:presOf/>
            </dgm:else>
          </dgm:choose>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layoutNode name="Parent" styleLbl="alignNode1">
          <dgm:varLst>
            <dgm:chMax val="3"/>
            <dgm:chPref val="3"/>
            <dgm:bulletEnabled val="1"/>
          </dgm:varLst>
          <dgm:alg type="tx">
            <dgm:param type="shpTxLTRAlignCh" val="ctr"/>
            <dgm:param type="txAnchorVertCh" val="mid"/>
          </dgm:alg>
          <dgm:shape xmlns:r="http://schemas.openxmlformats.org/officeDocument/2006/relationships" type="round2SameRect" r:blip="">
            <dgm:adjLst>
              <dgm:adj idx="1" val="0.1667"/>
              <dgm:adj idx="2" val="0"/>
            </dgm:adjLst>
          </dgm:shape>
          <dgm:presOf axis="self" ptType="node"/>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layoutNode name="Accent" styleLbl="parChTrans1D1">
          <dgm:alg type="sp"/>
          <dgm:shape xmlns:r="http://schemas.openxmlformats.org/officeDocument/2006/relationships" type="line" r:blip="" zOrderOff="-99999">
            <dgm:adjLst/>
          </dgm:shape>
          <dgm:presOf/>
        </dgm:layoutNode>
      </dgm:layoutNode>
      <dgm:choose name="Name10">
        <dgm:if name="Name11" axis="ch" ptType="node" st="2" cnt="1" func="cnt" op="gte" val="1">
          <dgm:layoutNode name="Child" styleLbl="revTx">
            <dgm:varLst>
              <dgm:chMax val="0"/>
              <dgm:chPref val="0"/>
              <dgm:bulletEnabled val="1"/>
            </dgm:varLst>
            <dgm:choose name="Name12">
              <dgm:if name="Name13" func="var" arg="dir" op="equ" val="norm">
                <dgm:alg type="tx">
                  <dgm:param type="stBulletLvl" val="1"/>
                  <dgm:param type="parTxLTRAlign" val="l"/>
                  <dgm:param type="parTxRTLAlign" val="l"/>
                  <dgm:param type="txAnchorVert" val="t"/>
                </dgm:alg>
              </dgm:if>
              <dgm:else name="Name14">
                <dgm:alg type="tx">
                  <dgm:param type="stBulletLvl" val="1"/>
                  <dgm:param type="parTxLTRAlign" val="r"/>
                  <dgm:param type="shpTxLTRAlignCh" val="r"/>
                  <dgm:param type="txAnchorVert" val="t"/>
                  <dgm:param type="parTxRTLAlign" val="r"/>
                </dgm:alg>
              </dgm:else>
            </dgm:choose>
            <dgm:shape xmlns:r="http://schemas.openxmlformats.org/officeDocument/2006/relationships" type="rect" r:blip="">
              <dgm:adjLst/>
            </dgm:shape>
            <dgm:presOf axis="ch desOrSelf" ptType="node node" st="2 1" cnt="0 0"/>
            <dgm:constrLst>
              <dgm:constr type="lMarg" refType="primFontSz" fact="0.15"/>
              <dgm:constr type="rMarg" refType="primFontSz" fact="0.15"/>
              <dgm:constr type="tMarg" refType="primFontSz" fact="0.15"/>
              <dgm:constr type="bMarg" refType="primFontSz" fact="0.15"/>
            </dgm:constrLst>
            <dgm:ruleLst>
              <dgm:rule type="primFontSz" val="5" fact="NaN" max="NaN"/>
            </dgm:ruleLst>
          </dgm:layoutNode>
        </dgm:if>
        <dgm:else name="Name15"/>
      </dgm:choos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100</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2021-04-02T22:34:00Z</dcterms:created>
  <dcterms:modified xsi:type="dcterms:W3CDTF">2021-04-02T22:59:00Z</dcterms:modified>
</cp:coreProperties>
</file>