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2C1BF" w14:textId="77777777" w:rsidR="000E7ECE" w:rsidRDefault="000E7ECE" w:rsidP="000E7ECE">
      <w:pPr>
        <w:pStyle w:val="Heading2"/>
        <w:rPr>
          <w:rFonts w:asciiTheme="minorHAnsi" w:hAnsiTheme="minorHAnsi" w:cstheme="minorHAnsi"/>
          <w:b/>
          <w:bCs/>
          <w:color w:val="0070C0"/>
          <w:sz w:val="40"/>
          <w:szCs w:val="40"/>
        </w:rPr>
      </w:pPr>
      <w:bookmarkStart w:id="0" w:name="_Toc16640150"/>
      <w:bookmarkStart w:id="1" w:name="_GoBack"/>
      <w:r w:rsidRPr="00333C36">
        <w:rPr>
          <w:rFonts w:asciiTheme="minorHAnsi" w:hAnsiTheme="minorHAnsi" w:cstheme="minorHAnsi"/>
          <w:b/>
          <w:bCs/>
          <w:color w:val="0070C0"/>
          <w:sz w:val="40"/>
          <w:szCs w:val="40"/>
        </w:rPr>
        <w:t xml:space="preserve">The differences between the hospital doctor </w:t>
      </w:r>
      <w:r>
        <w:rPr>
          <w:rFonts w:asciiTheme="minorHAnsi" w:hAnsiTheme="minorHAnsi" w:cstheme="minorHAnsi"/>
          <w:b/>
          <w:bCs/>
          <w:color w:val="0070C0"/>
          <w:sz w:val="40"/>
          <w:szCs w:val="40"/>
        </w:rPr>
        <w:t>&amp;</w:t>
      </w:r>
      <w:r w:rsidRPr="00333C36">
        <w:rPr>
          <w:rFonts w:asciiTheme="minorHAnsi" w:hAnsiTheme="minorHAnsi" w:cstheme="minorHAnsi"/>
          <w:b/>
          <w:bCs/>
          <w:color w:val="0070C0"/>
          <w:sz w:val="40"/>
          <w:szCs w:val="40"/>
        </w:rPr>
        <w:t xml:space="preserve"> the GP</w:t>
      </w:r>
      <w:bookmarkEnd w:id="0"/>
    </w:p>
    <w:bookmarkEnd w:id="1"/>
    <w:p w14:paraId="6F0FA8E1" w14:textId="77777777" w:rsidR="000E7ECE" w:rsidRPr="00333C36" w:rsidRDefault="000E7ECE" w:rsidP="000E7ECE"/>
    <w:p w14:paraId="46CEC08A" w14:textId="77777777" w:rsidR="000E7ECE" w:rsidRDefault="000E7ECE" w:rsidP="000E7ECE">
      <w:pPr>
        <w:jc w:val="center"/>
        <w:rPr>
          <w:rFonts w:asciiTheme="majorHAnsi" w:hAnsiTheme="majorHAnsi" w:cstheme="majorHAnsi"/>
          <w:sz w:val="20"/>
          <w:szCs w:val="20"/>
        </w:rPr>
      </w:pPr>
      <w:r>
        <w:rPr>
          <w:rFonts w:ascii="Arial Narrow" w:hAnsi="Arial Narrow"/>
          <w:noProof/>
        </w:rPr>
        <w:drawing>
          <wp:inline distT="0" distB="0" distL="0" distR="0" wp14:anchorId="2CDB308B" wp14:editId="6FE21BB6">
            <wp:extent cx="4381500" cy="185371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hospitalvsgp.png"/>
                    <pic:cNvPicPr/>
                  </pic:nvPicPr>
                  <pic:blipFill rotWithShape="1">
                    <a:blip r:embed="rId5" cstate="print">
                      <a:extLst>
                        <a:ext uri="{28A0092B-C50C-407E-A947-70E740481C1C}">
                          <a14:useLocalDpi xmlns:a14="http://schemas.microsoft.com/office/drawing/2010/main" val="0"/>
                        </a:ext>
                      </a:extLst>
                    </a:blip>
                    <a:srcRect b="15385"/>
                    <a:stretch/>
                  </pic:blipFill>
                  <pic:spPr bwMode="auto">
                    <a:xfrm>
                      <a:off x="0" y="0"/>
                      <a:ext cx="4413312" cy="1867171"/>
                    </a:xfrm>
                    <a:prstGeom prst="rect">
                      <a:avLst/>
                    </a:prstGeom>
                    <a:ln>
                      <a:noFill/>
                    </a:ln>
                    <a:extLst>
                      <a:ext uri="{53640926-AAD7-44D8-BBD7-CCE9431645EC}">
                        <a14:shadowObscured xmlns:a14="http://schemas.microsoft.com/office/drawing/2010/main"/>
                      </a:ext>
                    </a:extLst>
                  </pic:spPr>
                </pic:pic>
              </a:graphicData>
            </a:graphic>
          </wp:inline>
        </w:drawing>
      </w:r>
    </w:p>
    <w:p w14:paraId="04BD5144" w14:textId="77777777" w:rsidR="000E7ECE" w:rsidRDefault="000E7ECE" w:rsidP="000E7ECE">
      <w:pPr>
        <w:jc w:val="both"/>
        <w:rPr>
          <w:rFonts w:asciiTheme="majorHAnsi" w:hAnsiTheme="majorHAnsi" w:cstheme="majorHAnsi"/>
        </w:rPr>
      </w:pPr>
    </w:p>
    <w:p w14:paraId="6DE35D17" w14:textId="77777777" w:rsidR="000E7ECE" w:rsidRDefault="000E7ECE" w:rsidP="000E7ECE">
      <w:pPr>
        <w:jc w:val="both"/>
        <w:rPr>
          <w:rFonts w:asciiTheme="majorHAnsi" w:hAnsiTheme="majorHAnsi" w:cstheme="majorHAnsi"/>
        </w:rPr>
      </w:pPr>
      <w:r w:rsidRPr="00333C36">
        <w:rPr>
          <w:rFonts w:asciiTheme="majorHAnsi" w:hAnsiTheme="majorHAnsi" w:cstheme="majorHAnsi"/>
        </w:rPr>
        <w:t>Invariably, most new GP trainees come from a background of hospital medicine – that is their starting point.  So, at this point, it is worthwhile examining some of the differences between hospital medicine and general practice.  This, together with the rating scale that you’ve just completed above, will help you understand your current starting ‘ethos’ which is probably somewhere on the hospital side.   This table should help you identify which parts of you need to change in order to acquire a more GP orientated stance.    Feel free to bring this up and chat to your trainer about it.</w:t>
      </w:r>
    </w:p>
    <w:p w14:paraId="46772ED2" w14:textId="77777777" w:rsidR="000E7ECE" w:rsidRPr="00333C36" w:rsidRDefault="000E7ECE" w:rsidP="000E7ECE">
      <w:pPr>
        <w:jc w:val="both"/>
        <w:rPr>
          <w:rFonts w:ascii="Arial Narrow" w:hAnsi="Arial Narrow"/>
          <w:sz w:val="24"/>
          <w:szCs w:val="24"/>
        </w:rPr>
      </w:pPr>
    </w:p>
    <w:tbl>
      <w:tblPr>
        <w:tblW w:w="0" w:type="auto"/>
        <w:tblBorders>
          <w:top w:val="single" w:sz="8" w:space="0" w:color="9BBB59"/>
          <w:bottom w:val="single" w:sz="8" w:space="0" w:color="9BBB59"/>
        </w:tblBorders>
        <w:tblLook w:val="04A0" w:firstRow="1" w:lastRow="0" w:firstColumn="1" w:lastColumn="0" w:noHBand="0" w:noVBand="1"/>
      </w:tblPr>
      <w:tblGrid>
        <w:gridCol w:w="4520"/>
        <w:gridCol w:w="4506"/>
      </w:tblGrid>
      <w:tr w:rsidR="000E7ECE" w:rsidRPr="00E5498E" w14:paraId="657F44D0" w14:textId="77777777" w:rsidTr="003B14BF">
        <w:tc>
          <w:tcPr>
            <w:tcW w:w="4621" w:type="dxa"/>
            <w:tcBorders>
              <w:top w:val="single" w:sz="8" w:space="0" w:color="9BBB59"/>
              <w:bottom w:val="single" w:sz="8" w:space="0" w:color="9BBB59"/>
            </w:tcBorders>
            <w:shd w:val="clear" w:color="auto" w:fill="auto"/>
          </w:tcPr>
          <w:p w14:paraId="654C04AE" w14:textId="77777777" w:rsidR="000E7ECE" w:rsidRPr="00E5498E" w:rsidRDefault="000E7ECE" w:rsidP="003B14BF">
            <w:pPr>
              <w:spacing w:after="0" w:line="281" w:lineRule="auto"/>
              <w:jc w:val="center"/>
              <w:rPr>
                <w:rFonts w:ascii="Arial" w:hAnsi="Arial" w:cs="Arial"/>
                <w:b/>
                <w:bCs/>
                <w:color w:val="4F6228"/>
                <w:sz w:val="20"/>
                <w:szCs w:val="24"/>
              </w:rPr>
            </w:pPr>
            <w:r w:rsidRPr="00E5498E">
              <w:rPr>
                <w:rFonts w:ascii="Arial" w:hAnsi="Arial" w:cs="Arial"/>
                <w:b/>
                <w:bCs/>
                <w:color w:val="4F6228"/>
                <w:sz w:val="20"/>
                <w:szCs w:val="24"/>
              </w:rPr>
              <w:t>The Hospital Ethos</w:t>
            </w:r>
          </w:p>
        </w:tc>
        <w:tc>
          <w:tcPr>
            <w:tcW w:w="4621" w:type="dxa"/>
            <w:tcBorders>
              <w:top w:val="single" w:sz="8" w:space="0" w:color="9BBB59"/>
              <w:bottom w:val="single" w:sz="8" w:space="0" w:color="9BBB59"/>
            </w:tcBorders>
            <w:shd w:val="clear" w:color="auto" w:fill="auto"/>
          </w:tcPr>
          <w:p w14:paraId="305C719C" w14:textId="77777777" w:rsidR="000E7ECE" w:rsidRPr="00E5498E" w:rsidRDefault="000E7ECE" w:rsidP="003B14BF">
            <w:pPr>
              <w:spacing w:after="0" w:line="281" w:lineRule="auto"/>
              <w:jc w:val="center"/>
              <w:rPr>
                <w:rFonts w:ascii="Arial" w:hAnsi="Arial" w:cs="Arial"/>
                <w:b/>
                <w:bCs/>
                <w:color w:val="4F6228"/>
                <w:sz w:val="20"/>
                <w:szCs w:val="24"/>
              </w:rPr>
            </w:pPr>
            <w:r w:rsidRPr="00E5498E">
              <w:rPr>
                <w:rFonts w:ascii="Arial" w:hAnsi="Arial" w:cs="Arial"/>
                <w:b/>
                <w:bCs/>
                <w:color w:val="4F6228"/>
                <w:sz w:val="20"/>
                <w:szCs w:val="24"/>
              </w:rPr>
              <w:t>The General Practice Ethos</w:t>
            </w:r>
          </w:p>
        </w:tc>
      </w:tr>
      <w:tr w:rsidR="000E7ECE" w:rsidRPr="00E5498E" w14:paraId="5FC5B1DC" w14:textId="77777777" w:rsidTr="003B14BF">
        <w:tc>
          <w:tcPr>
            <w:tcW w:w="4621" w:type="dxa"/>
            <w:shd w:val="clear" w:color="auto" w:fill="E6EED5"/>
          </w:tcPr>
          <w:p w14:paraId="5E7FC2EA"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Normally focus on one problem or clinical area</w:t>
            </w:r>
          </w:p>
        </w:tc>
        <w:tc>
          <w:tcPr>
            <w:tcW w:w="4621" w:type="dxa"/>
            <w:tcBorders>
              <w:left w:val="nil"/>
              <w:right w:val="nil"/>
            </w:tcBorders>
            <w:shd w:val="clear" w:color="auto" w:fill="E6EED5"/>
          </w:tcPr>
          <w:p w14:paraId="666585AA"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Multiple problems addressed simultaneously</w:t>
            </w:r>
          </w:p>
        </w:tc>
      </w:tr>
      <w:tr w:rsidR="000E7ECE" w:rsidRPr="00E5498E" w14:paraId="3B7F6E7B" w14:textId="77777777" w:rsidTr="003B14BF">
        <w:tc>
          <w:tcPr>
            <w:tcW w:w="4621" w:type="dxa"/>
            <w:shd w:val="clear" w:color="auto" w:fill="auto"/>
          </w:tcPr>
          <w:p w14:paraId="3E451C5D"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Traditional linear biomedical consultation model (history, HPC, PMH, FH, SH etc.)</w:t>
            </w:r>
          </w:p>
        </w:tc>
        <w:tc>
          <w:tcPr>
            <w:tcW w:w="4621" w:type="dxa"/>
            <w:shd w:val="clear" w:color="auto" w:fill="auto"/>
          </w:tcPr>
          <w:p w14:paraId="7C5DF4A6"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Complex consultation style adapted to needs of each patient e.g. Calgary Cambridge</w:t>
            </w:r>
          </w:p>
        </w:tc>
      </w:tr>
      <w:tr w:rsidR="000E7ECE" w:rsidRPr="00E5498E" w14:paraId="12F8B06B" w14:textId="77777777" w:rsidTr="003B14BF">
        <w:tc>
          <w:tcPr>
            <w:tcW w:w="4621" w:type="dxa"/>
            <w:shd w:val="clear" w:color="auto" w:fill="E6EED5"/>
          </w:tcPr>
          <w:p w14:paraId="22BE26FF"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Minimal concern for psychological/social aspects</w:t>
            </w:r>
          </w:p>
        </w:tc>
        <w:tc>
          <w:tcPr>
            <w:tcW w:w="4621" w:type="dxa"/>
            <w:tcBorders>
              <w:left w:val="nil"/>
              <w:right w:val="nil"/>
            </w:tcBorders>
            <w:shd w:val="clear" w:color="auto" w:fill="E6EED5"/>
          </w:tcPr>
          <w:p w14:paraId="73EAD4F5"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Psychological and social aspects integral to the whole doctor/patient relationship</w:t>
            </w:r>
          </w:p>
        </w:tc>
      </w:tr>
      <w:tr w:rsidR="000E7ECE" w:rsidRPr="00E5498E" w14:paraId="63529853" w14:textId="77777777" w:rsidTr="003B14BF">
        <w:tc>
          <w:tcPr>
            <w:tcW w:w="4621" w:type="dxa"/>
            <w:shd w:val="clear" w:color="auto" w:fill="auto"/>
          </w:tcPr>
          <w:p w14:paraId="6994C49F"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Uncertainty is not tolerated – investigations or admission the norm</w:t>
            </w:r>
          </w:p>
        </w:tc>
        <w:tc>
          <w:tcPr>
            <w:tcW w:w="4621" w:type="dxa"/>
            <w:shd w:val="clear" w:color="auto" w:fill="auto"/>
          </w:tcPr>
          <w:p w14:paraId="0B47FA1B"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 xml:space="preserve">Uncertainty </w:t>
            </w:r>
            <w:proofErr w:type="gramStart"/>
            <w:r w:rsidRPr="003440E1">
              <w:rPr>
                <w:rFonts w:ascii="Arial Narrow" w:hAnsi="Arial Narrow" w:cstheme="majorHAnsi"/>
                <w:color w:val="4F6228"/>
                <w:sz w:val="20"/>
                <w:szCs w:val="24"/>
              </w:rPr>
              <w:t>has to</w:t>
            </w:r>
            <w:proofErr w:type="gramEnd"/>
            <w:r w:rsidRPr="003440E1">
              <w:rPr>
                <w:rFonts w:ascii="Arial Narrow" w:hAnsi="Arial Narrow" w:cstheme="majorHAnsi"/>
                <w:color w:val="4F6228"/>
                <w:sz w:val="20"/>
                <w:szCs w:val="24"/>
              </w:rPr>
              <w:t xml:space="preserve"> be tolerated in many cases</w:t>
            </w:r>
          </w:p>
        </w:tc>
      </w:tr>
      <w:tr w:rsidR="000E7ECE" w:rsidRPr="00E5498E" w14:paraId="297B8D2A" w14:textId="77777777" w:rsidTr="003B14BF">
        <w:tc>
          <w:tcPr>
            <w:tcW w:w="4621" w:type="dxa"/>
            <w:shd w:val="clear" w:color="auto" w:fill="E6EED5"/>
          </w:tcPr>
          <w:p w14:paraId="72AAA308"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One way of doing things</w:t>
            </w:r>
          </w:p>
        </w:tc>
        <w:tc>
          <w:tcPr>
            <w:tcW w:w="4621" w:type="dxa"/>
            <w:tcBorders>
              <w:left w:val="nil"/>
              <w:right w:val="nil"/>
            </w:tcBorders>
            <w:shd w:val="clear" w:color="auto" w:fill="E6EED5"/>
          </w:tcPr>
          <w:p w14:paraId="173D65EA"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Multiple options with often complex negotiation with the patient</w:t>
            </w:r>
          </w:p>
        </w:tc>
      </w:tr>
      <w:tr w:rsidR="000E7ECE" w:rsidRPr="00E5498E" w14:paraId="50C66718" w14:textId="77777777" w:rsidTr="003B14BF">
        <w:tc>
          <w:tcPr>
            <w:tcW w:w="4621" w:type="dxa"/>
            <w:shd w:val="clear" w:color="auto" w:fill="auto"/>
          </w:tcPr>
          <w:p w14:paraId="03E33EDB"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Prescribing responsibility normally confined to one clinical area</w:t>
            </w:r>
          </w:p>
        </w:tc>
        <w:tc>
          <w:tcPr>
            <w:tcW w:w="4621" w:type="dxa"/>
            <w:shd w:val="clear" w:color="auto" w:fill="auto"/>
          </w:tcPr>
          <w:p w14:paraId="3FEF0CAF"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Responsible for whole of repeat medication list and acute prescribing across multiple clinical areas</w:t>
            </w:r>
          </w:p>
        </w:tc>
      </w:tr>
      <w:tr w:rsidR="000E7ECE" w:rsidRPr="00E5498E" w14:paraId="4F5F722A" w14:textId="77777777" w:rsidTr="003B14BF">
        <w:tc>
          <w:tcPr>
            <w:tcW w:w="4621" w:type="dxa"/>
            <w:shd w:val="clear" w:color="auto" w:fill="E6EED5"/>
          </w:tcPr>
          <w:p w14:paraId="666DF588"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Safety netting often limited to “contact GP if problems”</w:t>
            </w:r>
          </w:p>
        </w:tc>
        <w:tc>
          <w:tcPr>
            <w:tcW w:w="4621" w:type="dxa"/>
            <w:tcBorders>
              <w:left w:val="nil"/>
              <w:right w:val="nil"/>
            </w:tcBorders>
            <w:shd w:val="clear" w:color="auto" w:fill="E6EED5"/>
          </w:tcPr>
          <w:p w14:paraId="23715F3D"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proofErr w:type="gramStart"/>
            <w:r w:rsidRPr="003440E1">
              <w:rPr>
                <w:rFonts w:ascii="Arial Narrow" w:hAnsi="Arial Narrow" w:cstheme="majorHAnsi"/>
                <w:color w:val="4F6228"/>
                <w:sz w:val="20"/>
                <w:szCs w:val="24"/>
              </w:rPr>
              <w:t>3 point</w:t>
            </w:r>
            <w:proofErr w:type="gramEnd"/>
            <w:r w:rsidRPr="003440E1">
              <w:rPr>
                <w:rFonts w:ascii="Arial Narrow" w:hAnsi="Arial Narrow" w:cstheme="majorHAnsi"/>
                <w:color w:val="4F6228"/>
                <w:sz w:val="20"/>
                <w:szCs w:val="24"/>
              </w:rPr>
              <w:t xml:space="preserve"> safety netting with clear signposting for potential crises</w:t>
            </w:r>
          </w:p>
        </w:tc>
      </w:tr>
      <w:tr w:rsidR="000E7ECE" w:rsidRPr="00E5498E" w14:paraId="45CCB874" w14:textId="77777777" w:rsidTr="003B14BF">
        <w:tc>
          <w:tcPr>
            <w:tcW w:w="4621" w:type="dxa"/>
            <w:shd w:val="clear" w:color="auto" w:fill="auto"/>
          </w:tcPr>
          <w:p w14:paraId="1BAB8848"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 xml:space="preserve">Not usually any </w:t>
            </w:r>
            <w:proofErr w:type="gramStart"/>
            <w:r w:rsidRPr="003440E1">
              <w:rPr>
                <w:rFonts w:ascii="Arial Narrow" w:hAnsi="Arial Narrow" w:cstheme="majorHAnsi"/>
                <w:bCs/>
                <w:color w:val="4F6228"/>
                <w:sz w:val="20"/>
                <w:szCs w:val="24"/>
              </w:rPr>
              <w:t>long term</w:t>
            </w:r>
            <w:proofErr w:type="gramEnd"/>
            <w:r w:rsidRPr="003440E1">
              <w:rPr>
                <w:rFonts w:ascii="Arial Narrow" w:hAnsi="Arial Narrow" w:cstheme="majorHAnsi"/>
                <w:bCs/>
                <w:color w:val="4F6228"/>
                <w:sz w:val="20"/>
                <w:szCs w:val="24"/>
              </w:rPr>
              <w:t xml:space="preserve"> doctor/patient relationship</w:t>
            </w:r>
          </w:p>
        </w:tc>
        <w:tc>
          <w:tcPr>
            <w:tcW w:w="4621" w:type="dxa"/>
            <w:shd w:val="clear" w:color="auto" w:fill="auto"/>
          </w:tcPr>
          <w:p w14:paraId="1E97EF86"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Long term doctor/patient relationship is a major element</w:t>
            </w:r>
          </w:p>
        </w:tc>
      </w:tr>
      <w:tr w:rsidR="000E7ECE" w:rsidRPr="00E5498E" w14:paraId="57EA02A9" w14:textId="77777777" w:rsidTr="003B14BF">
        <w:tc>
          <w:tcPr>
            <w:tcW w:w="4621" w:type="dxa"/>
            <w:shd w:val="clear" w:color="auto" w:fill="E6EED5"/>
          </w:tcPr>
          <w:p w14:paraId="59CD0CA3"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 xml:space="preserve">No responsibility for the </w:t>
            </w:r>
            <w:proofErr w:type="gramStart"/>
            <w:r w:rsidRPr="003440E1">
              <w:rPr>
                <w:rFonts w:ascii="Arial Narrow" w:hAnsi="Arial Narrow" w:cstheme="majorHAnsi"/>
                <w:bCs/>
                <w:color w:val="4F6228"/>
                <w:sz w:val="20"/>
                <w:szCs w:val="24"/>
              </w:rPr>
              <w:t>long term</w:t>
            </w:r>
            <w:proofErr w:type="gramEnd"/>
            <w:r w:rsidRPr="003440E1">
              <w:rPr>
                <w:rFonts w:ascii="Arial Narrow" w:hAnsi="Arial Narrow" w:cstheme="majorHAnsi"/>
                <w:bCs/>
                <w:color w:val="4F6228"/>
                <w:sz w:val="20"/>
                <w:szCs w:val="24"/>
              </w:rPr>
              <w:t xml:space="preserve"> patient record</w:t>
            </w:r>
          </w:p>
        </w:tc>
        <w:tc>
          <w:tcPr>
            <w:tcW w:w="4621" w:type="dxa"/>
            <w:tcBorders>
              <w:left w:val="nil"/>
              <w:right w:val="nil"/>
            </w:tcBorders>
            <w:shd w:val="clear" w:color="auto" w:fill="E6EED5"/>
          </w:tcPr>
          <w:p w14:paraId="2A6AA288"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Responsible for managing the patients long term health records</w:t>
            </w:r>
          </w:p>
        </w:tc>
      </w:tr>
      <w:tr w:rsidR="000E7ECE" w:rsidRPr="00E5498E" w14:paraId="33582B8C" w14:textId="77777777" w:rsidTr="003B14BF">
        <w:tc>
          <w:tcPr>
            <w:tcW w:w="4621" w:type="dxa"/>
            <w:shd w:val="clear" w:color="auto" w:fill="auto"/>
          </w:tcPr>
          <w:p w14:paraId="477503A2"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Constantly surrounded by a team of health professionals</w:t>
            </w:r>
          </w:p>
        </w:tc>
        <w:tc>
          <w:tcPr>
            <w:tcW w:w="4621" w:type="dxa"/>
            <w:shd w:val="clear" w:color="auto" w:fill="auto"/>
          </w:tcPr>
          <w:p w14:paraId="6F192974"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Isolated professionally for much of the day</w:t>
            </w:r>
          </w:p>
        </w:tc>
      </w:tr>
      <w:tr w:rsidR="000E7ECE" w:rsidRPr="00E5498E" w14:paraId="74932517" w14:textId="77777777" w:rsidTr="003B14BF">
        <w:tc>
          <w:tcPr>
            <w:tcW w:w="4621" w:type="dxa"/>
            <w:shd w:val="clear" w:color="auto" w:fill="E6EED5"/>
          </w:tcPr>
          <w:p w14:paraId="588B5C9F"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Junior doctors frequently seek support from “seniors”</w:t>
            </w:r>
          </w:p>
        </w:tc>
        <w:tc>
          <w:tcPr>
            <w:tcW w:w="4621" w:type="dxa"/>
            <w:tcBorders>
              <w:left w:val="nil"/>
              <w:right w:val="nil"/>
            </w:tcBorders>
            <w:shd w:val="clear" w:color="auto" w:fill="E6EED5"/>
          </w:tcPr>
          <w:p w14:paraId="756D1387"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 xml:space="preserve">Trainees </w:t>
            </w:r>
            <w:proofErr w:type="gramStart"/>
            <w:r w:rsidRPr="003440E1">
              <w:rPr>
                <w:rFonts w:ascii="Arial Narrow" w:hAnsi="Arial Narrow" w:cstheme="majorHAnsi"/>
                <w:color w:val="4F6228"/>
                <w:sz w:val="20"/>
                <w:szCs w:val="24"/>
              </w:rPr>
              <w:t>have to</w:t>
            </w:r>
            <w:proofErr w:type="gramEnd"/>
            <w:r w:rsidRPr="003440E1">
              <w:rPr>
                <w:rFonts w:ascii="Arial Narrow" w:hAnsi="Arial Narrow" w:cstheme="majorHAnsi"/>
                <w:color w:val="4F6228"/>
                <w:sz w:val="20"/>
                <w:szCs w:val="24"/>
              </w:rPr>
              <w:t xml:space="preserve"> learn autonomous working</w:t>
            </w:r>
          </w:p>
        </w:tc>
      </w:tr>
      <w:tr w:rsidR="000E7ECE" w:rsidRPr="00E5498E" w14:paraId="2958504C" w14:textId="77777777" w:rsidTr="003B14BF">
        <w:tc>
          <w:tcPr>
            <w:tcW w:w="4621" w:type="dxa"/>
            <w:shd w:val="clear" w:color="auto" w:fill="auto"/>
          </w:tcPr>
          <w:p w14:paraId="4C02D7B8" w14:textId="77777777" w:rsidR="000E7ECE" w:rsidRPr="003440E1" w:rsidRDefault="000E7ECE" w:rsidP="000E7ECE">
            <w:pPr>
              <w:numPr>
                <w:ilvl w:val="0"/>
                <w:numId w:val="17"/>
              </w:numPr>
              <w:spacing w:after="0" w:line="281" w:lineRule="auto"/>
              <w:ind w:left="426"/>
              <w:jc w:val="both"/>
              <w:rPr>
                <w:rFonts w:ascii="Arial Narrow" w:hAnsi="Arial Narrow" w:cstheme="majorHAnsi"/>
                <w:bCs/>
                <w:color w:val="4F6228"/>
                <w:sz w:val="20"/>
                <w:szCs w:val="24"/>
              </w:rPr>
            </w:pPr>
            <w:r w:rsidRPr="003440E1">
              <w:rPr>
                <w:rFonts w:ascii="Arial Narrow" w:hAnsi="Arial Narrow" w:cstheme="majorHAnsi"/>
                <w:bCs/>
                <w:color w:val="4F6228"/>
                <w:sz w:val="20"/>
                <w:szCs w:val="24"/>
              </w:rPr>
              <w:t>Very hierarchical structure</w:t>
            </w:r>
          </w:p>
        </w:tc>
        <w:tc>
          <w:tcPr>
            <w:tcW w:w="4621" w:type="dxa"/>
            <w:shd w:val="clear" w:color="auto" w:fill="auto"/>
          </w:tcPr>
          <w:p w14:paraId="241A8B22" w14:textId="77777777" w:rsidR="000E7ECE" w:rsidRPr="003440E1" w:rsidRDefault="000E7ECE" w:rsidP="000E7ECE">
            <w:pPr>
              <w:numPr>
                <w:ilvl w:val="0"/>
                <w:numId w:val="17"/>
              </w:numPr>
              <w:spacing w:after="0" w:line="281" w:lineRule="auto"/>
              <w:ind w:left="426"/>
              <w:jc w:val="both"/>
              <w:rPr>
                <w:rFonts w:ascii="Arial Narrow" w:hAnsi="Arial Narrow" w:cstheme="majorHAnsi"/>
                <w:color w:val="4F6228"/>
                <w:sz w:val="20"/>
                <w:szCs w:val="24"/>
              </w:rPr>
            </w:pPr>
            <w:r w:rsidRPr="003440E1">
              <w:rPr>
                <w:rFonts w:ascii="Arial Narrow" w:hAnsi="Arial Narrow" w:cstheme="majorHAnsi"/>
                <w:color w:val="4F6228"/>
                <w:sz w:val="20"/>
                <w:szCs w:val="24"/>
              </w:rPr>
              <w:t>Collegiate approach</w:t>
            </w:r>
          </w:p>
        </w:tc>
      </w:tr>
    </w:tbl>
    <w:p w14:paraId="3C0D4F3F" w14:textId="77777777" w:rsidR="000E7ECE" w:rsidRDefault="000E7ECE" w:rsidP="000E7ECE">
      <w:pPr>
        <w:spacing w:after="70"/>
        <w:rPr>
          <w:rFonts w:ascii="Arial Narrow" w:hAnsi="Arial Narrow"/>
          <w:b/>
        </w:rPr>
      </w:pPr>
    </w:p>
    <w:p w14:paraId="2D7788EF" w14:textId="504DFF71" w:rsidR="005B302C" w:rsidRPr="000E7ECE" w:rsidRDefault="000E7ECE" w:rsidP="000E7ECE">
      <w:pPr>
        <w:spacing w:after="70"/>
        <w:jc w:val="center"/>
      </w:pPr>
      <w:r w:rsidRPr="00EF7F7A">
        <w:rPr>
          <w:rFonts w:ascii="Arial Narrow" w:hAnsi="Arial Narrow"/>
          <w:b/>
        </w:rPr>
        <w:t xml:space="preserve">Are there any </w:t>
      </w:r>
      <w:r>
        <w:rPr>
          <w:rFonts w:ascii="Arial Narrow" w:hAnsi="Arial Narrow"/>
          <w:b/>
        </w:rPr>
        <w:t>things</w:t>
      </w:r>
      <w:r w:rsidRPr="00EF7F7A">
        <w:rPr>
          <w:rFonts w:ascii="Arial Narrow" w:hAnsi="Arial Narrow"/>
          <w:b/>
        </w:rPr>
        <w:t xml:space="preserve"> on this list that you had not previousl</w:t>
      </w:r>
      <w:r>
        <w:rPr>
          <w:rFonts w:ascii="Arial Narrow" w:hAnsi="Arial Narrow"/>
          <w:b/>
        </w:rPr>
        <w:t>y anticipated?  Please highlight these.</w:t>
      </w:r>
    </w:p>
    <w:sectPr w:rsidR="005B302C" w:rsidRPr="000E7ECE">
      <w:headerReference w:type="default" r:id="rId6"/>
      <w:footerReference w:type="default" r:id="rI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35868" w14:textId="77777777" w:rsidR="00E04ACA" w:rsidRPr="00C43016" w:rsidRDefault="000E7ECE" w:rsidP="003B0412">
    <w:pPr>
      <w:pStyle w:val="Footer"/>
      <w:jc w:val="center"/>
      <w:rPr>
        <w:i/>
        <w:sz w:val="16"/>
        <w:szCs w:val="16"/>
      </w:rPr>
    </w:pPr>
    <w:r>
      <w:rPr>
        <w:i/>
        <w:sz w:val="16"/>
        <w:szCs w:val="16"/>
      </w:rPr>
      <w:t xml:space="preserve">_________________________________________________________________________________________________________________Developed by </w:t>
    </w:r>
    <w:r w:rsidRPr="004E586B">
      <w:rPr>
        <w:i/>
        <w:sz w:val="16"/>
        <w:szCs w:val="16"/>
      </w:rPr>
      <w:t xml:space="preserve">Dr. Ramesh Mehay, </w:t>
    </w:r>
    <w:hyperlink r:id="rId1" w:history="1">
      <w:r w:rsidRPr="004E586B">
        <w:rPr>
          <w:rStyle w:val="Hyperlink"/>
          <w:i/>
          <w:sz w:val="16"/>
          <w:szCs w:val="16"/>
        </w:rPr>
        <w:t>www.bradfordvts.co.uk</w:t>
      </w:r>
    </w:hyperlink>
    <w:r w:rsidRPr="004E586B">
      <w:rPr>
        <w:i/>
        <w:sz w:val="16"/>
        <w:szCs w:val="16"/>
      </w:rPr>
      <w:t xml:space="preserve"> (2013, updated Aug 2019</w:t>
    </w:r>
    <w:r>
      <w:rPr>
        <w:i/>
        <w:sz w:val="16"/>
        <w:szCs w:val="16"/>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3437611"/>
      <w:docPartObj>
        <w:docPartGallery w:val="Page Numbers (Top of Page)"/>
        <w:docPartUnique/>
      </w:docPartObj>
    </w:sdtPr>
    <w:sdtEndPr>
      <w:rPr>
        <w:noProof/>
      </w:rPr>
    </w:sdtEndPr>
    <w:sdtContent>
      <w:p w14:paraId="400028BA" w14:textId="77777777" w:rsidR="00E04ACA" w:rsidRDefault="000E7EC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1273711" w14:textId="77777777" w:rsidR="00E04ACA" w:rsidRDefault="000E7E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6669"/>
    <w:multiLevelType w:val="hybridMultilevel"/>
    <w:tmpl w:val="510825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3D1C0D"/>
    <w:multiLevelType w:val="hybridMultilevel"/>
    <w:tmpl w:val="9DC4E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D0482"/>
    <w:multiLevelType w:val="hybridMultilevel"/>
    <w:tmpl w:val="35C08B98"/>
    <w:lvl w:ilvl="0" w:tplc="2966A0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D27295"/>
    <w:multiLevelType w:val="hybridMultilevel"/>
    <w:tmpl w:val="25E07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A7F8A"/>
    <w:multiLevelType w:val="hybridMultilevel"/>
    <w:tmpl w:val="48C0595A"/>
    <w:lvl w:ilvl="0" w:tplc="A0927AD0">
      <w:numFmt w:val="bullet"/>
      <w:lvlText w:val="•"/>
      <w:lvlJc w:val="left"/>
      <w:pPr>
        <w:ind w:left="1080" w:hanging="72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A111BE"/>
    <w:multiLevelType w:val="hybridMultilevel"/>
    <w:tmpl w:val="A23ED0F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E15C97"/>
    <w:multiLevelType w:val="hybridMultilevel"/>
    <w:tmpl w:val="96B65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417A7F"/>
    <w:multiLevelType w:val="hybridMultilevel"/>
    <w:tmpl w:val="3552EF56"/>
    <w:lvl w:ilvl="0" w:tplc="0809000F">
      <w:start w:val="1"/>
      <w:numFmt w:val="decimal"/>
      <w:lvlText w:val="%1."/>
      <w:lvlJc w:val="left"/>
      <w:pPr>
        <w:ind w:left="1080" w:hanging="72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F36B18"/>
    <w:multiLevelType w:val="hybridMultilevel"/>
    <w:tmpl w:val="485C3F4A"/>
    <w:lvl w:ilvl="0" w:tplc="BFC0D9B4">
      <w:start w:val="7"/>
      <w:numFmt w:val="bullet"/>
      <w:lvlText w:val="•"/>
      <w:lvlJc w:val="left"/>
      <w:pPr>
        <w:ind w:left="720" w:hanging="360"/>
      </w:pPr>
      <w:rPr>
        <w:rFonts w:ascii="Arial" w:eastAsia="Cambr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DA0BBE"/>
    <w:multiLevelType w:val="hybridMultilevel"/>
    <w:tmpl w:val="5A70FAE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9AA0BA4"/>
    <w:multiLevelType w:val="hybridMultilevel"/>
    <w:tmpl w:val="97367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AC03869"/>
    <w:multiLevelType w:val="hybridMultilevel"/>
    <w:tmpl w:val="32204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00691B"/>
    <w:multiLevelType w:val="hybridMultilevel"/>
    <w:tmpl w:val="E6B65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AA4426"/>
    <w:multiLevelType w:val="hybridMultilevel"/>
    <w:tmpl w:val="39A84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DF4D79"/>
    <w:multiLevelType w:val="hybridMultilevel"/>
    <w:tmpl w:val="D50E32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0B5CE0"/>
    <w:multiLevelType w:val="hybridMultilevel"/>
    <w:tmpl w:val="6DDC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3F4301B"/>
    <w:multiLevelType w:val="hybridMultilevel"/>
    <w:tmpl w:val="4DD41DB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11"/>
  </w:num>
  <w:num w:numId="4">
    <w:abstractNumId w:val="9"/>
  </w:num>
  <w:num w:numId="5">
    <w:abstractNumId w:val="16"/>
  </w:num>
  <w:num w:numId="6">
    <w:abstractNumId w:val="12"/>
  </w:num>
  <w:num w:numId="7">
    <w:abstractNumId w:val="7"/>
  </w:num>
  <w:num w:numId="8">
    <w:abstractNumId w:val="1"/>
  </w:num>
  <w:num w:numId="9">
    <w:abstractNumId w:val="2"/>
  </w:num>
  <w:num w:numId="10">
    <w:abstractNumId w:val="5"/>
  </w:num>
  <w:num w:numId="11">
    <w:abstractNumId w:val="6"/>
  </w:num>
  <w:num w:numId="12">
    <w:abstractNumId w:val="15"/>
  </w:num>
  <w:num w:numId="13">
    <w:abstractNumId w:val="8"/>
  </w:num>
  <w:num w:numId="14">
    <w:abstractNumId w:val="3"/>
  </w:num>
  <w:num w:numId="15">
    <w:abstractNumId w:val="0"/>
  </w:num>
  <w:num w:numId="16">
    <w:abstractNumId w:val="1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026"/>
    <w:rsid w:val="000C12D2"/>
    <w:rsid w:val="000E7ECE"/>
    <w:rsid w:val="001F3957"/>
    <w:rsid w:val="002538F2"/>
    <w:rsid w:val="00342597"/>
    <w:rsid w:val="005B302C"/>
    <w:rsid w:val="00A6157F"/>
    <w:rsid w:val="00B70510"/>
    <w:rsid w:val="00E35623"/>
    <w:rsid w:val="00FB50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11178"/>
  <w15:chartTrackingRefBased/>
  <w15:docId w15:val="{1D29D6D6-EA18-4A83-8EE1-4109CEC1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ECE"/>
  </w:style>
  <w:style w:type="paragraph" w:styleId="Heading1">
    <w:name w:val="heading 1"/>
    <w:basedOn w:val="Normal"/>
    <w:next w:val="Normal"/>
    <w:link w:val="Heading1Char"/>
    <w:uiPriority w:val="9"/>
    <w:qFormat/>
    <w:rsid w:val="00E35623"/>
    <w:pPr>
      <w:keepNext/>
      <w:keepLines/>
      <w:spacing w:before="800" w:after="40" w:line="240" w:lineRule="auto"/>
      <w:outlineLvl w:val="0"/>
    </w:pPr>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ing2">
    <w:name w:val="heading 2"/>
    <w:basedOn w:val="Normal"/>
    <w:next w:val="Normal"/>
    <w:link w:val="Heading2Char"/>
    <w:uiPriority w:val="9"/>
    <w:unhideWhenUsed/>
    <w:qFormat/>
    <w:rsid w:val="00FB502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5026"/>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FB5026"/>
    <w:rPr>
      <w:color w:val="0563C1" w:themeColor="hyperlink"/>
      <w:u w:val="single"/>
    </w:rPr>
  </w:style>
  <w:style w:type="paragraph" w:styleId="ListParagraph">
    <w:name w:val="List Paragraph"/>
    <w:basedOn w:val="Normal"/>
    <w:uiPriority w:val="34"/>
    <w:qFormat/>
    <w:rsid w:val="00FB5026"/>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FB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35623"/>
    <w:rPr>
      <w:rFonts w:asciiTheme="majorHAnsi" w:eastAsiaTheme="majorEastAsia" w:hAnsiTheme="majorHAnsi" w:cstheme="majorBidi"/>
      <w:color w:val="5B9BD5" w:themeColor="accent5"/>
      <w:kern w:val="28"/>
      <w:sz w:val="52"/>
      <w:szCs w:val="52"/>
      <w:lang w:val="en-US" w:eastAsia="ja-JP"/>
      <w14:ligatures w14:val="standard"/>
      <w14:numForm w14:val="oldStyle"/>
    </w:rPr>
  </w:style>
  <w:style w:type="paragraph" w:styleId="Header">
    <w:name w:val="header"/>
    <w:basedOn w:val="Normal"/>
    <w:link w:val="HeaderChar"/>
    <w:uiPriority w:val="99"/>
    <w:unhideWhenUsed/>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HeaderChar">
    <w:name w:val="Header Char"/>
    <w:basedOn w:val="DefaultParagraphFont"/>
    <w:link w:val="Header"/>
    <w:uiPriority w:val="99"/>
    <w:rsid w:val="001F3957"/>
    <w:rPr>
      <w:rFonts w:eastAsiaTheme="minorEastAsia"/>
      <w:color w:val="595959" w:themeColor="text1" w:themeTint="A6"/>
      <w:lang w:val="en-US" w:eastAsia="ja-JP"/>
    </w:rPr>
  </w:style>
  <w:style w:type="paragraph" w:styleId="Footer">
    <w:name w:val="footer"/>
    <w:basedOn w:val="Normal"/>
    <w:link w:val="FooterChar"/>
    <w:uiPriority w:val="99"/>
    <w:unhideWhenUsed/>
    <w:qFormat/>
    <w:rsid w:val="001F3957"/>
    <w:pPr>
      <w:tabs>
        <w:tab w:val="center" w:pos="4680"/>
        <w:tab w:val="right" w:pos="9360"/>
      </w:tabs>
      <w:spacing w:after="0" w:line="240" w:lineRule="auto"/>
    </w:pPr>
    <w:rPr>
      <w:rFonts w:eastAsiaTheme="minorEastAsia"/>
      <w:color w:val="595959" w:themeColor="text1" w:themeTint="A6"/>
      <w:lang w:val="en-US" w:eastAsia="ja-JP"/>
    </w:rPr>
  </w:style>
  <w:style w:type="character" w:customStyle="1" w:styleId="FooterChar">
    <w:name w:val="Footer Char"/>
    <w:basedOn w:val="DefaultParagraphFont"/>
    <w:link w:val="Footer"/>
    <w:uiPriority w:val="99"/>
    <w:rsid w:val="001F3957"/>
    <w:rPr>
      <w:rFonts w:eastAsiaTheme="minorEastAsia"/>
      <w:color w:val="595959" w:themeColor="text1" w:themeTint="A6"/>
      <w:lang w:val="en-US" w:eastAsia="ja-JP"/>
    </w:rPr>
  </w:style>
  <w:style w:type="paragraph" w:styleId="BodyText">
    <w:name w:val="Body Text"/>
    <w:basedOn w:val="Normal"/>
    <w:link w:val="BodyTextChar"/>
    <w:semiHidden/>
    <w:rsid w:val="000C12D2"/>
    <w:pPr>
      <w:spacing w:after="0" w:line="240" w:lineRule="auto"/>
    </w:pPr>
    <w:rPr>
      <w:rFonts w:ascii="Arial" w:eastAsia="Times New Roman" w:hAnsi="Arial" w:cs="Arial"/>
      <w:szCs w:val="24"/>
    </w:rPr>
  </w:style>
  <w:style w:type="character" w:customStyle="1" w:styleId="BodyTextChar">
    <w:name w:val="Body Text Char"/>
    <w:basedOn w:val="DefaultParagraphFont"/>
    <w:link w:val="BodyText"/>
    <w:semiHidden/>
    <w:rsid w:val="000C12D2"/>
    <w:rPr>
      <w:rFonts w:ascii="Arial" w:eastAsia="Times New Roman" w:hAnsi="Arial" w:cs="Arial"/>
      <w:szCs w:val="24"/>
    </w:rPr>
  </w:style>
  <w:style w:type="table" w:styleId="PlainTable4">
    <w:name w:val="Plain Table 4"/>
    <w:basedOn w:val="TableNormal"/>
    <w:uiPriority w:val="44"/>
    <w:rsid w:val="000C12D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2019-08-16T12:10:00Z</dcterms:created>
  <dcterms:modified xsi:type="dcterms:W3CDTF">2019-08-16T12:10:00Z</dcterms:modified>
</cp:coreProperties>
</file>