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A4466A" w14:textId="34305BCD" w:rsidR="008B30FF" w:rsidRPr="000436C0" w:rsidRDefault="008B30FF" w:rsidP="008B30FF">
      <w:pPr>
        <w:pStyle w:val="Heading2"/>
        <w:rPr>
          <w:rFonts w:asciiTheme="minorHAnsi" w:hAnsiTheme="minorHAnsi" w:cstheme="minorHAnsi"/>
          <w:b/>
          <w:bCs/>
        </w:rPr>
      </w:pPr>
      <w:bookmarkStart w:id="0" w:name="_Toc16640157"/>
      <w:bookmarkStart w:id="1" w:name="_GoBack"/>
      <w:bookmarkEnd w:id="1"/>
      <w:r>
        <w:rPr>
          <w:rFonts w:asciiTheme="minorHAnsi" w:hAnsiTheme="minorHAnsi" w:cstheme="minorHAnsi"/>
          <w:b/>
          <w:bCs/>
          <w:color w:val="0070C0"/>
          <w:sz w:val="40"/>
          <w:szCs w:val="40"/>
        </w:rPr>
        <w:t>Let’s check t</w:t>
      </w:r>
      <w:r w:rsidRPr="000436C0">
        <w:rPr>
          <w:rFonts w:asciiTheme="minorHAnsi" w:hAnsiTheme="minorHAnsi" w:cstheme="minorHAnsi"/>
          <w:b/>
          <w:bCs/>
          <w:color w:val="0070C0"/>
          <w:sz w:val="40"/>
          <w:szCs w:val="40"/>
        </w:rPr>
        <w:t>he Doctor’s Bag</w:t>
      </w:r>
      <w:bookmarkEnd w:id="0"/>
    </w:p>
    <w:p w14:paraId="7F2E4398" w14:textId="77777777" w:rsidR="008B30FF" w:rsidRPr="000436C0" w:rsidRDefault="008B30FF" w:rsidP="008B30FF">
      <w:pPr>
        <w:jc w:val="both"/>
        <w:rPr>
          <w:rFonts w:asciiTheme="majorHAnsi" w:hAnsiTheme="majorHAnsi" w:cstheme="majorHAnsi"/>
          <w:noProof/>
          <w:lang w:eastAsia="en-GB"/>
        </w:rPr>
      </w:pPr>
      <w:r w:rsidRPr="000436C0">
        <w:rPr>
          <w:rFonts w:cstheme="minorHAnsi"/>
          <w:b/>
          <w:bCs/>
          <w:noProof/>
          <w:color w:val="0070C0"/>
          <w:sz w:val="40"/>
          <w:szCs w:val="40"/>
        </w:rPr>
        <w:drawing>
          <wp:anchor distT="0" distB="0" distL="114300" distR="114300" simplePos="0" relativeHeight="251659264" behindDoc="0" locked="0" layoutInCell="1" allowOverlap="1" wp14:anchorId="1174AA64" wp14:editId="43B9879C">
            <wp:simplePos x="0" y="0"/>
            <wp:positionH relativeFrom="column">
              <wp:posOffset>3789680</wp:posOffset>
            </wp:positionH>
            <wp:positionV relativeFrom="paragraph">
              <wp:posOffset>74930</wp:posOffset>
            </wp:positionV>
            <wp:extent cx="2162810" cy="2314575"/>
            <wp:effectExtent l="0" t="0" r="8890" b="9525"/>
            <wp:wrapSquare wrapText="bothSides"/>
            <wp:docPr id="49" name="Picture 49" descr="Officer, Worker, Salesman, Sales Person, Advis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Officer, Worker, Salesman, Sales Person, Adviso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810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436C0">
        <w:rPr>
          <w:rFonts w:asciiTheme="majorHAnsi" w:hAnsiTheme="majorHAnsi" w:cstheme="majorHAnsi"/>
          <w:noProof/>
          <w:lang w:eastAsia="en-GB"/>
        </w:rPr>
        <w:t xml:space="preserve">In due course, it’s important to get yourselves an doctor’s bag.  Do a survey of the types of bags available (just type doctor’s bag into Google) – remember, this is the bag that you will be carrying with you for the next 5-10+ years.  So, it’s worth getting something that suits you well and paying that little bit extra.  </w:t>
      </w:r>
    </w:p>
    <w:p w14:paraId="2CE41E6C" w14:textId="77777777" w:rsidR="008B30FF" w:rsidRPr="000436C0" w:rsidRDefault="008B30FF" w:rsidP="008B30FF">
      <w:pPr>
        <w:jc w:val="both"/>
        <w:rPr>
          <w:rFonts w:asciiTheme="majorHAnsi" w:hAnsiTheme="majorHAnsi" w:cstheme="majorHAnsi"/>
          <w:noProof/>
          <w:lang w:eastAsia="en-GB"/>
        </w:rPr>
      </w:pPr>
      <w:r w:rsidRPr="000436C0">
        <w:rPr>
          <w:rFonts w:asciiTheme="majorHAnsi" w:hAnsiTheme="majorHAnsi" w:cstheme="majorHAnsi"/>
          <w:noProof/>
          <w:lang w:eastAsia="en-GB"/>
        </w:rPr>
        <w:t>Some doctors prefer the traditional Gladstone bag, others go for a wide briefcase and we’ve even seen doctors adapt toolkits designed for electricans and plumbers!  But for the time being, the surgery will provide you with one.</w:t>
      </w:r>
    </w:p>
    <w:p w14:paraId="466FE6FB" w14:textId="77777777" w:rsidR="008B30FF" w:rsidRDefault="008B30FF" w:rsidP="008B30FF">
      <w:pPr>
        <w:jc w:val="both"/>
        <w:rPr>
          <w:rFonts w:asciiTheme="majorHAnsi" w:hAnsiTheme="majorHAnsi" w:cstheme="majorHAnsi"/>
          <w:noProof/>
          <w:lang w:eastAsia="en-GB"/>
        </w:rPr>
      </w:pPr>
      <w:r w:rsidRPr="000436C0">
        <w:rPr>
          <w:rFonts w:asciiTheme="majorHAnsi" w:hAnsiTheme="majorHAnsi" w:cstheme="majorHAnsi"/>
          <w:noProof/>
          <w:lang w:eastAsia="en-GB"/>
        </w:rPr>
        <w:t>It’s also important to consider what to include in the doctor’s bag.  Basically there are three things you need – equipment, paper-based stuff and drugs.</w:t>
      </w:r>
    </w:p>
    <w:p w14:paraId="4DFD0B8A" w14:textId="77777777" w:rsidR="008B30FF" w:rsidRPr="000436C0" w:rsidRDefault="008B30FF" w:rsidP="008B30FF">
      <w:pPr>
        <w:jc w:val="both"/>
        <w:rPr>
          <w:rFonts w:asciiTheme="majorHAnsi" w:hAnsiTheme="majorHAnsi" w:cstheme="majorHAnsi"/>
          <w:noProof/>
          <w:lang w:eastAsia="en-GB"/>
        </w:rPr>
      </w:pPr>
    </w:p>
    <w:p w14:paraId="7FB09D99" w14:textId="77777777" w:rsidR="008B30FF" w:rsidRDefault="008B30FF" w:rsidP="008B30FF">
      <w:pPr>
        <w:jc w:val="both"/>
        <w:rPr>
          <w:rFonts w:ascii="Arial" w:hAnsi="Arial" w:cs="Arial"/>
          <w:b/>
          <w:noProof/>
          <w:color w:val="00B0F0"/>
          <w:lang w:eastAsia="en-GB"/>
        </w:rPr>
      </w:pPr>
      <w:r w:rsidRPr="007D1AD0">
        <w:rPr>
          <w:rFonts w:ascii="Arial" w:hAnsi="Arial" w:cs="Arial"/>
          <w:b/>
          <w:noProof/>
          <w:color w:val="00B0F0"/>
          <w:lang w:eastAsia="en-GB"/>
        </w:rPr>
        <w:t>EQUIPMENT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8B30FF" w14:paraId="1D324BD6" w14:textId="77777777" w:rsidTr="003B14BF">
        <w:tc>
          <w:tcPr>
            <w:tcW w:w="4508" w:type="dxa"/>
          </w:tcPr>
          <w:p w14:paraId="359AE913" w14:textId="77777777" w:rsidR="008B30FF" w:rsidRPr="007D1AD0" w:rsidRDefault="008B30FF" w:rsidP="008B30FF">
            <w:pPr>
              <w:pStyle w:val="ListParagraph"/>
              <w:numPr>
                <w:ilvl w:val="0"/>
                <w:numId w:val="6"/>
              </w:numPr>
              <w:spacing w:after="160" w:line="259" w:lineRule="auto"/>
              <w:jc w:val="both"/>
              <w:rPr>
                <w:rFonts w:asciiTheme="majorHAnsi" w:hAnsiTheme="majorHAnsi" w:cstheme="majorHAnsi"/>
                <w:noProof/>
                <w:lang w:val="en-GB" w:eastAsia="en-GB"/>
              </w:rPr>
            </w:pPr>
            <w:r w:rsidRPr="007D1AD0">
              <w:rPr>
                <w:rFonts w:asciiTheme="majorHAnsi" w:hAnsiTheme="majorHAnsi" w:cstheme="majorHAnsi"/>
                <w:noProof/>
                <w:lang w:val="en-GB" w:eastAsia="en-GB"/>
              </w:rPr>
              <w:t xml:space="preserve">Stethoscope </w:t>
            </w:r>
          </w:p>
          <w:p w14:paraId="12EC465C" w14:textId="77777777" w:rsidR="008B30FF" w:rsidRPr="007D1AD0" w:rsidRDefault="008B30FF" w:rsidP="008B30FF">
            <w:pPr>
              <w:pStyle w:val="ListParagraph"/>
              <w:numPr>
                <w:ilvl w:val="0"/>
                <w:numId w:val="6"/>
              </w:numPr>
              <w:spacing w:after="160" w:line="259" w:lineRule="auto"/>
              <w:jc w:val="both"/>
              <w:rPr>
                <w:rFonts w:asciiTheme="majorHAnsi" w:hAnsiTheme="majorHAnsi" w:cstheme="majorHAnsi"/>
                <w:noProof/>
                <w:lang w:val="en-GB" w:eastAsia="en-GB"/>
              </w:rPr>
            </w:pPr>
            <w:r w:rsidRPr="007D1AD0">
              <w:rPr>
                <w:rFonts w:asciiTheme="majorHAnsi" w:hAnsiTheme="majorHAnsi" w:cstheme="majorHAnsi"/>
                <w:noProof/>
                <w:lang w:val="en-GB" w:eastAsia="en-GB"/>
              </w:rPr>
              <w:t>Thermometer &amp; Sats machine</w:t>
            </w:r>
          </w:p>
          <w:p w14:paraId="0D5403B4" w14:textId="77777777" w:rsidR="008B30FF" w:rsidRPr="007D1AD0" w:rsidRDefault="008B30FF" w:rsidP="008B30FF">
            <w:pPr>
              <w:pStyle w:val="ListParagraph"/>
              <w:numPr>
                <w:ilvl w:val="0"/>
                <w:numId w:val="6"/>
              </w:numPr>
              <w:spacing w:after="160" w:line="259" w:lineRule="auto"/>
              <w:jc w:val="both"/>
              <w:rPr>
                <w:rFonts w:asciiTheme="majorHAnsi" w:hAnsiTheme="majorHAnsi" w:cstheme="majorHAnsi"/>
                <w:noProof/>
                <w:lang w:val="en-GB" w:eastAsia="en-GB"/>
              </w:rPr>
            </w:pPr>
            <w:r w:rsidRPr="007D1AD0">
              <w:rPr>
                <w:rFonts w:asciiTheme="majorHAnsi" w:hAnsiTheme="majorHAnsi" w:cstheme="majorHAnsi"/>
                <w:noProof/>
                <w:lang w:val="en-GB" w:eastAsia="en-GB"/>
              </w:rPr>
              <w:t xml:space="preserve">Sphygmomanometer </w:t>
            </w:r>
          </w:p>
          <w:p w14:paraId="6B1EC06B" w14:textId="77777777" w:rsidR="008B30FF" w:rsidRPr="007D1AD0" w:rsidRDefault="008B30FF" w:rsidP="008B30FF">
            <w:pPr>
              <w:pStyle w:val="ListParagraph"/>
              <w:numPr>
                <w:ilvl w:val="0"/>
                <w:numId w:val="6"/>
              </w:numPr>
              <w:spacing w:after="160" w:line="259" w:lineRule="auto"/>
              <w:jc w:val="both"/>
              <w:rPr>
                <w:rFonts w:asciiTheme="majorHAnsi" w:hAnsiTheme="majorHAnsi" w:cstheme="majorHAnsi"/>
                <w:noProof/>
                <w:lang w:val="en-GB" w:eastAsia="en-GB"/>
              </w:rPr>
            </w:pPr>
            <w:r w:rsidRPr="007D1AD0">
              <w:rPr>
                <w:rFonts w:asciiTheme="majorHAnsi" w:hAnsiTheme="majorHAnsi" w:cstheme="majorHAnsi"/>
                <w:noProof/>
                <w:lang w:val="en-GB" w:eastAsia="en-GB"/>
              </w:rPr>
              <w:t>Otoscope  &amp; Ophthalmoscope</w:t>
            </w:r>
          </w:p>
        </w:tc>
        <w:tc>
          <w:tcPr>
            <w:tcW w:w="4508" w:type="dxa"/>
          </w:tcPr>
          <w:p w14:paraId="15C8B346" w14:textId="77777777" w:rsidR="008B30FF" w:rsidRPr="007D1AD0" w:rsidRDefault="008B30FF" w:rsidP="008B30FF">
            <w:pPr>
              <w:pStyle w:val="ListParagraph"/>
              <w:numPr>
                <w:ilvl w:val="0"/>
                <w:numId w:val="6"/>
              </w:numPr>
              <w:spacing w:after="160" w:line="259" w:lineRule="auto"/>
              <w:jc w:val="both"/>
              <w:rPr>
                <w:rFonts w:asciiTheme="majorHAnsi" w:hAnsiTheme="majorHAnsi" w:cstheme="majorHAnsi"/>
                <w:noProof/>
                <w:lang w:val="en-GB" w:eastAsia="en-GB"/>
              </w:rPr>
            </w:pPr>
            <w:r w:rsidRPr="007D1AD0">
              <w:rPr>
                <w:rFonts w:asciiTheme="majorHAnsi" w:hAnsiTheme="majorHAnsi" w:cstheme="majorHAnsi"/>
                <w:noProof/>
                <w:lang w:val="en-GB" w:eastAsia="en-GB"/>
              </w:rPr>
              <w:t>Thermometer &amp; Sats machine</w:t>
            </w:r>
          </w:p>
          <w:p w14:paraId="4F923535" w14:textId="77777777" w:rsidR="008B30FF" w:rsidRPr="007D1AD0" w:rsidRDefault="008B30FF" w:rsidP="008B30FF">
            <w:pPr>
              <w:pStyle w:val="ListParagraph"/>
              <w:numPr>
                <w:ilvl w:val="0"/>
                <w:numId w:val="6"/>
              </w:numPr>
              <w:spacing w:after="160" w:line="259" w:lineRule="auto"/>
              <w:jc w:val="both"/>
              <w:rPr>
                <w:rFonts w:asciiTheme="majorHAnsi" w:hAnsiTheme="majorHAnsi" w:cstheme="majorHAnsi"/>
                <w:noProof/>
                <w:lang w:val="en-GB" w:eastAsia="en-GB"/>
              </w:rPr>
            </w:pPr>
            <w:r w:rsidRPr="007D1AD0">
              <w:rPr>
                <w:rFonts w:asciiTheme="majorHAnsi" w:hAnsiTheme="majorHAnsi" w:cstheme="majorHAnsi"/>
                <w:noProof/>
                <w:lang w:val="en-GB" w:eastAsia="en-GB"/>
              </w:rPr>
              <w:t>Urine and stool containers for samples</w:t>
            </w:r>
          </w:p>
          <w:p w14:paraId="3710159C" w14:textId="77777777" w:rsidR="008B30FF" w:rsidRPr="007D1AD0" w:rsidRDefault="008B30FF" w:rsidP="008B30FF">
            <w:pPr>
              <w:pStyle w:val="ListParagraph"/>
              <w:numPr>
                <w:ilvl w:val="0"/>
                <w:numId w:val="6"/>
              </w:numPr>
              <w:spacing w:after="160" w:line="259" w:lineRule="auto"/>
              <w:jc w:val="both"/>
              <w:rPr>
                <w:rFonts w:asciiTheme="majorHAnsi" w:hAnsiTheme="majorHAnsi" w:cstheme="majorHAnsi"/>
                <w:noProof/>
                <w:lang w:val="en-GB" w:eastAsia="en-GB"/>
              </w:rPr>
            </w:pPr>
            <w:r w:rsidRPr="007D1AD0">
              <w:rPr>
                <w:rFonts w:asciiTheme="majorHAnsi" w:hAnsiTheme="majorHAnsi" w:cstheme="majorHAnsi"/>
                <w:noProof/>
                <w:lang w:val="en-GB" w:eastAsia="en-GB"/>
              </w:rPr>
              <w:t>Gloves &amp; lubricant</w:t>
            </w:r>
          </w:p>
          <w:p w14:paraId="7F19D5F6" w14:textId="77777777" w:rsidR="008B30FF" w:rsidRPr="007D1AD0" w:rsidRDefault="008B30FF" w:rsidP="008B30FF">
            <w:pPr>
              <w:pStyle w:val="ListParagraph"/>
              <w:numPr>
                <w:ilvl w:val="0"/>
                <w:numId w:val="6"/>
              </w:numPr>
              <w:spacing w:after="160" w:line="259" w:lineRule="auto"/>
              <w:jc w:val="both"/>
              <w:rPr>
                <w:rFonts w:asciiTheme="majorHAnsi" w:hAnsiTheme="majorHAnsi" w:cstheme="majorHAnsi"/>
                <w:noProof/>
                <w:lang w:val="en-GB" w:eastAsia="en-GB"/>
              </w:rPr>
            </w:pPr>
            <w:r w:rsidRPr="007D1AD0">
              <w:rPr>
                <w:rFonts w:asciiTheme="majorHAnsi" w:hAnsiTheme="majorHAnsi" w:cstheme="majorHAnsi"/>
                <w:noProof/>
                <w:lang w:val="en-GB" w:eastAsia="en-GB"/>
              </w:rPr>
              <w:t>Blood taking equipment</w:t>
            </w:r>
          </w:p>
        </w:tc>
      </w:tr>
    </w:tbl>
    <w:p w14:paraId="2D9401D2" w14:textId="77777777" w:rsidR="008B30FF" w:rsidRPr="007D1AD0" w:rsidRDefault="008B30FF" w:rsidP="008B30FF">
      <w:pPr>
        <w:jc w:val="both"/>
        <w:rPr>
          <w:rFonts w:ascii="Arial" w:hAnsi="Arial" w:cs="Arial"/>
          <w:b/>
          <w:noProof/>
          <w:color w:val="00B0F0"/>
          <w:lang w:eastAsia="en-GB"/>
        </w:rPr>
      </w:pPr>
    </w:p>
    <w:p w14:paraId="2216AE28" w14:textId="77777777" w:rsidR="008B30FF" w:rsidRPr="007D1AD0" w:rsidRDefault="008B30FF" w:rsidP="008B30FF">
      <w:pPr>
        <w:jc w:val="both"/>
        <w:rPr>
          <w:rFonts w:ascii="Arial" w:hAnsi="Arial" w:cs="Arial"/>
          <w:b/>
          <w:noProof/>
          <w:color w:val="00B0F0"/>
          <w:lang w:eastAsia="en-GB"/>
        </w:rPr>
      </w:pPr>
      <w:r w:rsidRPr="007D1AD0">
        <w:rPr>
          <w:rFonts w:ascii="Arial" w:hAnsi="Arial" w:cs="Arial"/>
          <w:b/>
          <w:noProof/>
          <w:color w:val="00B0F0"/>
          <w:lang w:eastAsia="en-GB"/>
        </w:rPr>
        <w:t>PAPER-BASED STUFF</w:t>
      </w:r>
    </w:p>
    <w:tbl>
      <w:tblPr>
        <w:tblStyle w:val="TableGrid"/>
        <w:tblW w:w="9356" w:type="dxa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55"/>
        <w:gridCol w:w="4701"/>
      </w:tblGrid>
      <w:tr w:rsidR="008B30FF" w14:paraId="5134ECEC" w14:textId="77777777" w:rsidTr="003B14BF">
        <w:tc>
          <w:tcPr>
            <w:tcW w:w="4655" w:type="dxa"/>
          </w:tcPr>
          <w:p w14:paraId="5B23F857" w14:textId="77777777" w:rsidR="008B30FF" w:rsidRPr="007D1AD0" w:rsidRDefault="008B30FF" w:rsidP="008B30FF">
            <w:pPr>
              <w:pStyle w:val="ListParagraph"/>
              <w:numPr>
                <w:ilvl w:val="0"/>
                <w:numId w:val="7"/>
              </w:numPr>
              <w:spacing w:after="160" w:line="259" w:lineRule="auto"/>
              <w:jc w:val="both"/>
              <w:rPr>
                <w:rFonts w:asciiTheme="majorHAnsi" w:hAnsiTheme="majorHAnsi" w:cstheme="majorHAnsi"/>
                <w:noProof/>
                <w:lang w:val="en-GB" w:eastAsia="en-GB"/>
              </w:rPr>
            </w:pPr>
            <w:r w:rsidRPr="007D1AD0">
              <w:rPr>
                <w:rFonts w:asciiTheme="majorHAnsi" w:hAnsiTheme="majorHAnsi" w:cstheme="majorHAnsi"/>
                <w:noProof/>
                <w:lang w:val="en-GB" w:eastAsia="en-GB"/>
              </w:rPr>
              <w:t>Blood forms (FBC, U&amp;E, and microbiology)</w:t>
            </w:r>
          </w:p>
          <w:p w14:paraId="0DFB0A35" w14:textId="77777777" w:rsidR="008B30FF" w:rsidRPr="007D1AD0" w:rsidRDefault="008B30FF" w:rsidP="008B30FF">
            <w:pPr>
              <w:pStyle w:val="ListParagraph"/>
              <w:numPr>
                <w:ilvl w:val="0"/>
                <w:numId w:val="7"/>
              </w:numPr>
              <w:spacing w:after="160" w:line="259" w:lineRule="auto"/>
              <w:jc w:val="both"/>
              <w:rPr>
                <w:rFonts w:asciiTheme="majorHAnsi" w:hAnsiTheme="majorHAnsi" w:cstheme="majorHAnsi"/>
                <w:noProof/>
                <w:lang w:val="en-GB" w:eastAsia="en-GB"/>
              </w:rPr>
            </w:pPr>
            <w:r w:rsidRPr="007D1AD0">
              <w:rPr>
                <w:rFonts w:asciiTheme="majorHAnsi" w:hAnsiTheme="majorHAnsi" w:cstheme="majorHAnsi"/>
                <w:noProof/>
                <w:lang w:val="en-GB" w:eastAsia="en-GB"/>
              </w:rPr>
              <w:t>MED3 pad (sick notes)</w:t>
            </w:r>
          </w:p>
        </w:tc>
        <w:tc>
          <w:tcPr>
            <w:tcW w:w="4701" w:type="dxa"/>
          </w:tcPr>
          <w:p w14:paraId="72C35C9B" w14:textId="77777777" w:rsidR="008B30FF" w:rsidRPr="007D1AD0" w:rsidRDefault="008B30FF" w:rsidP="008B30FF">
            <w:pPr>
              <w:pStyle w:val="ListParagraph"/>
              <w:numPr>
                <w:ilvl w:val="0"/>
                <w:numId w:val="7"/>
              </w:numPr>
              <w:spacing w:after="160" w:line="259" w:lineRule="auto"/>
              <w:jc w:val="both"/>
              <w:rPr>
                <w:rFonts w:asciiTheme="majorHAnsi" w:hAnsiTheme="majorHAnsi" w:cstheme="majorHAnsi"/>
                <w:noProof/>
                <w:lang w:val="en-GB" w:eastAsia="en-GB"/>
              </w:rPr>
            </w:pPr>
            <w:r w:rsidRPr="007D1AD0">
              <w:rPr>
                <w:rFonts w:asciiTheme="majorHAnsi" w:hAnsiTheme="majorHAnsi" w:cstheme="majorHAnsi"/>
                <w:noProof/>
                <w:lang w:val="en-GB" w:eastAsia="en-GB"/>
              </w:rPr>
              <w:t>Prescription Pad (FP10)</w:t>
            </w:r>
          </w:p>
          <w:p w14:paraId="4BC49FD8" w14:textId="77777777" w:rsidR="008B30FF" w:rsidRPr="007D1AD0" w:rsidRDefault="008B30FF" w:rsidP="008B30FF">
            <w:pPr>
              <w:pStyle w:val="ListParagraph"/>
              <w:numPr>
                <w:ilvl w:val="0"/>
                <w:numId w:val="7"/>
              </w:numPr>
              <w:spacing w:after="160" w:line="259" w:lineRule="auto"/>
              <w:jc w:val="both"/>
              <w:rPr>
                <w:rFonts w:asciiTheme="majorHAnsi" w:hAnsiTheme="majorHAnsi" w:cstheme="majorHAnsi"/>
                <w:noProof/>
                <w:lang w:val="en-GB" w:eastAsia="en-GB"/>
              </w:rPr>
            </w:pPr>
            <w:r w:rsidRPr="007D1AD0">
              <w:rPr>
                <w:rFonts w:asciiTheme="majorHAnsi" w:hAnsiTheme="majorHAnsi" w:cstheme="majorHAnsi"/>
                <w:noProof/>
                <w:lang w:val="en-GB" w:eastAsia="en-GB"/>
              </w:rPr>
              <w:t>Headed paper (for referrals etc)</w:t>
            </w:r>
          </w:p>
        </w:tc>
      </w:tr>
    </w:tbl>
    <w:p w14:paraId="7671F033" w14:textId="77777777" w:rsidR="008B30FF" w:rsidRDefault="008B30FF" w:rsidP="008B30FF">
      <w:pPr>
        <w:jc w:val="both"/>
        <w:rPr>
          <w:rFonts w:ascii="Arial" w:hAnsi="Arial" w:cs="Arial"/>
          <w:b/>
          <w:noProof/>
          <w:color w:val="00B0F0"/>
          <w:lang w:eastAsia="en-GB"/>
        </w:rPr>
      </w:pPr>
    </w:p>
    <w:p w14:paraId="0C18C5E6" w14:textId="77777777" w:rsidR="008B30FF" w:rsidRPr="007D1AD0" w:rsidRDefault="008B30FF" w:rsidP="008B30FF">
      <w:pPr>
        <w:jc w:val="both"/>
        <w:rPr>
          <w:rFonts w:ascii="Arial" w:hAnsi="Arial" w:cs="Arial"/>
          <w:b/>
          <w:noProof/>
          <w:color w:val="00B0F0"/>
          <w:lang w:eastAsia="en-GB"/>
        </w:rPr>
      </w:pPr>
      <w:r w:rsidRPr="007D1AD0">
        <w:rPr>
          <w:rFonts w:ascii="Arial" w:hAnsi="Arial" w:cs="Arial"/>
          <w:b/>
          <w:noProof/>
          <w:color w:val="00B0F0"/>
          <w:lang w:eastAsia="en-GB"/>
        </w:rPr>
        <w:t>DRUGS</w:t>
      </w:r>
    </w:p>
    <w:p w14:paraId="2D6CB54A" w14:textId="77777777" w:rsidR="008B30FF" w:rsidRPr="007D1AD0" w:rsidRDefault="008B30FF" w:rsidP="008B30FF">
      <w:pPr>
        <w:jc w:val="both"/>
        <w:rPr>
          <w:rFonts w:asciiTheme="majorHAnsi" w:hAnsiTheme="majorHAnsi" w:cstheme="majorHAnsi"/>
          <w:noProof/>
          <w:lang w:eastAsia="en-GB"/>
        </w:rPr>
      </w:pPr>
      <w:r w:rsidRPr="007D1AD0">
        <w:rPr>
          <w:rFonts w:asciiTheme="majorHAnsi" w:hAnsiTheme="majorHAnsi" w:cstheme="majorHAnsi"/>
          <w:noProof/>
          <w:lang w:eastAsia="en-GB"/>
        </w:rPr>
        <w:t xml:space="preserve">As we are a city practice, we do not carry many drugs for the Doctor’s Bag.  </w:t>
      </w:r>
      <w:r>
        <w:rPr>
          <w:rFonts w:asciiTheme="majorHAnsi" w:hAnsiTheme="majorHAnsi" w:cstheme="majorHAnsi"/>
          <w:noProof/>
          <w:lang w:eastAsia="en-GB"/>
        </w:rPr>
        <w:t>The essentials are…</w:t>
      </w:r>
      <w:r w:rsidRPr="007D1AD0">
        <w:rPr>
          <w:rFonts w:asciiTheme="majorHAnsi" w:hAnsiTheme="majorHAnsi" w:cstheme="majorHAnsi"/>
          <w:noProof/>
          <w:lang w:eastAsia="en-GB"/>
        </w:rPr>
        <w:t>:</w:t>
      </w:r>
    </w:p>
    <w:p w14:paraId="3E739C38" w14:textId="77777777" w:rsidR="008B30FF" w:rsidRPr="007D1AD0" w:rsidRDefault="008B30FF" w:rsidP="008B30FF">
      <w:pPr>
        <w:pStyle w:val="ListParagraph"/>
        <w:numPr>
          <w:ilvl w:val="1"/>
          <w:numId w:val="5"/>
        </w:numPr>
        <w:spacing w:after="160" w:line="259" w:lineRule="auto"/>
        <w:jc w:val="both"/>
        <w:rPr>
          <w:rFonts w:asciiTheme="majorHAnsi" w:hAnsiTheme="majorHAnsi" w:cstheme="majorHAnsi"/>
          <w:noProof/>
          <w:lang w:val="en-GB" w:eastAsia="en-GB"/>
        </w:rPr>
      </w:pPr>
      <w:r w:rsidRPr="007D1AD0">
        <w:rPr>
          <w:rFonts w:asciiTheme="majorHAnsi" w:hAnsiTheme="majorHAnsi" w:cstheme="majorHAnsi"/>
          <w:noProof/>
          <w:lang w:val="en-GB" w:eastAsia="en-GB"/>
        </w:rPr>
        <w:t>GTN spray</w:t>
      </w:r>
      <w:r>
        <w:rPr>
          <w:rFonts w:asciiTheme="majorHAnsi" w:hAnsiTheme="majorHAnsi" w:cstheme="majorHAnsi"/>
          <w:noProof/>
          <w:lang w:val="en-GB" w:eastAsia="en-GB"/>
        </w:rPr>
        <w:t xml:space="preserve"> (for angina, MI)</w:t>
      </w:r>
    </w:p>
    <w:p w14:paraId="743CDCFE" w14:textId="77777777" w:rsidR="008B30FF" w:rsidRPr="007D1AD0" w:rsidRDefault="008B30FF" w:rsidP="008B30FF">
      <w:pPr>
        <w:pStyle w:val="ListParagraph"/>
        <w:numPr>
          <w:ilvl w:val="1"/>
          <w:numId w:val="5"/>
        </w:numPr>
        <w:tabs>
          <w:tab w:val="left" w:pos="720"/>
          <w:tab w:val="left" w:pos="1440"/>
          <w:tab w:val="left" w:pos="2160"/>
          <w:tab w:val="left" w:pos="2880"/>
          <w:tab w:val="left" w:pos="3855"/>
        </w:tabs>
        <w:spacing w:after="160" w:line="259" w:lineRule="auto"/>
        <w:jc w:val="both"/>
        <w:rPr>
          <w:rFonts w:asciiTheme="majorHAnsi" w:hAnsiTheme="majorHAnsi" w:cstheme="majorHAnsi"/>
          <w:noProof/>
          <w:lang w:val="en-GB" w:eastAsia="en-GB"/>
        </w:rPr>
      </w:pPr>
      <w:r w:rsidRPr="007D1AD0">
        <w:rPr>
          <w:rFonts w:asciiTheme="majorHAnsi" w:hAnsiTheme="majorHAnsi" w:cstheme="majorHAnsi"/>
          <w:noProof/>
          <w:lang w:val="en-GB" w:eastAsia="en-GB"/>
        </w:rPr>
        <w:t xml:space="preserve">       Aspirin 300mg dispersibl</w:t>
      </w:r>
      <w:r>
        <w:rPr>
          <w:rFonts w:asciiTheme="majorHAnsi" w:hAnsiTheme="majorHAnsi" w:cstheme="majorHAnsi"/>
          <w:noProof/>
          <w:lang w:val="en-GB" w:eastAsia="en-GB"/>
        </w:rPr>
        <w:t>e (for a suspected MI)</w:t>
      </w:r>
    </w:p>
    <w:p w14:paraId="5DF6F582" w14:textId="77777777" w:rsidR="008B30FF" w:rsidRDefault="008B30FF" w:rsidP="008B30FF">
      <w:pPr>
        <w:pStyle w:val="ListParagraph"/>
        <w:numPr>
          <w:ilvl w:val="1"/>
          <w:numId w:val="5"/>
        </w:numPr>
        <w:spacing w:after="160" w:line="259" w:lineRule="auto"/>
        <w:jc w:val="both"/>
        <w:rPr>
          <w:rFonts w:asciiTheme="majorHAnsi" w:hAnsiTheme="majorHAnsi" w:cstheme="majorHAnsi"/>
          <w:noProof/>
          <w:lang w:val="en-GB" w:eastAsia="en-GB"/>
        </w:rPr>
      </w:pPr>
      <w:r w:rsidRPr="007D1AD0">
        <w:rPr>
          <w:rFonts w:asciiTheme="majorHAnsi" w:hAnsiTheme="majorHAnsi" w:cstheme="majorHAnsi"/>
          <w:noProof/>
          <w:lang w:val="en-GB" w:eastAsia="en-GB"/>
        </w:rPr>
        <w:t xml:space="preserve">Benzylpenicillin </w:t>
      </w:r>
      <w:r>
        <w:rPr>
          <w:rFonts w:asciiTheme="majorHAnsi" w:hAnsiTheme="majorHAnsi" w:cstheme="majorHAnsi"/>
          <w:noProof/>
          <w:lang w:val="en-GB" w:eastAsia="en-GB"/>
        </w:rPr>
        <w:t>(</w:t>
      </w:r>
      <w:r w:rsidRPr="007D1AD0">
        <w:rPr>
          <w:rFonts w:asciiTheme="majorHAnsi" w:hAnsiTheme="majorHAnsi" w:cstheme="majorHAnsi"/>
          <w:noProof/>
          <w:lang w:val="en-GB" w:eastAsia="en-GB"/>
        </w:rPr>
        <w:t>for suspected meningitis</w:t>
      </w:r>
      <w:r>
        <w:rPr>
          <w:rFonts w:asciiTheme="majorHAnsi" w:hAnsiTheme="majorHAnsi" w:cstheme="majorHAnsi"/>
          <w:noProof/>
          <w:lang w:val="en-GB" w:eastAsia="en-GB"/>
        </w:rPr>
        <w:t>)</w:t>
      </w:r>
    </w:p>
    <w:p w14:paraId="6635522B" w14:textId="77777777" w:rsidR="008B30FF" w:rsidRPr="007D1AD0" w:rsidRDefault="008B30FF" w:rsidP="008B30FF">
      <w:pPr>
        <w:pStyle w:val="ListParagraph"/>
        <w:numPr>
          <w:ilvl w:val="1"/>
          <w:numId w:val="5"/>
        </w:numPr>
        <w:spacing w:after="160" w:line="259" w:lineRule="auto"/>
        <w:jc w:val="both"/>
        <w:rPr>
          <w:rFonts w:asciiTheme="majorHAnsi" w:hAnsiTheme="majorHAnsi" w:cstheme="majorHAnsi"/>
          <w:noProof/>
          <w:lang w:val="en-GB" w:eastAsia="en-GB"/>
        </w:rPr>
      </w:pPr>
      <w:r>
        <w:rPr>
          <w:rFonts w:asciiTheme="majorHAnsi" w:hAnsiTheme="majorHAnsi" w:cstheme="majorHAnsi"/>
          <w:noProof/>
          <w:lang w:val="en-GB" w:eastAsia="en-GB"/>
        </w:rPr>
        <w:t>Salbutamol (for acute asthma)</w:t>
      </w:r>
      <w:r w:rsidRPr="007D1AD0">
        <w:rPr>
          <w:rFonts w:asciiTheme="majorHAnsi" w:hAnsiTheme="majorHAnsi" w:cstheme="majorHAnsi"/>
          <w:noProof/>
          <w:lang w:val="en-GB" w:eastAsia="en-GB"/>
        </w:rPr>
        <w:t xml:space="preserve"> </w:t>
      </w:r>
    </w:p>
    <w:p w14:paraId="269E2293" w14:textId="77777777" w:rsidR="008B30FF" w:rsidRPr="007D1AD0" w:rsidRDefault="008B30FF" w:rsidP="008B30FF">
      <w:pPr>
        <w:jc w:val="both"/>
        <w:rPr>
          <w:rFonts w:asciiTheme="majorHAnsi" w:hAnsiTheme="majorHAnsi" w:cstheme="majorHAnsi"/>
          <w:noProof/>
          <w:lang w:eastAsia="en-GB"/>
        </w:rPr>
      </w:pPr>
      <w:r w:rsidRPr="007D1AD0">
        <w:rPr>
          <w:rFonts w:asciiTheme="majorHAnsi" w:hAnsiTheme="majorHAnsi" w:cstheme="majorHAnsi"/>
          <w:noProof/>
          <w:lang w:eastAsia="en-GB"/>
        </w:rPr>
        <w:t xml:space="preserve">We don’t carry much else.  We triage all our visits so it would be very unusual to be visiting someone with severe asthma, MI, meningitis.  In addition, the ambulance team provide a speedy service to the hospital which is only 4 miles away.  </w:t>
      </w:r>
    </w:p>
    <w:p w14:paraId="1BA12AE9" w14:textId="77777777" w:rsidR="008B30FF" w:rsidRDefault="008B30FF" w:rsidP="008B30FF">
      <w:pPr>
        <w:jc w:val="both"/>
        <w:rPr>
          <w:rFonts w:asciiTheme="majorHAnsi" w:hAnsiTheme="majorHAnsi" w:cstheme="majorHAnsi"/>
          <w:noProof/>
          <w:lang w:eastAsia="en-GB"/>
        </w:rPr>
      </w:pPr>
      <w:r w:rsidRPr="007D1AD0">
        <w:rPr>
          <w:rFonts w:asciiTheme="majorHAnsi" w:hAnsiTheme="majorHAnsi" w:cstheme="majorHAnsi"/>
          <w:noProof/>
          <w:lang w:eastAsia="en-GB"/>
        </w:rPr>
        <w:t>We do not carry adrenaline because it has a v short half-life (therefore has to be renewed frequently) and is very rarely required in the primary care setting.  Adrenaline is, however, available in the practice’s Emergency Drugs cupboard.</w:t>
      </w:r>
    </w:p>
    <w:p w14:paraId="78013F55" w14:textId="3F9437E0" w:rsidR="00342597" w:rsidRPr="008B30FF" w:rsidRDefault="008B30FF" w:rsidP="008B30FF">
      <w:pPr>
        <w:jc w:val="center"/>
        <w:rPr>
          <w:rFonts w:asciiTheme="majorHAnsi" w:hAnsiTheme="majorHAnsi" w:cstheme="majorHAnsi"/>
          <w:noProof/>
          <w:lang w:eastAsia="en-GB"/>
        </w:rPr>
      </w:pPr>
      <w:r w:rsidRPr="007D1AD0">
        <w:rPr>
          <w:rFonts w:asciiTheme="majorHAnsi" w:hAnsiTheme="majorHAnsi" w:cstheme="majorHAnsi"/>
          <w:b/>
          <w:bCs/>
          <w:noProof/>
          <w:color w:val="FF0000"/>
          <w:lang w:eastAsia="en-GB"/>
        </w:rPr>
        <w:t>This is the time to check that all the drugs in your doctor’s bag are up to date and that all the medical equipment is there.</w:t>
      </w:r>
    </w:p>
    <w:sectPr w:rsidR="00342597" w:rsidRPr="008B30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2F4A8E"/>
    <w:multiLevelType w:val="hybridMultilevel"/>
    <w:tmpl w:val="F12E14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6831E0"/>
    <w:multiLevelType w:val="hybridMultilevel"/>
    <w:tmpl w:val="A92EB834"/>
    <w:lvl w:ilvl="0" w:tplc="A0927AD0">
      <w:numFmt w:val="bullet"/>
      <w:lvlText w:val="•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50068F"/>
    <w:multiLevelType w:val="hybridMultilevel"/>
    <w:tmpl w:val="8B0CC434"/>
    <w:lvl w:ilvl="0" w:tplc="A0927AD0">
      <w:numFmt w:val="bullet"/>
      <w:lvlText w:val="•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FF6246"/>
    <w:multiLevelType w:val="hybridMultilevel"/>
    <w:tmpl w:val="E95E7334"/>
    <w:lvl w:ilvl="0" w:tplc="A0927AD0">
      <w:numFmt w:val="bullet"/>
      <w:lvlText w:val="•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2E00BE"/>
    <w:multiLevelType w:val="hybridMultilevel"/>
    <w:tmpl w:val="631202D8"/>
    <w:lvl w:ilvl="0" w:tplc="A0927AD0">
      <w:numFmt w:val="bullet"/>
      <w:lvlText w:val="•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277D4A"/>
    <w:multiLevelType w:val="hybridMultilevel"/>
    <w:tmpl w:val="CD387946"/>
    <w:lvl w:ilvl="0" w:tplc="08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DFB228CE">
      <w:start w:val="1"/>
      <w:numFmt w:val="decimal"/>
      <w:lvlText w:val="%2."/>
      <w:lvlJc w:val="left"/>
      <w:pPr>
        <w:ind w:left="1800" w:hanging="72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07D4247"/>
    <w:multiLevelType w:val="hybridMultilevel"/>
    <w:tmpl w:val="A3CA2A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5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AD1"/>
    <w:rsid w:val="00342597"/>
    <w:rsid w:val="004B4AD1"/>
    <w:rsid w:val="008B3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575595"/>
  <w15:chartTrackingRefBased/>
  <w15:docId w15:val="{18E990F8-030C-47EF-85E8-2B2B45C25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30FF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4AD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B4AD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4B4AD1"/>
    <w:pPr>
      <w:spacing w:after="200" w:line="276" w:lineRule="auto"/>
      <w:ind w:left="720"/>
      <w:contextualSpacing/>
    </w:pPr>
    <w:rPr>
      <w:rFonts w:eastAsiaTheme="minorEastAsia"/>
      <w:color w:val="595959" w:themeColor="text1" w:themeTint="A6"/>
      <w:lang w:val="en-US" w:eastAsia="ja-JP"/>
    </w:rPr>
  </w:style>
  <w:style w:type="table" w:styleId="TableGrid">
    <w:name w:val="Table Grid"/>
    <w:basedOn w:val="TableNormal"/>
    <w:uiPriority w:val="39"/>
    <w:rsid w:val="008B30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291</Words>
  <Characters>1660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2019-08-16T12:13:00Z</dcterms:created>
  <dcterms:modified xsi:type="dcterms:W3CDTF">2019-08-16T12:13:00Z</dcterms:modified>
</cp:coreProperties>
</file>