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015FAB" w14:textId="77777777" w:rsidR="001070E2" w:rsidRPr="009A2DA1" w:rsidRDefault="001070E2" w:rsidP="001070E2">
      <w:pPr>
        <w:pStyle w:val="Heading2"/>
        <w:rPr>
          <w:rFonts w:asciiTheme="minorHAnsi" w:hAnsiTheme="minorHAnsi" w:cstheme="minorHAnsi"/>
          <w:b/>
          <w:bCs/>
          <w:color w:val="0070C0"/>
          <w:sz w:val="40"/>
          <w:szCs w:val="40"/>
        </w:rPr>
      </w:pPr>
      <w:bookmarkStart w:id="0" w:name="_Toc16640162"/>
      <w:r w:rsidRPr="000C3B66">
        <w:rPr>
          <w:rFonts w:asciiTheme="minorHAnsi" w:hAnsiTheme="minorHAnsi" w:cstheme="minorHAnsi"/>
          <w:b/>
          <w:bCs/>
          <w:color w:val="0070C0"/>
          <w:sz w:val="40"/>
          <w:szCs w:val="40"/>
        </w:rPr>
        <w:t>Which Consultation Book?</w:t>
      </w:r>
      <w:bookmarkEnd w:id="0"/>
    </w:p>
    <w:p w14:paraId="50C01D7A" w14:textId="77777777" w:rsidR="001070E2" w:rsidRDefault="001070E2" w:rsidP="001070E2">
      <w:pPr>
        <w:spacing w:after="70"/>
        <w:rPr>
          <w:rFonts w:ascii="Arial" w:hAnsi="Arial" w:cs="Arial"/>
          <w:b/>
          <w:i/>
          <w:color w:val="00B0F0"/>
        </w:rPr>
      </w:pPr>
    </w:p>
    <w:p w14:paraId="7537C2FC" w14:textId="77777777" w:rsidR="001070E2" w:rsidRPr="009A2DA1" w:rsidRDefault="001070E2" w:rsidP="001070E2">
      <w:pPr>
        <w:spacing w:after="70"/>
        <w:rPr>
          <w:rFonts w:ascii="Arial" w:hAnsi="Arial" w:cs="Arial"/>
          <w:b/>
          <w:iCs/>
          <w:color w:val="00B0F0"/>
        </w:rPr>
      </w:pPr>
      <w:r w:rsidRPr="009A2DA1">
        <w:rPr>
          <w:rFonts w:ascii="Arial" w:hAnsi="Arial" w:cs="Arial"/>
          <w:b/>
          <w:iCs/>
          <w:color w:val="00B0F0"/>
        </w:rPr>
        <w:t>Consultation Models &amp; Consultation Books</w:t>
      </w:r>
    </w:p>
    <w:p w14:paraId="77402C70" w14:textId="77777777" w:rsidR="001070E2" w:rsidRPr="009A2DA1" w:rsidRDefault="001070E2" w:rsidP="001070E2">
      <w:pPr>
        <w:spacing w:after="70"/>
        <w:jc w:val="both"/>
        <w:rPr>
          <w:rFonts w:asciiTheme="majorHAnsi" w:hAnsiTheme="majorHAnsi" w:cstheme="majorHAnsi"/>
        </w:rPr>
      </w:pPr>
      <w:r w:rsidRPr="009A2DA1">
        <w:rPr>
          <w:rFonts w:asciiTheme="majorHAnsi" w:hAnsiTheme="majorHAnsi" w:cstheme="majorHAnsi"/>
        </w:rPr>
        <w:t xml:space="preserve">As a new GP trainee, you’ve probably never thought about consultation models before.   Perhaps you’ve come from a hospital setting where the traditional biomedical framework is the only consultation structure you’ve followed since medical school days.   A biomedical framework relies on taking a History, Examination, Diagnosis and Management (in that order), with the patient only talking when inviting to do so and the management being dictated by the doctor whilst the patient obediently sits downs, keeps quiet, listens and obeys.  </w:t>
      </w:r>
    </w:p>
    <w:p w14:paraId="73F5BE4B" w14:textId="77777777" w:rsidR="001070E2" w:rsidRDefault="001070E2" w:rsidP="001070E2">
      <w:pPr>
        <w:spacing w:after="70"/>
        <w:jc w:val="both"/>
      </w:pPr>
    </w:p>
    <w:p w14:paraId="35923BF5" w14:textId="77777777" w:rsidR="001070E2" w:rsidRDefault="001070E2" w:rsidP="001070E2">
      <w:pPr>
        <w:spacing w:after="70"/>
        <w:jc w:val="both"/>
      </w:pPr>
      <w:r>
        <w:t>The general practice consultation usually involves a model…</w:t>
      </w:r>
    </w:p>
    <w:p w14:paraId="4612F175" w14:textId="77777777" w:rsidR="001070E2" w:rsidRDefault="001070E2" w:rsidP="001070E2">
      <w:pPr>
        <w:pStyle w:val="ListParagraph"/>
        <w:numPr>
          <w:ilvl w:val="0"/>
          <w:numId w:val="25"/>
        </w:numPr>
        <w:spacing w:after="70"/>
        <w:jc w:val="both"/>
      </w:pPr>
      <w:r>
        <w:t>that is more balanced in terms of doctor-</w:t>
      </w:r>
      <w:proofErr w:type="spellStart"/>
      <w:r>
        <w:t>centredness</w:t>
      </w:r>
      <w:proofErr w:type="spellEnd"/>
      <w:r>
        <w:t xml:space="preserve"> and patient-</w:t>
      </w:r>
      <w:proofErr w:type="spellStart"/>
      <w:r>
        <w:t>centredness</w:t>
      </w:r>
      <w:proofErr w:type="spellEnd"/>
    </w:p>
    <w:p w14:paraId="5FC5EBF8" w14:textId="77777777" w:rsidR="001070E2" w:rsidRDefault="001070E2" w:rsidP="001070E2">
      <w:pPr>
        <w:pStyle w:val="ListParagraph"/>
        <w:numPr>
          <w:ilvl w:val="0"/>
          <w:numId w:val="25"/>
        </w:numPr>
        <w:spacing w:after="70"/>
        <w:jc w:val="both"/>
      </w:pPr>
      <w:r>
        <w:t>where the conversation is more natural and flowing; where what one party says depends on what the other party has said and vice versa.</w:t>
      </w:r>
    </w:p>
    <w:p w14:paraId="46FA7A76" w14:textId="77777777" w:rsidR="001070E2" w:rsidRDefault="001070E2" w:rsidP="001070E2">
      <w:pPr>
        <w:pStyle w:val="ListParagraph"/>
        <w:numPr>
          <w:ilvl w:val="0"/>
          <w:numId w:val="25"/>
        </w:numPr>
        <w:spacing w:after="70"/>
        <w:jc w:val="both"/>
      </w:pPr>
      <w:r>
        <w:t>where what both parties say is valued and respected</w:t>
      </w:r>
    </w:p>
    <w:p w14:paraId="1238D3E4" w14:textId="77777777" w:rsidR="001070E2" w:rsidRDefault="001070E2" w:rsidP="001070E2">
      <w:pPr>
        <w:pStyle w:val="ListParagraph"/>
        <w:numPr>
          <w:ilvl w:val="0"/>
          <w:numId w:val="25"/>
        </w:numPr>
        <w:spacing w:after="70"/>
        <w:jc w:val="both"/>
      </w:pPr>
      <w:r>
        <w:t xml:space="preserve">that is more equal and less hierarchical </w:t>
      </w:r>
    </w:p>
    <w:p w14:paraId="29258F32" w14:textId="77777777" w:rsidR="001070E2" w:rsidRDefault="001070E2" w:rsidP="001070E2">
      <w:pPr>
        <w:spacing w:after="70"/>
        <w:jc w:val="both"/>
      </w:pPr>
    </w:p>
    <w:p w14:paraId="20F341F0" w14:textId="77777777" w:rsidR="001070E2" w:rsidRPr="009A2DA1" w:rsidRDefault="001070E2" w:rsidP="001070E2">
      <w:pPr>
        <w:spacing w:after="70"/>
        <w:jc w:val="both"/>
        <w:rPr>
          <w:rFonts w:asciiTheme="majorHAnsi" w:hAnsiTheme="majorHAnsi" w:cstheme="majorHAnsi"/>
        </w:rPr>
      </w:pPr>
      <w:r w:rsidRPr="009A2DA1">
        <w:rPr>
          <w:rFonts w:asciiTheme="majorHAnsi" w:hAnsiTheme="majorHAnsi" w:cstheme="majorHAnsi"/>
        </w:rPr>
        <w:t xml:space="preserve">Why is this important?  Whilst the doctor may be the ‘expert’ (or semi-expert) of Clinical Medicine, the patient is the ‘expert’ of his or her own life and their experience of the illness.    It is the effect of a disease on a patient’s life </w:t>
      </w:r>
      <w:proofErr w:type="gramStart"/>
      <w:r w:rsidRPr="009A2DA1">
        <w:rPr>
          <w:rFonts w:asciiTheme="majorHAnsi" w:hAnsiTheme="majorHAnsi" w:cstheme="majorHAnsi"/>
        </w:rPr>
        <w:t>( =</w:t>
      </w:r>
      <w:proofErr w:type="gramEnd"/>
      <w:r w:rsidRPr="009A2DA1">
        <w:rPr>
          <w:rFonts w:asciiTheme="majorHAnsi" w:hAnsiTheme="majorHAnsi" w:cstheme="majorHAnsi"/>
        </w:rPr>
        <w:t xml:space="preserve"> the ‘illness’) which can powerfully aid the accuracy of the diagnostic and management process. </w:t>
      </w:r>
    </w:p>
    <w:p w14:paraId="2F3566AF" w14:textId="77777777" w:rsidR="001070E2" w:rsidRPr="009A2DA1" w:rsidRDefault="001070E2" w:rsidP="001070E2">
      <w:pPr>
        <w:spacing w:after="70"/>
        <w:jc w:val="both"/>
        <w:rPr>
          <w:rFonts w:asciiTheme="majorHAnsi" w:hAnsiTheme="majorHAnsi" w:cstheme="majorHAnsi"/>
        </w:rPr>
      </w:pPr>
      <w:r w:rsidRPr="009A2DA1">
        <w:rPr>
          <w:rFonts w:asciiTheme="majorHAnsi" w:hAnsiTheme="majorHAnsi" w:cstheme="majorHAnsi"/>
        </w:rPr>
        <w:t>Moving over to this more holistic approach will take time but it is important that you start working on it early (as it is heavily tested in the CSA exam).  Reading some theory before putting things into action is probably the first active step you will need to make.  This means investing in a book teaching about the consultation.   Here are some suggestions.</w:t>
      </w:r>
    </w:p>
    <w:p w14:paraId="2EB120E4" w14:textId="77777777" w:rsidR="001070E2" w:rsidRDefault="001070E2" w:rsidP="001070E2">
      <w:pPr>
        <w:spacing w:after="70"/>
        <w:jc w:val="both"/>
      </w:pPr>
    </w:p>
    <w:tbl>
      <w:tblPr>
        <w:tblStyle w:val="TableGrid"/>
        <w:tblW w:w="0" w:type="auto"/>
        <w:tblBorders>
          <w:top w:val="dotted" w:sz="4" w:space="0" w:color="auto"/>
          <w:left w:val="none" w:sz="0" w:space="0" w:color="auto"/>
          <w:bottom w:val="dotted" w:sz="4" w:space="0" w:color="auto"/>
          <w:right w:val="none" w:sz="0" w:space="0" w:color="auto"/>
          <w:insideH w:val="dotted" w:sz="4" w:space="0" w:color="auto"/>
          <w:insideV w:val="dotted" w:sz="4" w:space="0" w:color="auto"/>
        </w:tblBorders>
        <w:tblLook w:val="04A0" w:firstRow="1" w:lastRow="0" w:firstColumn="1" w:lastColumn="0" w:noHBand="0" w:noVBand="1"/>
      </w:tblPr>
      <w:tblGrid>
        <w:gridCol w:w="9016"/>
      </w:tblGrid>
      <w:tr w:rsidR="001070E2" w14:paraId="0D058141" w14:textId="77777777" w:rsidTr="003B14BF">
        <w:tc>
          <w:tcPr>
            <w:tcW w:w="9016" w:type="dxa"/>
          </w:tcPr>
          <w:p w14:paraId="5C479215" w14:textId="77777777" w:rsidR="001070E2" w:rsidRDefault="001070E2" w:rsidP="003B14BF">
            <w:pPr>
              <w:spacing w:after="70"/>
              <w:jc w:val="center"/>
            </w:pPr>
            <w:r>
              <w:t xml:space="preserve">A selection of books </w:t>
            </w:r>
            <w:proofErr w:type="gramStart"/>
            <w:r>
              <w:t>are</w:t>
            </w:r>
            <w:proofErr w:type="gramEnd"/>
            <w:r>
              <w:t xml:space="preserve"> available at </w:t>
            </w:r>
          </w:p>
          <w:p w14:paraId="40BC25DE" w14:textId="77777777" w:rsidR="001070E2" w:rsidRDefault="001070E2" w:rsidP="003B14BF">
            <w:pPr>
              <w:spacing w:after="70"/>
              <w:jc w:val="center"/>
            </w:pPr>
            <w:hyperlink r:id="rId5" w:history="1">
              <w:r w:rsidRPr="002A2A86">
                <w:rPr>
                  <w:rStyle w:val="Hyperlink"/>
                </w:rPr>
                <w:t>www.thedoctorshop.co.uk</w:t>
              </w:r>
            </w:hyperlink>
            <w:r>
              <w:t xml:space="preserve"> &gt; Medical Books &gt; Books on the Consultation</w:t>
            </w:r>
          </w:p>
        </w:tc>
      </w:tr>
    </w:tbl>
    <w:p w14:paraId="273C58A8" w14:textId="77777777" w:rsidR="001070E2" w:rsidRDefault="001070E2" w:rsidP="001070E2">
      <w:pPr>
        <w:spacing w:after="70"/>
        <w:jc w:val="both"/>
      </w:pPr>
    </w:p>
    <w:p w14:paraId="5121E7CB" w14:textId="77777777" w:rsidR="001070E2" w:rsidRPr="009A2DA1" w:rsidRDefault="001070E2" w:rsidP="001070E2">
      <w:pPr>
        <w:spacing w:after="70"/>
        <w:jc w:val="both"/>
        <w:rPr>
          <w:rFonts w:ascii="Arial" w:hAnsi="Arial" w:cs="Arial"/>
          <w:b/>
          <w:bCs/>
          <w:color w:val="00B0F0"/>
        </w:rPr>
      </w:pPr>
      <w:r w:rsidRPr="009A2DA1">
        <w:rPr>
          <w:rFonts w:ascii="Arial" w:hAnsi="Arial" w:cs="Arial"/>
          <w:b/>
          <w:bCs/>
          <w:color w:val="00B0F0"/>
        </w:rPr>
        <w:t>If you are an ST1, consider reading</w:t>
      </w:r>
    </w:p>
    <w:p w14:paraId="1CC62A85" w14:textId="77777777" w:rsidR="001070E2" w:rsidRDefault="001070E2" w:rsidP="001070E2">
      <w:pPr>
        <w:pStyle w:val="ListParagraph"/>
        <w:numPr>
          <w:ilvl w:val="0"/>
          <w:numId w:val="27"/>
        </w:numPr>
        <w:spacing w:after="70"/>
        <w:jc w:val="both"/>
      </w:pPr>
      <w:r w:rsidRPr="009A2DA1">
        <w:rPr>
          <w:i/>
        </w:rPr>
        <w:t>The Inner Consultation</w:t>
      </w:r>
      <w:r>
        <w:t xml:space="preserve"> by Roger Neighbour.</w:t>
      </w:r>
    </w:p>
    <w:p w14:paraId="7959E6A3" w14:textId="77777777" w:rsidR="001070E2" w:rsidRDefault="001070E2" w:rsidP="001070E2">
      <w:pPr>
        <w:pStyle w:val="ListParagraph"/>
        <w:numPr>
          <w:ilvl w:val="0"/>
          <w:numId w:val="27"/>
        </w:numPr>
        <w:spacing w:after="70"/>
        <w:jc w:val="both"/>
      </w:pPr>
      <w:r w:rsidRPr="009A2DA1">
        <w:rPr>
          <w:i/>
        </w:rPr>
        <w:t>The New Consultation</w:t>
      </w:r>
      <w:r>
        <w:t xml:space="preserve"> by Pendleton, Schofield, Tate &amp; Havelock.</w:t>
      </w:r>
    </w:p>
    <w:p w14:paraId="08F1EF82" w14:textId="77777777" w:rsidR="001070E2" w:rsidRDefault="001070E2" w:rsidP="001070E2">
      <w:pPr>
        <w:pStyle w:val="ListParagraph"/>
        <w:numPr>
          <w:ilvl w:val="0"/>
          <w:numId w:val="27"/>
        </w:numPr>
        <w:spacing w:after="70"/>
        <w:jc w:val="both"/>
      </w:pPr>
      <w:r w:rsidRPr="003355A8">
        <w:rPr>
          <w:i/>
        </w:rPr>
        <w:t>The Naked Consultation</w:t>
      </w:r>
      <w:r>
        <w:t xml:space="preserve"> by Liz Moulton</w:t>
      </w:r>
    </w:p>
    <w:p w14:paraId="447DFE1B" w14:textId="77777777" w:rsidR="001070E2" w:rsidRDefault="001070E2" w:rsidP="001070E2">
      <w:pPr>
        <w:spacing w:after="70"/>
        <w:jc w:val="both"/>
      </w:pPr>
    </w:p>
    <w:p w14:paraId="308A2E45" w14:textId="77777777" w:rsidR="001070E2" w:rsidRPr="009A2DA1" w:rsidRDefault="001070E2" w:rsidP="001070E2">
      <w:pPr>
        <w:spacing w:after="70"/>
        <w:jc w:val="both"/>
        <w:rPr>
          <w:rFonts w:ascii="Arial" w:hAnsi="Arial" w:cs="Arial"/>
          <w:b/>
          <w:bCs/>
          <w:color w:val="00B0F0"/>
        </w:rPr>
      </w:pPr>
      <w:r w:rsidRPr="009A2DA1">
        <w:rPr>
          <w:rFonts w:ascii="Arial" w:hAnsi="Arial" w:cs="Arial"/>
          <w:b/>
          <w:bCs/>
          <w:color w:val="00B0F0"/>
        </w:rPr>
        <w:t xml:space="preserve">If you’re an ST3, consider reading </w:t>
      </w:r>
    </w:p>
    <w:p w14:paraId="401DEC73" w14:textId="77777777" w:rsidR="001070E2" w:rsidRDefault="001070E2" w:rsidP="001070E2">
      <w:pPr>
        <w:pStyle w:val="ListParagraph"/>
        <w:numPr>
          <w:ilvl w:val="0"/>
          <w:numId w:val="26"/>
        </w:numPr>
        <w:spacing w:after="70"/>
        <w:jc w:val="both"/>
      </w:pPr>
      <w:r w:rsidRPr="003355A8">
        <w:rPr>
          <w:i/>
        </w:rPr>
        <w:t>Skills for Communicating with Patients</w:t>
      </w:r>
      <w:r>
        <w:t xml:space="preserve"> by Silverman et </w:t>
      </w:r>
      <w:proofErr w:type="gramStart"/>
      <w:r>
        <w:t xml:space="preserve">al  </w:t>
      </w:r>
      <w:r w:rsidRPr="009A2DA1">
        <w:rPr>
          <w:i/>
          <w:iCs/>
          <w:sz w:val="20"/>
          <w:szCs w:val="20"/>
        </w:rPr>
        <w:t>(</w:t>
      </w:r>
      <w:proofErr w:type="gramEnd"/>
      <w:r w:rsidRPr="009A2DA1">
        <w:rPr>
          <w:i/>
          <w:iCs/>
          <w:sz w:val="20"/>
          <w:szCs w:val="20"/>
        </w:rPr>
        <w:t>we are particularly fond of this book)</w:t>
      </w:r>
    </w:p>
    <w:p w14:paraId="5704DA62" w14:textId="77777777" w:rsidR="001070E2" w:rsidRDefault="001070E2" w:rsidP="001070E2">
      <w:pPr>
        <w:pStyle w:val="ListParagraph"/>
        <w:numPr>
          <w:ilvl w:val="0"/>
          <w:numId w:val="26"/>
        </w:numPr>
        <w:spacing w:after="70"/>
        <w:jc w:val="both"/>
      </w:pPr>
      <w:r w:rsidRPr="003355A8">
        <w:rPr>
          <w:i/>
        </w:rPr>
        <w:t>The Naked Consultation</w:t>
      </w:r>
      <w:r>
        <w:t xml:space="preserve"> by Liz Moulton</w:t>
      </w:r>
      <w:proofErr w:type="gramStart"/>
      <w:r>
        <w:t xml:space="preserve">   </w:t>
      </w:r>
      <w:r w:rsidRPr="00FE40F9">
        <w:rPr>
          <w:i/>
          <w:iCs/>
          <w:sz w:val="20"/>
          <w:szCs w:val="20"/>
        </w:rPr>
        <w:t>(</w:t>
      </w:r>
      <w:proofErr w:type="gramEnd"/>
      <w:r w:rsidRPr="00FE40F9">
        <w:rPr>
          <w:i/>
          <w:iCs/>
          <w:sz w:val="20"/>
          <w:szCs w:val="20"/>
        </w:rPr>
        <w:t>some wonderful scenarios and how to handle them)</w:t>
      </w:r>
    </w:p>
    <w:p w14:paraId="703ABCF0" w14:textId="77777777" w:rsidR="001070E2" w:rsidRDefault="001070E2" w:rsidP="001070E2">
      <w:pPr>
        <w:spacing w:after="70"/>
      </w:pPr>
    </w:p>
    <w:p w14:paraId="78013F55" w14:textId="1043AED9" w:rsidR="00342597" w:rsidRPr="001070E2" w:rsidRDefault="00342597" w:rsidP="001070E2">
      <w:bookmarkStart w:id="1" w:name="_GoBack"/>
      <w:bookmarkEnd w:id="1"/>
    </w:p>
    <w:sectPr w:rsidR="00342597" w:rsidRPr="001070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82AE9"/>
    <w:multiLevelType w:val="hybridMultilevel"/>
    <w:tmpl w:val="440E476A"/>
    <w:lvl w:ilvl="0" w:tplc="2966A0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130951"/>
    <w:multiLevelType w:val="hybridMultilevel"/>
    <w:tmpl w:val="49C2EDC0"/>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2F4A8E"/>
    <w:multiLevelType w:val="hybridMultilevel"/>
    <w:tmpl w:val="F12E1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474D11"/>
    <w:multiLevelType w:val="hybridMultilevel"/>
    <w:tmpl w:val="A85AF940"/>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251DB6"/>
    <w:multiLevelType w:val="hybridMultilevel"/>
    <w:tmpl w:val="1D62A928"/>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065C04"/>
    <w:multiLevelType w:val="hybridMultilevel"/>
    <w:tmpl w:val="9C12F37C"/>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C40E01"/>
    <w:multiLevelType w:val="hybridMultilevel"/>
    <w:tmpl w:val="BF4EC6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6831E0"/>
    <w:multiLevelType w:val="hybridMultilevel"/>
    <w:tmpl w:val="A92EB8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DF1DCD"/>
    <w:multiLevelType w:val="hybridMultilevel"/>
    <w:tmpl w:val="F67EDA96"/>
    <w:lvl w:ilvl="0" w:tplc="4352FA3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50068F"/>
    <w:multiLevelType w:val="hybridMultilevel"/>
    <w:tmpl w:val="8B0CC4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D111CA"/>
    <w:multiLevelType w:val="hybridMultilevel"/>
    <w:tmpl w:val="58A8ABCC"/>
    <w:lvl w:ilvl="0" w:tplc="E1A401CA">
      <w:numFmt w:val="bullet"/>
      <w:lvlText w:val="-"/>
      <w:lvlJc w:val="left"/>
      <w:pPr>
        <w:ind w:left="2160" w:hanging="360"/>
      </w:pPr>
      <w:rPr>
        <w:rFonts w:ascii="Calibri" w:eastAsia="Calibri" w:hAnsi="Calibri" w:cs="Calibri"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BFF6246"/>
    <w:multiLevelType w:val="hybridMultilevel"/>
    <w:tmpl w:val="E95E73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EA743CB"/>
    <w:multiLevelType w:val="hybridMultilevel"/>
    <w:tmpl w:val="0688CB28"/>
    <w:lvl w:ilvl="0" w:tplc="4352FA3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783D53"/>
    <w:multiLevelType w:val="hybridMultilevel"/>
    <w:tmpl w:val="D90E9B74"/>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CFB6F30"/>
    <w:multiLevelType w:val="hybridMultilevel"/>
    <w:tmpl w:val="BF06D4CA"/>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FB93699"/>
    <w:multiLevelType w:val="hybridMultilevel"/>
    <w:tmpl w:val="6D584CF4"/>
    <w:lvl w:ilvl="0" w:tplc="4352FA3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0C0A9B"/>
    <w:multiLevelType w:val="hybridMultilevel"/>
    <w:tmpl w:val="39561B4C"/>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2E00BE"/>
    <w:multiLevelType w:val="hybridMultilevel"/>
    <w:tmpl w:val="631202D8"/>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3201E63"/>
    <w:multiLevelType w:val="multilevel"/>
    <w:tmpl w:val="AA029FC0"/>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Calibri Light" w:eastAsiaTheme="minorHAnsi" w:hAnsi="Calibri Light" w:cs="Calibri Light"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3DC2CBC"/>
    <w:multiLevelType w:val="hybridMultilevel"/>
    <w:tmpl w:val="E99CB8D8"/>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7277D4A"/>
    <w:multiLevelType w:val="hybridMultilevel"/>
    <w:tmpl w:val="CD387946"/>
    <w:lvl w:ilvl="0" w:tplc="0809001B">
      <w:start w:val="1"/>
      <w:numFmt w:val="lowerRoman"/>
      <w:lvlText w:val="%1."/>
      <w:lvlJc w:val="right"/>
      <w:pPr>
        <w:ind w:left="720" w:hanging="360"/>
      </w:pPr>
      <w:rPr>
        <w:rFonts w:hint="default"/>
      </w:rPr>
    </w:lvl>
    <w:lvl w:ilvl="1" w:tplc="DFB228CE">
      <w:start w:val="1"/>
      <w:numFmt w:val="decimal"/>
      <w:lvlText w:val="%2."/>
      <w:lvlJc w:val="left"/>
      <w:pPr>
        <w:ind w:left="1800" w:hanging="72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E02370"/>
    <w:multiLevelType w:val="hybridMultilevel"/>
    <w:tmpl w:val="F4FC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A407300"/>
    <w:multiLevelType w:val="hybridMultilevel"/>
    <w:tmpl w:val="4EC2C838"/>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E0C0C2E"/>
    <w:multiLevelType w:val="hybridMultilevel"/>
    <w:tmpl w:val="E96EAF2A"/>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07D4247"/>
    <w:multiLevelType w:val="hybridMultilevel"/>
    <w:tmpl w:val="A3CA2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0D4547"/>
    <w:multiLevelType w:val="hybridMultilevel"/>
    <w:tmpl w:val="9544FE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CA056C5"/>
    <w:multiLevelType w:val="hybridMultilevel"/>
    <w:tmpl w:val="06B6AE66"/>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17"/>
  </w:num>
  <w:num w:numId="4">
    <w:abstractNumId w:val="7"/>
  </w:num>
  <w:num w:numId="5">
    <w:abstractNumId w:val="20"/>
  </w:num>
  <w:num w:numId="6">
    <w:abstractNumId w:val="24"/>
  </w:num>
  <w:num w:numId="7">
    <w:abstractNumId w:val="2"/>
  </w:num>
  <w:num w:numId="8">
    <w:abstractNumId w:val="21"/>
  </w:num>
  <w:num w:numId="9">
    <w:abstractNumId w:val="16"/>
  </w:num>
  <w:num w:numId="10">
    <w:abstractNumId w:val="12"/>
  </w:num>
  <w:num w:numId="11">
    <w:abstractNumId w:val="13"/>
  </w:num>
  <w:num w:numId="12">
    <w:abstractNumId w:val="23"/>
  </w:num>
  <w:num w:numId="13">
    <w:abstractNumId w:val="26"/>
  </w:num>
  <w:num w:numId="14">
    <w:abstractNumId w:val="3"/>
  </w:num>
  <w:num w:numId="15">
    <w:abstractNumId w:val="8"/>
  </w:num>
  <w:num w:numId="16">
    <w:abstractNumId w:val="4"/>
  </w:num>
  <w:num w:numId="17">
    <w:abstractNumId w:val="15"/>
  </w:num>
  <w:num w:numId="18">
    <w:abstractNumId w:val="19"/>
  </w:num>
  <w:num w:numId="19">
    <w:abstractNumId w:val="14"/>
  </w:num>
  <w:num w:numId="20">
    <w:abstractNumId w:val="1"/>
  </w:num>
  <w:num w:numId="21">
    <w:abstractNumId w:val="22"/>
  </w:num>
  <w:num w:numId="22">
    <w:abstractNumId w:val="10"/>
  </w:num>
  <w:num w:numId="23">
    <w:abstractNumId w:val="18"/>
  </w:num>
  <w:num w:numId="24">
    <w:abstractNumId w:val="25"/>
  </w:num>
  <w:num w:numId="25">
    <w:abstractNumId w:val="5"/>
  </w:num>
  <w:num w:numId="26">
    <w:abstractNumId w:val="6"/>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644C"/>
    <w:rsid w:val="001070E2"/>
    <w:rsid w:val="00342597"/>
    <w:rsid w:val="004B4AD1"/>
    <w:rsid w:val="008B30FF"/>
    <w:rsid w:val="008E3C2E"/>
    <w:rsid w:val="00CB3A4C"/>
    <w:rsid w:val="00DF26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0E2"/>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hedoctorshop.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334</Words>
  <Characters>1907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2019-08-16T12:17:00Z</dcterms:created>
  <dcterms:modified xsi:type="dcterms:W3CDTF">2019-08-16T12:17:00Z</dcterms:modified>
</cp:coreProperties>
</file>