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E1CAD6" w14:textId="77777777" w:rsidR="00395099" w:rsidRDefault="00395099" w:rsidP="00395099">
      <w:pPr>
        <w:pStyle w:val="Heading2"/>
        <w:rPr>
          <w:rFonts w:asciiTheme="minorHAnsi" w:hAnsiTheme="minorHAnsi" w:cstheme="minorHAnsi"/>
          <w:b/>
          <w:bCs/>
          <w:color w:val="0070C0"/>
          <w:sz w:val="40"/>
          <w:szCs w:val="40"/>
        </w:rPr>
      </w:pPr>
      <w:bookmarkStart w:id="0" w:name="_Toc16640181"/>
      <w:r>
        <w:rPr>
          <w:rFonts w:asciiTheme="minorHAnsi" w:hAnsiTheme="minorHAnsi" w:cstheme="minorHAnsi"/>
          <w:b/>
          <w:bCs/>
          <w:color w:val="0070C0"/>
          <w:sz w:val="40"/>
          <w:szCs w:val="40"/>
        </w:rPr>
        <w:t>Management Options – RAPRIOP</w:t>
      </w:r>
      <w:bookmarkEnd w:id="0"/>
    </w:p>
    <w:p w14:paraId="652F1D53" w14:textId="77777777" w:rsidR="00395099" w:rsidRDefault="00395099" w:rsidP="00395099">
      <w:pPr>
        <w:spacing w:after="0" w:line="240" w:lineRule="auto"/>
        <w:jc w:val="both"/>
        <w:rPr>
          <w:rFonts w:asciiTheme="majorHAnsi" w:hAnsiTheme="majorHAnsi" w:cstheme="majorHAnsi"/>
        </w:rPr>
      </w:pPr>
      <w:r>
        <w:rPr>
          <w:rFonts w:asciiTheme="majorHAnsi" w:hAnsiTheme="majorHAnsi" w:cstheme="majorHAnsi"/>
        </w:rPr>
        <w:t>Being a doctor is not just about giving pills, referring for tests or surgery.  There are lots of things you can do.  Use RAPRIOP to remind you of the options available to you, especially when you’re stuck.</w:t>
      </w:r>
    </w:p>
    <w:p w14:paraId="5B84F216" w14:textId="77777777" w:rsidR="00395099" w:rsidRDefault="00395099" w:rsidP="00395099">
      <w:pPr>
        <w:spacing w:after="0" w:line="240" w:lineRule="auto"/>
        <w:jc w:val="both"/>
        <w:rPr>
          <w:rFonts w:asciiTheme="majorHAnsi" w:hAnsiTheme="majorHAnsi" w:cstheme="majorHAnsi"/>
        </w:rPr>
      </w:pPr>
    </w:p>
    <w:p w14:paraId="16481647" w14:textId="77777777" w:rsidR="00395099" w:rsidRPr="00EB694A" w:rsidRDefault="00395099" w:rsidP="00395099">
      <w:pPr>
        <w:spacing w:after="0" w:line="240" w:lineRule="auto"/>
        <w:jc w:val="both"/>
        <w:rPr>
          <w:rFonts w:cstheme="minorHAnsi"/>
          <w:b/>
          <w:bCs/>
          <w:color w:val="C45911" w:themeColor="accent2" w:themeShade="BF"/>
          <w:sz w:val="28"/>
          <w:szCs w:val="28"/>
        </w:rPr>
      </w:pPr>
      <w:r w:rsidRPr="00EB694A">
        <w:rPr>
          <w:rFonts w:cstheme="minorHAnsi"/>
          <w:b/>
          <w:bCs/>
          <w:color w:val="C45911" w:themeColor="accent2" w:themeShade="BF"/>
          <w:sz w:val="28"/>
          <w:szCs w:val="28"/>
        </w:rPr>
        <w:t>RAPRIOP options</w:t>
      </w:r>
    </w:p>
    <w:p w14:paraId="668B64ED" w14:textId="77777777" w:rsidR="00395099" w:rsidRPr="00EB694A" w:rsidRDefault="00395099" w:rsidP="00395099">
      <w:pPr>
        <w:pStyle w:val="ListParagraph"/>
        <w:numPr>
          <w:ilvl w:val="0"/>
          <w:numId w:val="1"/>
        </w:numPr>
        <w:spacing w:after="0" w:line="240" w:lineRule="auto"/>
        <w:jc w:val="both"/>
        <w:rPr>
          <w:rFonts w:asciiTheme="majorHAnsi" w:hAnsiTheme="majorHAnsi" w:cstheme="majorHAnsi"/>
        </w:rPr>
      </w:pPr>
      <w:r w:rsidRPr="00EB694A">
        <w:rPr>
          <w:rFonts w:asciiTheme="majorHAnsi" w:hAnsiTheme="majorHAnsi" w:cstheme="majorHAnsi"/>
        </w:rPr>
        <w:t>Reassurance and Explanation</w:t>
      </w:r>
    </w:p>
    <w:p w14:paraId="0CABCEB6" w14:textId="77777777" w:rsidR="00395099" w:rsidRPr="00EB694A" w:rsidRDefault="00395099" w:rsidP="00395099">
      <w:pPr>
        <w:pStyle w:val="ListParagraph"/>
        <w:numPr>
          <w:ilvl w:val="0"/>
          <w:numId w:val="1"/>
        </w:numPr>
        <w:spacing w:after="0" w:line="240" w:lineRule="auto"/>
        <w:jc w:val="both"/>
        <w:rPr>
          <w:rFonts w:asciiTheme="majorHAnsi" w:hAnsiTheme="majorHAnsi" w:cstheme="majorHAnsi"/>
        </w:rPr>
      </w:pPr>
      <w:r w:rsidRPr="00EB694A">
        <w:rPr>
          <w:rFonts w:asciiTheme="majorHAnsi" w:hAnsiTheme="majorHAnsi" w:cstheme="majorHAnsi"/>
        </w:rPr>
        <w:t>Advice</w:t>
      </w:r>
    </w:p>
    <w:p w14:paraId="3625E433" w14:textId="77777777" w:rsidR="00395099" w:rsidRPr="00EB694A" w:rsidRDefault="00395099" w:rsidP="00395099">
      <w:pPr>
        <w:pStyle w:val="ListParagraph"/>
        <w:numPr>
          <w:ilvl w:val="0"/>
          <w:numId w:val="1"/>
        </w:numPr>
        <w:spacing w:after="0" w:line="240" w:lineRule="auto"/>
        <w:jc w:val="both"/>
        <w:rPr>
          <w:rFonts w:asciiTheme="majorHAnsi" w:hAnsiTheme="majorHAnsi" w:cstheme="majorHAnsi"/>
        </w:rPr>
      </w:pPr>
      <w:r w:rsidRPr="00EB694A">
        <w:rPr>
          <w:rFonts w:asciiTheme="majorHAnsi" w:hAnsiTheme="majorHAnsi" w:cstheme="majorHAnsi"/>
        </w:rPr>
        <w:t>Prescription</w:t>
      </w:r>
    </w:p>
    <w:p w14:paraId="66B04853" w14:textId="77777777" w:rsidR="00395099" w:rsidRPr="00EB694A" w:rsidRDefault="00395099" w:rsidP="00395099">
      <w:pPr>
        <w:pStyle w:val="ListParagraph"/>
        <w:numPr>
          <w:ilvl w:val="0"/>
          <w:numId w:val="1"/>
        </w:numPr>
        <w:spacing w:after="0" w:line="240" w:lineRule="auto"/>
        <w:jc w:val="both"/>
        <w:rPr>
          <w:rFonts w:asciiTheme="majorHAnsi" w:hAnsiTheme="majorHAnsi" w:cstheme="majorHAnsi"/>
        </w:rPr>
      </w:pPr>
      <w:r w:rsidRPr="00EB694A">
        <w:rPr>
          <w:rFonts w:asciiTheme="majorHAnsi" w:hAnsiTheme="majorHAnsi" w:cstheme="majorHAnsi"/>
        </w:rPr>
        <w:t>Referral</w:t>
      </w:r>
    </w:p>
    <w:p w14:paraId="13D38327" w14:textId="77777777" w:rsidR="00395099" w:rsidRPr="00EB694A" w:rsidRDefault="00395099" w:rsidP="00395099">
      <w:pPr>
        <w:pStyle w:val="ListParagraph"/>
        <w:numPr>
          <w:ilvl w:val="0"/>
          <w:numId w:val="1"/>
        </w:numPr>
        <w:spacing w:after="0" w:line="240" w:lineRule="auto"/>
        <w:jc w:val="both"/>
        <w:rPr>
          <w:rFonts w:asciiTheme="majorHAnsi" w:hAnsiTheme="majorHAnsi" w:cstheme="majorHAnsi"/>
        </w:rPr>
      </w:pPr>
      <w:r w:rsidRPr="00EB694A">
        <w:rPr>
          <w:rFonts w:asciiTheme="majorHAnsi" w:hAnsiTheme="majorHAnsi" w:cstheme="majorHAnsi"/>
        </w:rPr>
        <w:t>Investigation</w:t>
      </w:r>
    </w:p>
    <w:p w14:paraId="345B3155" w14:textId="77777777" w:rsidR="00395099" w:rsidRPr="00EB694A" w:rsidRDefault="00395099" w:rsidP="00395099">
      <w:pPr>
        <w:pStyle w:val="ListParagraph"/>
        <w:numPr>
          <w:ilvl w:val="0"/>
          <w:numId w:val="1"/>
        </w:numPr>
        <w:spacing w:after="0" w:line="240" w:lineRule="auto"/>
        <w:jc w:val="both"/>
        <w:rPr>
          <w:rFonts w:asciiTheme="majorHAnsi" w:hAnsiTheme="majorHAnsi" w:cstheme="majorHAnsi"/>
        </w:rPr>
      </w:pPr>
      <w:r w:rsidRPr="00EB694A">
        <w:rPr>
          <w:rFonts w:asciiTheme="majorHAnsi" w:hAnsiTheme="majorHAnsi" w:cstheme="majorHAnsi"/>
        </w:rPr>
        <w:t>Observation</w:t>
      </w:r>
    </w:p>
    <w:p w14:paraId="29804C44" w14:textId="77777777" w:rsidR="00395099" w:rsidRPr="00EB694A" w:rsidRDefault="00395099" w:rsidP="00395099">
      <w:pPr>
        <w:pStyle w:val="ListParagraph"/>
        <w:numPr>
          <w:ilvl w:val="0"/>
          <w:numId w:val="1"/>
        </w:numPr>
        <w:spacing w:after="0" w:line="240" w:lineRule="auto"/>
        <w:jc w:val="both"/>
        <w:rPr>
          <w:rFonts w:asciiTheme="majorHAnsi" w:hAnsiTheme="majorHAnsi" w:cstheme="majorHAnsi"/>
        </w:rPr>
      </w:pPr>
      <w:r w:rsidRPr="00EB694A">
        <w:rPr>
          <w:rFonts w:asciiTheme="majorHAnsi" w:hAnsiTheme="majorHAnsi" w:cstheme="majorHAnsi"/>
        </w:rPr>
        <w:t>Prevention and Health Promotion</w:t>
      </w:r>
    </w:p>
    <w:p w14:paraId="39FAA3FF" w14:textId="77777777" w:rsidR="00395099" w:rsidRPr="00964092" w:rsidRDefault="00395099" w:rsidP="00395099">
      <w:pPr>
        <w:spacing w:after="0" w:line="240" w:lineRule="auto"/>
        <w:jc w:val="right"/>
        <w:rPr>
          <w:rFonts w:asciiTheme="majorHAnsi" w:hAnsiTheme="majorHAnsi" w:cstheme="majorHAnsi"/>
          <w:i/>
          <w:iCs/>
          <w:sz w:val="18"/>
          <w:szCs w:val="18"/>
        </w:rPr>
      </w:pPr>
      <w:r w:rsidRPr="00964092">
        <w:rPr>
          <w:rFonts w:asciiTheme="majorHAnsi" w:hAnsiTheme="majorHAnsi" w:cstheme="majorHAnsi"/>
          <w:i/>
          <w:iCs/>
          <w:sz w:val="18"/>
          <w:szCs w:val="18"/>
        </w:rPr>
        <w:t>Reference: Robin Fraser Clinical Method</w:t>
      </w:r>
    </w:p>
    <w:p w14:paraId="5F723890" w14:textId="77777777" w:rsidR="00395099" w:rsidRPr="00EB694A" w:rsidRDefault="00395099" w:rsidP="00395099">
      <w:pPr>
        <w:spacing w:after="0" w:line="240" w:lineRule="auto"/>
        <w:jc w:val="both"/>
        <w:rPr>
          <w:rFonts w:cstheme="minorHAnsi"/>
          <w:b/>
          <w:bCs/>
          <w:color w:val="C45911" w:themeColor="accent2" w:themeShade="BF"/>
          <w:sz w:val="28"/>
          <w:szCs w:val="28"/>
        </w:rPr>
      </w:pPr>
      <w:r w:rsidRPr="00EB694A">
        <w:rPr>
          <w:rFonts w:cstheme="minorHAnsi"/>
          <w:b/>
          <w:bCs/>
          <w:color w:val="C45911" w:themeColor="accent2" w:themeShade="BF"/>
          <w:sz w:val="28"/>
          <w:szCs w:val="28"/>
        </w:rPr>
        <w:t>Reassurance and Explanation</w:t>
      </w:r>
    </w:p>
    <w:p w14:paraId="3BF0DEBB" w14:textId="77777777" w:rsidR="00395099" w:rsidRPr="006C1125" w:rsidRDefault="00395099" w:rsidP="00395099">
      <w:pPr>
        <w:spacing w:after="0" w:line="240" w:lineRule="auto"/>
        <w:jc w:val="both"/>
        <w:rPr>
          <w:rFonts w:asciiTheme="majorHAnsi" w:hAnsiTheme="majorHAnsi" w:cstheme="majorHAnsi"/>
        </w:rPr>
      </w:pPr>
      <w:r w:rsidRPr="006C1125">
        <w:rPr>
          <w:rFonts w:asciiTheme="majorHAnsi" w:hAnsiTheme="majorHAnsi" w:cstheme="majorHAnsi"/>
        </w:rPr>
        <w:t xml:space="preserve">The most commonly used patient management activity, Reassurance requires high levels of skill to be </w:t>
      </w:r>
      <w:proofErr w:type="gramStart"/>
      <w:r w:rsidRPr="006C1125">
        <w:rPr>
          <w:rFonts w:asciiTheme="majorHAnsi" w:hAnsiTheme="majorHAnsi" w:cstheme="majorHAnsi"/>
        </w:rPr>
        <w:t>really effective</w:t>
      </w:r>
      <w:proofErr w:type="gramEnd"/>
      <w:r w:rsidRPr="006C1125">
        <w:rPr>
          <w:rFonts w:asciiTheme="majorHAnsi" w:hAnsiTheme="majorHAnsi" w:cstheme="majorHAnsi"/>
        </w:rPr>
        <w:t xml:space="preserve">. Working well, reassurance can share or allay patient anxieties, using empathy and sympathy, and dispel false beliefs about diagnosis. Patients often have wide ranging and worrying ideas about their own diagnosis and prognosis. Reassurance therefore needs to be based on firm factual evidence of a diagnosis that the patient understands and agrees. </w:t>
      </w:r>
      <w:r>
        <w:rPr>
          <w:rFonts w:asciiTheme="majorHAnsi" w:hAnsiTheme="majorHAnsi" w:cstheme="majorHAnsi"/>
        </w:rPr>
        <w:t xml:space="preserve">  </w:t>
      </w:r>
      <w:r w:rsidRPr="006C1125">
        <w:rPr>
          <w:rFonts w:asciiTheme="majorHAnsi" w:hAnsiTheme="majorHAnsi" w:cstheme="majorHAnsi"/>
        </w:rPr>
        <w:t>There is evidence that good reassurance can influence Cooperation, Patient Satisfaction and even Health Outcomes.</w:t>
      </w:r>
    </w:p>
    <w:p w14:paraId="229D6D6C" w14:textId="77777777" w:rsidR="00395099" w:rsidRPr="00964092" w:rsidRDefault="00395099" w:rsidP="00395099">
      <w:pPr>
        <w:spacing w:after="0" w:line="240" w:lineRule="auto"/>
        <w:jc w:val="both"/>
        <w:rPr>
          <w:rFonts w:asciiTheme="majorHAnsi" w:hAnsiTheme="majorHAnsi" w:cstheme="majorHAnsi"/>
          <w:sz w:val="14"/>
          <w:szCs w:val="14"/>
        </w:rPr>
      </w:pPr>
    </w:p>
    <w:p w14:paraId="0C7B98A3" w14:textId="77777777" w:rsidR="00395099" w:rsidRPr="00EB694A" w:rsidRDefault="00395099" w:rsidP="00395099">
      <w:pPr>
        <w:spacing w:after="0" w:line="240" w:lineRule="auto"/>
        <w:jc w:val="both"/>
        <w:rPr>
          <w:rFonts w:cstheme="minorHAnsi"/>
          <w:b/>
          <w:bCs/>
          <w:color w:val="C45911" w:themeColor="accent2" w:themeShade="BF"/>
          <w:sz w:val="28"/>
          <w:szCs w:val="28"/>
        </w:rPr>
      </w:pPr>
      <w:r w:rsidRPr="00EB694A">
        <w:rPr>
          <w:rFonts w:cstheme="minorHAnsi"/>
          <w:b/>
          <w:bCs/>
          <w:color w:val="C45911" w:themeColor="accent2" w:themeShade="BF"/>
          <w:sz w:val="28"/>
          <w:szCs w:val="28"/>
        </w:rPr>
        <w:t>Explanation</w:t>
      </w:r>
    </w:p>
    <w:p w14:paraId="7C9B54DE" w14:textId="77777777" w:rsidR="00395099" w:rsidRPr="006C1125" w:rsidRDefault="00395099" w:rsidP="00395099">
      <w:pPr>
        <w:spacing w:after="0" w:line="240" w:lineRule="auto"/>
        <w:jc w:val="both"/>
        <w:rPr>
          <w:rFonts w:asciiTheme="majorHAnsi" w:hAnsiTheme="majorHAnsi" w:cstheme="majorHAnsi"/>
        </w:rPr>
      </w:pPr>
      <w:r w:rsidRPr="006C1125">
        <w:rPr>
          <w:rFonts w:asciiTheme="majorHAnsi" w:hAnsiTheme="majorHAnsi" w:cstheme="majorHAnsi"/>
        </w:rPr>
        <w:t>Explanation is linked to Reassurance in the model but needs separate consideration. To explain things well we need to use clear, jargon free language which is appropriate for our patients' level of medical understanding and intelligence. Explanation works best if there is a good doctor patient relationship in which the patient trusts and believes the doctor.</w:t>
      </w:r>
    </w:p>
    <w:p w14:paraId="6E13B691" w14:textId="77777777" w:rsidR="00395099" w:rsidRPr="00964092" w:rsidRDefault="00395099" w:rsidP="00395099">
      <w:pPr>
        <w:spacing w:after="0" w:line="240" w:lineRule="auto"/>
        <w:jc w:val="both"/>
        <w:rPr>
          <w:rFonts w:asciiTheme="majorHAnsi" w:hAnsiTheme="majorHAnsi" w:cstheme="majorHAnsi"/>
          <w:sz w:val="14"/>
          <w:szCs w:val="14"/>
        </w:rPr>
      </w:pPr>
    </w:p>
    <w:p w14:paraId="054FC480" w14:textId="77777777" w:rsidR="00395099" w:rsidRPr="00EB694A" w:rsidRDefault="00395099" w:rsidP="00395099">
      <w:pPr>
        <w:spacing w:after="0" w:line="240" w:lineRule="auto"/>
        <w:jc w:val="both"/>
        <w:rPr>
          <w:rFonts w:cstheme="minorHAnsi"/>
          <w:b/>
          <w:bCs/>
          <w:color w:val="C45911" w:themeColor="accent2" w:themeShade="BF"/>
          <w:sz w:val="28"/>
          <w:szCs w:val="28"/>
        </w:rPr>
      </w:pPr>
      <w:r w:rsidRPr="00EB694A">
        <w:rPr>
          <w:rFonts w:cstheme="minorHAnsi"/>
          <w:b/>
          <w:bCs/>
          <w:color w:val="C45911" w:themeColor="accent2" w:themeShade="BF"/>
          <w:sz w:val="28"/>
          <w:szCs w:val="28"/>
        </w:rPr>
        <w:t>Advice</w:t>
      </w:r>
    </w:p>
    <w:p w14:paraId="603224A9" w14:textId="77777777" w:rsidR="00395099" w:rsidRPr="006C1125" w:rsidRDefault="00395099" w:rsidP="00395099">
      <w:pPr>
        <w:spacing w:after="0" w:line="240" w:lineRule="auto"/>
        <w:jc w:val="both"/>
        <w:rPr>
          <w:rFonts w:asciiTheme="majorHAnsi" w:hAnsiTheme="majorHAnsi" w:cstheme="majorHAnsi"/>
        </w:rPr>
      </w:pPr>
      <w:r w:rsidRPr="006C1125">
        <w:rPr>
          <w:rFonts w:asciiTheme="majorHAnsi" w:hAnsiTheme="majorHAnsi" w:cstheme="majorHAnsi"/>
        </w:rPr>
        <w:t xml:space="preserve">Advice can be considered, like diagnosis, in the three areas of Physical, Psychological and Social problems. It needs to be appropriate and the style tailored carefully to each patient. Some patients and some problems seem to need a counselling or patient centred approach, exploring the options together and negotiating the way forward. On other occasions a different style is </w:t>
      </w:r>
      <w:proofErr w:type="gramStart"/>
      <w:r w:rsidRPr="006C1125">
        <w:rPr>
          <w:rFonts w:asciiTheme="majorHAnsi" w:hAnsiTheme="majorHAnsi" w:cstheme="majorHAnsi"/>
        </w:rPr>
        <w:t>needed</w:t>
      </w:r>
      <w:proofErr w:type="gramEnd"/>
      <w:r w:rsidRPr="006C1125">
        <w:rPr>
          <w:rFonts w:asciiTheme="majorHAnsi" w:hAnsiTheme="majorHAnsi" w:cstheme="majorHAnsi"/>
        </w:rPr>
        <w:t xml:space="preserve"> and the doctor needs to be more prescriptive, changing the options for the patient and 'telling' them what must be done. The skill is to anticipate the most appropriate style for the </w:t>
      </w:r>
      <w:proofErr w:type="gramStart"/>
      <w:r w:rsidRPr="006C1125">
        <w:rPr>
          <w:rFonts w:asciiTheme="majorHAnsi" w:hAnsiTheme="majorHAnsi" w:cstheme="majorHAnsi"/>
        </w:rPr>
        <w:t>particular patient</w:t>
      </w:r>
      <w:proofErr w:type="gramEnd"/>
      <w:r w:rsidRPr="006C1125">
        <w:rPr>
          <w:rFonts w:asciiTheme="majorHAnsi" w:hAnsiTheme="majorHAnsi" w:cstheme="majorHAnsi"/>
        </w:rPr>
        <w:t xml:space="preserve"> or problem, and to develop a flexible range of skills.</w:t>
      </w:r>
    </w:p>
    <w:p w14:paraId="7EB55024" w14:textId="77777777" w:rsidR="00395099" w:rsidRPr="00964092" w:rsidRDefault="00395099" w:rsidP="00395099">
      <w:pPr>
        <w:spacing w:after="0" w:line="240" w:lineRule="auto"/>
        <w:jc w:val="both"/>
        <w:rPr>
          <w:rFonts w:asciiTheme="majorHAnsi" w:hAnsiTheme="majorHAnsi" w:cstheme="majorHAnsi"/>
          <w:sz w:val="14"/>
          <w:szCs w:val="14"/>
        </w:rPr>
      </w:pPr>
    </w:p>
    <w:p w14:paraId="0CD072BC" w14:textId="77777777" w:rsidR="00395099" w:rsidRPr="00EB694A" w:rsidRDefault="00395099" w:rsidP="00395099">
      <w:pPr>
        <w:spacing w:after="0" w:line="240" w:lineRule="auto"/>
        <w:jc w:val="both"/>
        <w:rPr>
          <w:rFonts w:cstheme="minorHAnsi"/>
          <w:b/>
          <w:bCs/>
          <w:color w:val="C45911" w:themeColor="accent2" w:themeShade="BF"/>
          <w:sz w:val="28"/>
          <w:szCs w:val="28"/>
        </w:rPr>
      </w:pPr>
      <w:r w:rsidRPr="00EB694A">
        <w:rPr>
          <w:rFonts w:cstheme="minorHAnsi"/>
          <w:b/>
          <w:bCs/>
          <w:color w:val="C45911" w:themeColor="accent2" w:themeShade="BF"/>
          <w:sz w:val="28"/>
          <w:szCs w:val="28"/>
        </w:rPr>
        <w:t>Prescription</w:t>
      </w:r>
    </w:p>
    <w:p w14:paraId="33CE614D" w14:textId="77777777" w:rsidR="00395099" w:rsidRPr="006C1125" w:rsidRDefault="00395099" w:rsidP="00395099">
      <w:pPr>
        <w:spacing w:after="0" w:line="240" w:lineRule="auto"/>
        <w:jc w:val="both"/>
        <w:rPr>
          <w:rFonts w:asciiTheme="majorHAnsi" w:hAnsiTheme="majorHAnsi" w:cstheme="majorHAnsi"/>
        </w:rPr>
      </w:pPr>
      <w:r w:rsidRPr="006C1125">
        <w:rPr>
          <w:rFonts w:asciiTheme="majorHAnsi" w:hAnsiTheme="majorHAnsi" w:cstheme="majorHAnsi"/>
        </w:rPr>
        <w:t>In the context of this model Prescription means the prescribing of drugs. What are the aims?</w:t>
      </w:r>
    </w:p>
    <w:p w14:paraId="0F7799FF" w14:textId="77777777" w:rsidR="00395099" w:rsidRPr="00EB694A" w:rsidRDefault="00395099" w:rsidP="00395099">
      <w:pPr>
        <w:pStyle w:val="ListParagraph"/>
        <w:numPr>
          <w:ilvl w:val="0"/>
          <w:numId w:val="3"/>
        </w:numPr>
        <w:spacing w:after="0" w:line="240" w:lineRule="auto"/>
        <w:jc w:val="both"/>
        <w:rPr>
          <w:rFonts w:asciiTheme="majorHAnsi" w:hAnsiTheme="majorHAnsi" w:cstheme="majorHAnsi"/>
        </w:rPr>
      </w:pPr>
      <w:r w:rsidRPr="00EB694A">
        <w:rPr>
          <w:rFonts w:asciiTheme="majorHAnsi" w:hAnsiTheme="majorHAnsi" w:cstheme="majorHAnsi"/>
        </w:rPr>
        <w:t>therapeutic e.g. to prevent, cure, relieve symptoms</w:t>
      </w:r>
    </w:p>
    <w:p w14:paraId="7A5B8900" w14:textId="77777777" w:rsidR="00395099" w:rsidRPr="00EB694A" w:rsidRDefault="00395099" w:rsidP="00395099">
      <w:pPr>
        <w:pStyle w:val="ListParagraph"/>
        <w:numPr>
          <w:ilvl w:val="0"/>
          <w:numId w:val="3"/>
        </w:numPr>
        <w:spacing w:after="0" w:line="240" w:lineRule="auto"/>
        <w:jc w:val="both"/>
        <w:rPr>
          <w:rFonts w:asciiTheme="majorHAnsi" w:hAnsiTheme="majorHAnsi" w:cstheme="majorHAnsi"/>
        </w:rPr>
      </w:pPr>
      <w:r w:rsidRPr="00EB694A">
        <w:rPr>
          <w:rFonts w:asciiTheme="majorHAnsi" w:hAnsiTheme="majorHAnsi" w:cstheme="majorHAnsi"/>
        </w:rPr>
        <w:t>tactical e.g. to gain time, maintain contact, relieve doctor or patient anxiety</w:t>
      </w:r>
    </w:p>
    <w:p w14:paraId="24A3BC23" w14:textId="77777777" w:rsidR="00395099" w:rsidRDefault="00395099" w:rsidP="00395099">
      <w:pPr>
        <w:pStyle w:val="ListParagraph"/>
        <w:numPr>
          <w:ilvl w:val="0"/>
          <w:numId w:val="3"/>
        </w:numPr>
        <w:spacing w:after="0" w:line="240" w:lineRule="auto"/>
        <w:jc w:val="both"/>
        <w:rPr>
          <w:rFonts w:asciiTheme="majorHAnsi" w:hAnsiTheme="majorHAnsi" w:cstheme="majorHAnsi"/>
        </w:rPr>
      </w:pPr>
      <w:r w:rsidRPr="00EB694A">
        <w:rPr>
          <w:rFonts w:asciiTheme="majorHAnsi" w:hAnsiTheme="majorHAnsi" w:cstheme="majorHAnsi"/>
        </w:rPr>
        <w:t>both</w:t>
      </w:r>
      <w:r>
        <w:rPr>
          <w:rFonts w:asciiTheme="majorHAnsi" w:hAnsiTheme="majorHAnsi" w:cstheme="majorHAnsi"/>
        </w:rPr>
        <w:t>?</w:t>
      </w:r>
    </w:p>
    <w:p w14:paraId="38755D5D" w14:textId="77777777" w:rsidR="00395099" w:rsidRPr="00964092" w:rsidRDefault="00395099" w:rsidP="00395099">
      <w:pPr>
        <w:spacing w:after="0" w:line="240" w:lineRule="auto"/>
        <w:jc w:val="both"/>
        <w:rPr>
          <w:rFonts w:asciiTheme="majorHAnsi" w:hAnsiTheme="majorHAnsi" w:cstheme="majorHAnsi"/>
          <w:i/>
          <w:iCs/>
        </w:rPr>
      </w:pPr>
      <w:r w:rsidRPr="00964092">
        <w:rPr>
          <w:rFonts w:asciiTheme="majorHAnsi" w:hAnsiTheme="majorHAnsi" w:cstheme="majorHAnsi"/>
          <w:i/>
          <w:iCs/>
        </w:rPr>
        <w:t>Think…</w:t>
      </w:r>
    </w:p>
    <w:p w14:paraId="098B79AD" w14:textId="77777777" w:rsidR="00395099" w:rsidRPr="00964092" w:rsidRDefault="00395099" w:rsidP="00395099">
      <w:pPr>
        <w:pStyle w:val="ListParagraph"/>
        <w:numPr>
          <w:ilvl w:val="0"/>
          <w:numId w:val="2"/>
        </w:numPr>
        <w:spacing w:after="0" w:line="240" w:lineRule="auto"/>
        <w:jc w:val="both"/>
        <w:rPr>
          <w:rFonts w:asciiTheme="majorHAnsi" w:hAnsiTheme="majorHAnsi" w:cstheme="majorHAnsi"/>
          <w:sz w:val="20"/>
          <w:szCs w:val="20"/>
        </w:rPr>
      </w:pPr>
      <w:r w:rsidRPr="00964092">
        <w:rPr>
          <w:rFonts w:asciiTheme="majorHAnsi" w:hAnsiTheme="majorHAnsi" w:cstheme="majorHAnsi"/>
          <w:sz w:val="20"/>
          <w:szCs w:val="20"/>
        </w:rPr>
        <w:t>Will a drug really help? Is there evidence to support prescribing, often at great expense.</w:t>
      </w:r>
    </w:p>
    <w:p w14:paraId="46C7A0DD" w14:textId="77777777" w:rsidR="00395099" w:rsidRPr="00964092" w:rsidRDefault="00395099" w:rsidP="00395099">
      <w:pPr>
        <w:pStyle w:val="ListParagraph"/>
        <w:numPr>
          <w:ilvl w:val="0"/>
          <w:numId w:val="2"/>
        </w:numPr>
        <w:spacing w:after="0" w:line="240" w:lineRule="auto"/>
        <w:jc w:val="both"/>
        <w:rPr>
          <w:rFonts w:asciiTheme="majorHAnsi" w:hAnsiTheme="majorHAnsi" w:cstheme="majorHAnsi"/>
          <w:sz w:val="20"/>
          <w:szCs w:val="20"/>
        </w:rPr>
      </w:pPr>
      <w:r w:rsidRPr="00964092">
        <w:rPr>
          <w:rFonts w:asciiTheme="majorHAnsi" w:hAnsiTheme="majorHAnsi" w:cstheme="majorHAnsi"/>
          <w:sz w:val="20"/>
          <w:szCs w:val="20"/>
        </w:rPr>
        <w:t>How effective will a drug be? Will there be risks or side effects?</w:t>
      </w:r>
    </w:p>
    <w:p w14:paraId="73730EE8" w14:textId="77777777" w:rsidR="00395099" w:rsidRPr="00964092" w:rsidRDefault="00395099" w:rsidP="00395099">
      <w:pPr>
        <w:pStyle w:val="ListParagraph"/>
        <w:numPr>
          <w:ilvl w:val="0"/>
          <w:numId w:val="2"/>
        </w:numPr>
        <w:spacing w:after="0" w:line="240" w:lineRule="auto"/>
        <w:jc w:val="both"/>
        <w:rPr>
          <w:rFonts w:asciiTheme="majorHAnsi" w:hAnsiTheme="majorHAnsi" w:cstheme="majorHAnsi"/>
          <w:sz w:val="20"/>
          <w:szCs w:val="20"/>
        </w:rPr>
      </w:pPr>
      <w:r w:rsidRPr="00964092">
        <w:rPr>
          <w:rFonts w:asciiTheme="majorHAnsi" w:hAnsiTheme="majorHAnsi" w:cstheme="majorHAnsi"/>
          <w:sz w:val="20"/>
          <w:szCs w:val="20"/>
        </w:rPr>
        <w:t xml:space="preserve">Financial Cost </w:t>
      </w:r>
      <w:proofErr w:type="gramStart"/>
      <w:r w:rsidRPr="00964092">
        <w:rPr>
          <w:rFonts w:asciiTheme="majorHAnsi" w:hAnsiTheme="majorHAnsi" w:cstheme="majorHAnsi"/>
          <w:sz w:val="20"/>
          <w:szCs w:val="20"/>
        </w:rPr>
        <w:t>Considerations  (</w:t>
      </w:r>
      <w:proofErr w:type="gramEnd"/>
      <w:r w:rsidRPr="00964092">
        <w:rPr>
          <w:rFonts w:asciiTheme="majorHAnsi" w:hAnsiTheme="majorHAnsi" w:cstheme="majorHAnsi"/>
          <w:sz w:val="20"/>
          <w:szCs w:val="20"/>
        </w:rPr>
        <w:t>generic v proprietary; types or groups of drugs)</w:t>
      </w:r>
    </w:p>
    <w:p w14:paraId="200FC535" w14:textId="77777777" w:rsidR="00395099" w:rsidRPr="00964092" w:rsidRDefault="00395099" w:rsidP="00395099">
      <w:pPr>
        <w:pStyle w:val="ListParagraph"/>
        <w:numPr>
          <w:ilvl w:val="0"/>
          <w:numId w:val="4"/>
        </w:numPr>
        <w:spacing w:after="0" w:line="240" w:lineRule="auto"/>
        <w:jc w:val="both"/>
        <w:rPr>
          <w:rFonts w:asciiTheme="majorHAnsi" w:hAnsiTheme="majorHAnsi" w:cstheme="majorHAnsi"/>
          <w:sz w:val="20"/>
          <w:szCs w:val="20"/>
        </w:rPr>
      </w:pPr>
      <w:r w:rsidRPr="00964092">
        <w:rPr>
          <w:rFonts w:asciiTheme="majorHAnsi" w:hAnsiTheme="majorHAnsi" w:cstheme="majorHAnsi"/>
          <w:sz w:val="20"/>
          <w:szCs w:val="20"/>
        </w:rPr>
        <w:t>Contraindications and Interactions</w:t>
      </w:r>
    </w:p>
    <w:p w14:paraId="180D3D86" w14:textId="77777777" w:rsidR="00395099" w:rsidRPr="00964092" w:rsidRDefault="00395099" w:rsidP="00395099">
      <w:pPr>
        <w:pStyle w:val="ListParagraph"/>
        <w:numPr>
          <w:ilvl w:val="0"/>
          <w:numId w:val="4"/>
        </w:numPr>
        <w:spacing w:after="0" w:line="240" w:lineRule="auto"/>
        <w:jc w:val="both"/>
        <w:rPr>
          <w:rFonts w:asciiTheme="majorHAnsi" w:hAnsiTheme="majorHAnsi" w:cstheme="majorHAnsi"/>
          <w:sz w:val="20"/>
          <w:szCs w:val="20"/>
        </w:rPr>
      </w:pPr>
      <w:r w:rsidRPr="00964092">
        <w:rPr>
          <w:rFonts w:asciiTheme="majorHAnsi" w:hAnsiTheme="majorHAnsi" w:cstheme="majorHAnsi"/>
          <w:sz w:val="20"/>
          <w:szCs w:val="20"/>
        </w:rPr>
        <w:t>Dosage and Duration - is our advice accurate and evidence based?</w:t>
      </w:r>
    </w:p>
    <w:p w14:paraId="4EFE0B28" w14:textId="77777777" w:rsidR="00395099" w:rsidRPr="00964092" w:rsidRDefault="00395099" w:rsidP="00395099">
      <w:pPr>
        <w:pStyle w:val="ListParagraph"/>
        <w:numPr>
          <w:ilvl w:val="0"/>
          <w:numId w:val="4"/>
        </w:numPr>
        <w:spacing w:after="0" w:line="240" w:lineRule="auto"/>
        <w:jc w:val="both"/>
        <w:rPr>
          <w:rFonts w:asciiTheme="majorHAnsi" w:hAnsiTheme="majorHAnsi" w:cstheme="majorHAnsi"/>
          <w:sz w:val="20"/>
          <w:szCs w:val="20"/>
        </w:rPr>
      </w:pPr>
      <w:r w:rsidRPr="00964092">
        <w:rPr>
          <w:rFonts w:asciiTheme="majorHAnsi" w:hAnsiTheme="majorHAnsi" w:cstheme="majorHAnsi"/>
          <w:sz w:val="20"/>
          <w:szCs w:val="20"/>
        </w:rPr>
        <w:t>Compliance – only 60% of prescriptions are dispensed &amp; courses completed</w:t>
      </w:r>
    </w:p>
    <w:p w14:paraId="02FED055" w14:textId="77777777" w:rsidR="00395099" w:rsidRPr="00964092" w:rsidRDefault="00395099" w:rsidP="00395099">
      <w:pPr>
        <w:pStyle w:val="ListParagraph"/>
        <w:numPr>
          <w:ilvl w:val="0"/>
          <w:numId w:val="4"/>
        </w:numPr>
        <w:spacing w:after="0" w:line="240" w:lineRule="auto"/>
        <w:jc w:val="both"/>
        <w:rPr>
          <w:rFonts w:asciiTheme="majorHAnsi" w:hAnsiTheme="majorHAnsi" w:cstheme="majorHAnsi"/>
          <w:sz w:val="20"/>
          <w:szCs w:val="20"/>
        </w:rPr>
      </w:pPr>
      <w:r w:rsidRPr="00964092">
        <w:rPr>
          <w:rFonts w:asciiTheme="majorHAnsi" w:hAnsiTheme="majorHAnsi" w:cstheme="majorHAnsi"/>
          <w:sz w:val="20"/>
          <w:szCs w:val="20"/>
        </w:rPr>
        <w:t>Ongoing supervision - monitoring dosage etc.</w:t>
      </w:r>
    </w:p>
    <w:p w14:paraId="048AF558" w14:textId="77777777" w:rsidR="00395099" w:rsidRPr="00964092" w:rsidRDefault="00395099" w:rsidP="00395099">
      <w:pPr>
        <w:pStyle w:val="ListParagraph"/>
        <w:numPr>
          <w:ilvl w:val="0"/>
          <w:numId w:val="4"/>
        </w:numPr>
        <w:spacing w:after="0" w:line="240" w:lineRule="auto"/>
        <w:jc w:val="both"/>
        <w:rPr>
          <w:rFonts w:asciiTheme="majorHAnsi" w:hAnsiTheme="majorHAnsi" w:cstheme="majorHAnsi"/>
          <w:sz w:val="20"/>
          <w:szCs w:val="20"/>
        </w:rPr>
      </w:pPr>
      <w:r w:rsidRPr="00964092">
        <w:rPr>
          <w:rFonts w:asciiTheme="majorHAnsi" w:hAnsiTheme="majorHAnsi" w:cstheme="majorHAnsi"/>
          <w:sz w:val="20"/>
          <w:szCs w:val="20"/>
        </w:rPr>
        <w:t xml:space="preserve">Information about drugs - are patients informed or are they alarmed by the information </w:t>
      </w:r>
      <w:r w:rsidRPr="00964092">
        <w:rPr>
          <w:rFonts w:asciiTheme="majorHAnsi" w:hAnsiTheme="majorHAnsi" w:cstheme="majorHAnsi"/>
          <w:sz w:val="20"/>
          <w:szCs w:val="20"/>
        </w:rPr>
        <w:tab/>
        <w:t>they receive!!</w:t>
      </w:r>
    </w:p>
    <w:p w14:paraId="61F2E7BE" w14:textId="77777777" w:rsidR="00395099" w:rsidRPr="006C1125" w:rsidRDefault="00395099" w:rsidP="00395099">
      <w:pPr>
        <w:spacing w:after="0" w:line="240" w:lineRule="auto"/>
        <w:jc w:val="both"/>
        <w:rPr>
          <w:rFonts w:asciiTheme="majorHAnsi" w:hAnsiTheme="majorHAnsi" w:cstheme="majorHAnsi"/>
        </w:rPr>
      </w:pPr>
    </w:p>
    <w:p w14:paraId="3EB14C64" w14:textId="77777777" w:rsidR="00395099" w:rsidRPr="00EB694A" w:rsidRDefault="00395099" w:rsidP="00395099">
      <w:pPr>
        <w:spacing w:after="0" w:line="240" w:lineRule="auto"/>
        <w:jc w:val="both"/>
        <w:rPr>
          <w:rFonts w:cstheme="minorHAnsi"/>
          <w:b/>
          <w:bCs/>
          <w:color w:val="C45911" w:themeColor="accent2" w:themeShade="BF"/>
          <w:sz w:val="28"/>
          <w:szCs w:val="28"/>
        </w:rPr>
      </w:pPr>
      <w:r w:rsidRPr="00EB694A">
        <w:rPr>
          <w:rFonts w:cstheme="minorHAnsi"/>
          <w:b/>
          <w:bCs/>
          <w:color w:val="C45911" w:themeColor="accent2" w:themeShade="BF"/>
          <w:sz w:val="28"/>
          <w:szCs w:val="28"/>
        </w:rPr>
        <w:lastRenderedPageBreak/>
        <w:t>Referral</w:t>
      </w:r>
    </w:p>
    <w:p w14:paraId="32CC63DB" w14:textId="77777777" w:rsidR="00395099" w:rsidRPr="00EB694A" w:rsidRDefault="00395099" w:rsidP="00395099">
      <w:pPr>
        <w:pStyle w:val="ListParagraph"/>
        <w:numPr>
          <w:ilvl w:val="0"/>
          <w:numId w:val="5"/>
        </w:numPr>
        <w:spacing w:after="0" w:line="240" w:lineRule="auto"/>
        <w:jc w:val="both"/>
        <w:rPr>
          <w:rFonts w:asciiTheme="majorHAnsi" w:hAnsiTheme="majorHAnsi" w:cstheme="majorHAnsi"/>
        </w:rPr>
      </w:pPr>
      <w:r w:rsidRPr="00EB694A">
        <w:rPr>
          <w:rFonts w:asciiTheme="majorHAnsi" w:hAnsiTheme="majorHAnsi" w:cstheme="majorHAnsi"/>
        </w:rPr>
        <w:t>On average one in every ten consultations leads to a referral.</w:t>
      </w:r>
    </w:p>
    <w:p w14:paraId="661FA5FE" w14:textId="77777777" w:rsidR="00395099" w:rsidRDefault="00395099" w:rsidP="00395099">
      <w:pPr>
        <w:pStyle w:val="ListParagraph"/>
        <w:numPr>
          <w:ilvl w:val="0"/>
          <w:numId w:val="5"/>
        </w:numPr>
        <w:spacing w:after="0" w:line="240" w:lineRule="auto"/>
        <w:jc w:val="both"/>
        <w:rPr>
          <w:rFonts w:asciiTheme="majorHAnsi" w:hAnsiTheme="majorHAnsi" w:cstheme="majorHAnsi"/>
        </w:rPr>
      </w:pPr>
      <w:r w:rsidRPr="00EB694A">
        <w:rPr>
          <w:rFonts w:asciiTheme="majorHAnsi" w:hAnsiTheme="majorHAnsi" w:cstheme="majorHAnsi"/>
        </w:rPr>
        <w:t>To whom do we refer?  To Consultants, to members of our PHC Team / attached team, to ancillary healthcare workers, complementary specialists, Social Services</w:t>
      </w:r>
      <w:r>
        <w:rPr>
          <w:rFonts w:asciiTheme="majorHAnsi" w:hAnsiTheme="majorHAnsi" w:cstheme="majorHAnsi"/>
        </w:rPr>
        <w:t>.</w:t>
      </w:r>
    </w:p>
    <w:p w14:paraId="672FEE84" w14:textId="77777777" w:rsidR="00395099" w:rsidRDefault="00395099" w:rsidP="00395099">
      <w:pPr>
        <w:pStyle w:val="ListParagraph"/>
        <w:numPr>
          <w:ilvl w:val="0"/>
          <w:numId w:val="5"/>
        </w:numPr>
        <w:spacing w:after="0" w:line="240" w:lineRule="auto"/>
        <w:jc w:val="both"/>
        <w:rPr>
          <w:rFonts w:asciiTheme="majorHAnsi" w:hAnsiTheme="majorHAnsi" w:cstheme="majorHAnsi"/>
        </w:rPr>
      </w:pPr>
      <w:r w:rsidRPr="00EB694A">
        <w:rPr>
          <w:rFonts w:asciiTheme="majorHAnsi" w:hAnsiTheme="majorHAnsi" w:cstheme="majorHAnsi"/>
        </w:rPr>
        <w:t>Why do we refer?</w:t>
      </w:r>
      <w:r>
        <w:rPr>
          <w:rFonts w:asciiTheme="majorHAnsi" w:hAnsiTheme="majorHAnsi" w:cstheme="majorHAnsi"/>
        </w:rPr>
        <w:t xml:space="preserve">  F</w:t>
      </w:r>
      <w:r w:rsidRPr="00EB694A">
        <w:rPr>
          <w:rFonts w:asciiTheme="majorHAnsi" w:hAnsiTheme="majorHAnsi" w:cstheme="majorHAnsi"/>
        </w:rPr>
        <w:t>or a second opinion, for diagnosis, for investigation, for emergency treatment, to access specialist therapeutic equipment, for specific therapy, for social reasons, in response to patient pressure</w:t>
      </w:r>
      <w:r>
        <w:rPr>
          <w:rFonts w:asciiTheme="majorHAnsi" w:hAnsiTheme="majorHAnsi" w:cstheme="majorHAnsi"/>
        </w:rPr>
        <w:t>.</w:t>
      </w:r>
    </w:p>
    <w:p w14:paraId="34DE37B6" w14:textId="77777777" w:rsidR="00395099" w:rsidRPr="00964092" w:rsidRDefault="00395099" w:rsidP="00395099">
      <w:pPr>
        <w:pStyle w:val="ListParagraph"/>
        <w:numPr>
          <w:ilvl w:val="0"/>
          <w:numId w:val="5"/>
        </w:numPr>
        <w:spacing w:after="0" w:line="240" w:lineRule="auto"/>
        <w:jc w:val="both"/>
        <w:rPr>
          <w:rFonts w:asciiTheme="majorHAnsi" w:hAnsiTheme="majorHAnsi" w:cstheme="majorHAnsi"/>
        </w:rPr>
      </w:pPr>
      <w:r w:rsidRPr="00964092">
        <w:rPr>
          <w:rFonts w:asciiTheme="majorHAnsi" w:hAnsiTheme="majorHAnsi" w:cstheme="majorHAnsi"/>
        </w:rPr>
        <w:t>The GP has an extended role over supporting a patient before and after referral, especially for serious and multiple problems, helping the patient to interpret and understand what has been said and done, and in coming to terms with it all.</w:t>
      </w:r>
    </w:p>
    <w:p w14:paraId="4C0C2153" w14:textId="77777777" w:rsidR="00395099" w:rsidRPr="00964092" w:rsidRDefault="00395099" w:rsidP="00395099">
      <w:pPr>
        <w:spacing w:after="0" w:line="240" w:lineRule="auto"/>
        <w:jc w:val="both"/>
        <w:rPr>
          <w:rFonts w:asciiTheme="majorHAnsi" w:hAnsiTheme="majorHAnsi" w:cstheme="majorHAnsi"/>
          <w:sz w:val="16"/>
          <w:szCs w:val="16"/>
        </w:rPr>
      </w:pPr>
    </w:p>
    <w:p w14:paraId="08674FB0" w14:textId="77777777" w:rsidR="00395099" w:rsidRPr="00EB694A" w:rsidRDefault="00395099" w:rsidP="00395099">
      <w:pPr>
        <w:spacing w:after="0" w:line="240" w:lineRule="auto"/>
        <w:jc w:val="both"/>
        <w:rPr>
          <w:rFonts w:cstheme="minorHAnsi"/>
          <w:b/>
          <w:bCs/>
          <w:color w:val="C45911" w:themeColor="accent2" w:themeShade="BF"/>
          <w:sz w:val="28"/>
          <w:szCs w:val="28"/>
        </w:rPr>
      </w:pPr>
      <w:r w:rsidRPr="00EB694A">
        <w:rPr>
          <w:rFonts w:cstheme="minorHAnsi"/>
          <w:b/>
          <w:bCs/>
          <w:color w:val="C45911" w:themeColor="accent2" w:themeShade="BF"/>
          <w:sz w:val="28"/>
          <w:szCs w:val="28"/>
        </w:rPr>
        <w:t>Investigation</w:t>
      </w:r>
    </w:p>
    <w:p w14:paraId="7E68C0F1" w14:textId="77777777" w:rsidR="00395099" w:rsidRPr="00EB694A" w:rsidRDefault="00395099" w:rsidP="00395099">
      <w:pPr>
        <w:pStyle w:val="ListParagraph"/>
        <w:numPr>
          <w:ilvl w:val="0"/>
          <w:numId w:val="6"/>
        </w:numPr>
        <w:spacing w:after="0" w:line="240" w:lineRule="auto"/>
        <w:jc w:val="both"/>
        <w:rPr>
          <w:rFonts w:asciiTheme="majorHAnsi" w:hAnsiTheme="majorHAnsi" w:cstheme="majorHAnsi"/>
        </w:rPr>
      </w:pPr>
      <w:r w:rsidRPr="00EB694A">
        <w:rPr>
          <w:rFonts w:asciiTheme="majorHAnsi" w:hAnsiTheme="majorHAnsi" w:cstheme="majorHAnsi"/>
        </w:rPr>
        <w:t>Investigation is generally a blunt tool. On average only 1 % of screening investigations such as routine chest X rays or cervical smears reveal a diagnosis. Even when focused and carefully selected the chances of success are still only 10%.</w:t>
      </w:r>
    </w:p>
    <w:p w14:paraId="13BECBA0" w14:textId="77777777" w:rsidR="00395099" w:rsidRDefault="00395099" w:rsidP="00395099">
      <w:pPr>
        <w:pStyle w:val="ListParagraph"/>
        <w:numPr>
          <w:ilvl w:val="0"/>
          <w:numId w:val="6"/>
        </w:numPr>
        <w:spacing w:after="0" w:line="240" w:lineRule="auto"/>
        <w:jc w:val="both"/>
        <w:rPr>
          <w:rFonts w:asciiTheme="majorHAnsi" w:hAnsiTheme="majorHAnsi" w:cstheme="majorHAnsi"/>
        </w:rPr>
      </w:pPr>
      <w:r w:rsidRPr="00EB694A">
        <w:rPr>
          <w:rFonts w:asciiTheme="majorHAnsi" w:hAnsiTheme="majorHAnsi" w:cstheme="majorHAnsi"/>
        </w:rPr>
        <w:t>Why do we investigate?  To confirm a diagnosis</w:t>
      </w:r>
      <w:r>
        <w:rPr>
          <w:rFonts w:asciiTheme="majorHAnsi" w:hAnsiTheme="majorHAnsi" w:cstheme="majorHAnsi"/>
        </w:rPr>
        <w:t xml:space="preserve">, </w:t>
      </w:r>
      <w:r w:rsidRPr="00964092">
        <w:rPr>
          <w:rFonts w:asciiTheme="majorHAnsi" w:hAnsiTheme="majorHAnsi" w:cstheme="majorHAnsi"/>
        </w:rPr>
        <w:t>to exclude a diagnosis</w:t>
      </w:r>
      <w:r>
        <w:rPr>
          <w:rFonts w:asciiTheme="majorHAnsi" w:hAnsiTheme="majorHAnsi" w:cstheme="majorHAnsi"/>
        </w:rPr>
        <w:t xml:space="preserve">, </w:t>
      </w:r>
      <w:r w:rsidRPr="00964092">
        <w:rPr>
          <w:rFonts w:asciiTheme="majorHAnsi" w:hAnsiTheme="majorHAnsi" w:cstheme="majorHAnsi"/>
        </w:rPr>
        <w:t>to monitor any treatment</w:t>
      </w:r>
      <w:r>
        <w:rPr>
          <w:rFonts w:asciiTheme="majorHAnsi" w:hAnsiTheme="majorHAnsi" w:cstheme="majorHAnsi"/>
        </w:rPr>
        <w:t xml:space="preserve">, </w:t>
      </w:r>
      <w:r w:rsidRPr="00964092">
        <w:rPr>
          <w:rFonts w:asciiTheme="majorHAnsi" w:hAnsiTheme="majorHAnsi" w:cstheme="majorHAnsi"/>
        </w:rPr>
        <w:t>to screen any asymptomatic patients</w:t>
      </w:r>
      <w:r>
        <w:rPr>
          <w:rFonts w:asciiTheme="majorHAnsi" w:hAnsiTheme="majorHAnsi" w:cstheme="majorHAnsi"/>
        </w:rPr>
        <w:t xml:space="preserve">, </w:t>
      </w:r>
      <w:r w:rsidRPr="00964092">
        <w:rPr>
          <w:rFonts w:asciiTheme="majorHAnsi" w:hAnsiTheme="majorHAnsi" w:cstheme="majorHAnsi"/>
        </w:rPr>
        <w:t>to impress something upon our patients</w:t>
      </w:r>
      <w:r>
        <w:rPr>
          <w:rFonts w:asciiTheme="majorHAnsi" w:hAnsiTheme="majorHAnsi" w:cstheme="majorHAnsi"/>
        </w:rPr>
        <w:t>.</w:t>
      </w:r>
    </w:p>
    <w:p w14:paraId="19966629" w14:textId="77777777" w:rsidR="00395099" w:rsidRDefault="00395099" w:rsidP="00395099">
      <w:pPr>
        <w:pStyle w:val="ListParagraph"/>
        <w:numPr>
          <w:ilvl w:val="0"/>
          <w:numId w:val="6"/>
        </w:numPr>
        <w:spacing w:after="0" w:line="240" w:lineRule="auto"/>
        <w:jc w:val="both"/>
        <w:rPr>
          <w:rFonts w:asciiTheme="majorHAnsi" w:hAnsiTheme="majorHAnsi" w:cstheme="majorHAnsi"/>
        </w:rPr>
      </w:pPr>
      <w:r w:rsidRPr="00964092">
        <w:rPr>
          <w:rFonts w:asciiTheme="majorHAnsi" w:hAnsiTheme="majorHAnsi" w:cstheme="majorHAnsi"/>
        </w:rPr>
        <w:t xml:space="preserve">We investigate approximately every ninth patient we see in surgery, often at considerable cost, so we need to think and discriminate carefully, and </w:t>
      </w:r>
      <w:proofErr w:type="spellStart"/>
      <w:r w:rsidRPr="00964092">
        <w:rPr>
          <w:rFonts w:asciiTheme="majorHAnsi" w:hAnsiTheme="majorHAnsi" w:cstheme="majorHAnsi"/>
        </w:rPr>
        <w:t>minimise</w:t>
      </w:r>
      <w:proofErr w:type="spellEnd"/>
      <w:r w:rsidRPr="00964092">
        <w:rPr>
          <w:rFonts w:asciiTheme="majorHAnsi" w:hAnsiTheme="majorHAnsi" w:cstheme="majorHAnsi"/>
        </w:rPr>
        <w:t xml:space="preserve"> box ticking. The </w:t>
      </w:r>
      <w:proofErr w:type="spellStart"/>
      <w:r w:rsidRPr="00964092">
        <w:rPr>
          <w:rFonts w:asciiTheme="majorHAnsi" w:hAnsiTheme="majorHAnsi" w:cstheme="majorHAnsi"/>
        </w:rPr>
        <w:t>Hypothetico</w:t>
      </w:r>
      <w:proofErr w:type="spellEnd"/>
      <w:r w:rsidRPr="00964092">
        <w:rPr>
          <w:rFonts w:asciiTheme="majorHAnsi" w:hAnsiTheme="majorHAnsi" w:cstheme="majorHAnsi"/>
        </w:rPr>
        <w:t xml:space="preserve"> Deductive Method suggests that we should use investigation to confirm and not make diagnoses.</w:t>
      </w:r>
    </w:p>
    <w:p w14:paraId="39D9ECBD" w14:textId="77777777" w:rsidR="00395099" w:rsidRPr="00964092" w:rsidRDefault="00395099" w:rsidP="00395099">
      <w:pPr>
        <w:pStyle w:val="ListParagraph"/>
        <w:numPr>
          <w:ilvl w:val="0"/>
          <w:numId w:val="6"/>
        </w:numPr>
        <w:spacing w:after="0" w:line="240" w:lineRule="auto"/>
        <w:jc w:val="both"/>
        <w:rPr>
          <w:rFonts w:asciiTheme="majorHAnsi" w:hAnsiTheme="majorHAnsi" w:cstheme="majorHAnsi"/>
        </w:rPr>
      </w:pPr>
      <w:r w:rsidRPr="00964092">
        <w:rPr>
          <w:rFonts w:asciiTheme="majorHAnsi" w:hAnsiTheme="majorHAnsi" w:cstheme="majorHAnsi"/>
        </w:rPr>
        <w:t>Some questions about investigations</w:t>
      </w:r>
    </w:p>
    <w:p w14:paraId="785BF130" w14:textId="77777777" w:rsidR="00395099" w:rsidRPr="00964092" w:rsidRDefault="00395099" w:rsidP="00395099">
      <w:pPr>
        <w:pStyle w:val="ListParagraph"/>
        <w:numPr>
          <w:ilvl w:val="1"/>
          <w:numId w:val="7"/>
        </w:numPr>
        <w:spacing w:after="0" w:line="240" w:lineRule="auto"/>
        <w:jc w:val="both"/>
        <w:rPr>
          <w:rFonts w:asciiTheme="majorHAnsi" w:hAnsiTheme="majorHAnsi" w:cstheme="majorHAnsi"/>
        </w:rPr>
      </w:pPr>
      <w:r w:rsidRPr="00964092">
        <w:rPr>
          <w:rFonts w:asciiTheme="majorHAnsi" w:hAnsiTheme="majorHAnsi" w:cstheme="majorHAnsi"/>
        </w:rPr>
        <w:t>Why am I ordering this test?</w:t>
      </w:r>
    </w:p>
    <w:p w14:paraId="7A40B92B" w14:textId="77777777" w:rsidR="00395099" w:rsidRPr="00964092" w:rsidRDefault="00395099" w:rsidP="00395099">
      <w:pPr>
        <w:pStyle w:val="ListParagraph"/>
        <w:numPr>
          <w:ilvl w:val="1"/>
          <w:numId w:val="7"/>
        </w:numPr>
        <w:spacing w:after="0" w:line="240" w:lineRule="auto"/>
        <w:jc w:val="both"/>
        <w:rPr>
          <w:rFonts w:asciiTheme="majorHAnsi" w:hAnsiTheme="majorHAnsi" w:cstheme="majorHAnsi"/>
        </w:rPr>
      </w:pPr>
      <w:r w:rsidRPr="00964092">
        <w:rPr>
          <w:rFonts w:asciiTheme="majorHAnsi" w:hAnsiTheme="majorHAnsi" w:cstheme="majorHAnsi"/>
        </w:rPr>
        <w:t>What am I going to look for in the result?</w:t>
      </w:r>
    </w:p>
    <w:p w14:paraId="200C94D8" w14:textId="77777777" w:rsidR="00395099" w:rsidRPr="00964092" w:rsidRDefault="00395099" w:rsidP="00395099">
      <w:pPr>
        <w:pStyle w:val="ListParagraph"/>
        <w:numPr>
          <w:ilvl w:val="1"/>
          <w:numId w:val="7"/>
        </w:numPr>
        <w:spacing w:after="0" w:line="240" w:lineRule="auto"/>
        <w:jc w:val="both"/>
        <w:rPr>
          <w:rFonts w:asciiTheme="majorHAnsi" w:hAnsiTheme="majorHAnsi" w:cstheme="majorHAnsi"/>
        </w:rPr>
      </w:pPr>
      <w:r w:rsidRPr="00964092">
        <w:rPr>
          <w:rFonts w:asciiTheme="majorHAnsi" w:hAnsiTheme="majorHAnsi" w:cstheme="majorHAnsi"/>
        </w:rPr>
        <w:t>If I find it will it affect my diagnosis?</w:t>
      </w:r>
    </w:p>
    <w:p w14:paraId="1DB6DD71" w14:textId="77777777" w:rsidR="00395099" w:rsidRPr="00964092" w:rsidRDefault="00395099" w:rsidP="00395099">
      <w:pPr>
        <w:pStyle w:val="ListParagraph"/>
        <w:numPr>
          <w:ilvl w:val="1"/>
          <w:numId w:val="7"/>
        </w:numPr>
        <w:spacing w:after="0" w:line="240" w:lineRule="auto"/>
        <w:jc w:val="both"/>
        <w:rPr>
          <w:rFonts w:asciiTheme="majorHAnsi" w:hAnsiTheme="majorHAnsi" w:cstheme="majorHAnsi"/>
        </w:rPr>
      </w:pPr>
      <w:r w:rsidRPr="00964092">
        <w:rPr>
          <w:rFonts w:asciiTheme="majorHAnsi" w:hAnsiTheme="majorHAnsi" w:cstheme="majorHAnsi"/>
        </w:rPr>
        <w:t>How will this affect my management?</w:t>
      </w:r>
    </w:p>
    <w:p w14:paraId="0B59E9A8" w14:textId="77777777" w:rsidR="00395099" w:rsidRPr="00964092" w:rsidRDefault="00395099" w:rsidP="00395099">
      <w:pPr>
        <w:pStyle w:val="ListParagraph"/>
        <w:numPr>
          <w:ilvl w:val="1"/>
          <w:numId w:val="7"/>
        </w:numPr>
        <w:spacing w:after="0" w:line="240" w:lineRule="auto"/>
        <w:jc w:val="both"/>
        <w:rPr>
          <w:rFonts w:asciiTheme="majorHAnsi" w:hAnsiTheme="majorHAnsi" w:cstheme="majorHAnsi"/>
        </w:rPr>
      </w:pPr>
      <w:r w:rsidRPr="00964092">
        <w:rPr>
          <w:rFonts w:asciiTheme="majorHAnsi" w:hAnsiTheme="majorHAnsi" w:cstheme="majorHAnsi"/>
        </w:rPr>
        <w:t>Will this ultimately benefit the patient?</w:t>
      </w:r>
    </w:p>
    <w:p w14:paraId="13658EF3" w14:textId="77777777" w:rsidR="00395099" w:rsidRPr="00964092" w:rsidRDefault="00395099" w:rsidP="00395099">
      <w:pPr>
        <w:spacing w:after="0" w:line="240" w:lineRule="auto"/>
        <w:jc w:val="both"/>
        <w:rPr>
          <w:rFonts w:asciiTheme="majorHAnsi" w:hAnsiTheme="majorHAnsi" w:cstheme="majorHAnsi"/>
          <w:sz w:val="16"/>
          <w:szCs w:val="16"/>
        </w:rPr>
      </w:pPr>
    </w:p>
    <w:p w14:paraId="3A29CD9B" w14:textId="77777777" w:rsidR="00395099" w:rsidRPr="00964092" w:rsidRDefault="00395099" w:rsidP="00395099">
      <w:pPr>
        <w:spacing w:after="0" w:line="240" w:lineRule="auto"/>
        <w:jc w:val="both"/>
        <w:rPr>
          <w:rFonts w:cstheme="minorHAnsi"/>
          <w:b/>
          <w:bCs/>
          <w:color w:val="C45911" w:themeColor="accent2" w:themeShade="BF"/>
          <w:sz w:val="28"/>
          <w:szCs w:val="28"/>
        </w:rPr>
      </w:pPr>
      <w:r w:rsidRPr="00964092">
        <w:rPr>
          <w:rFonts w:cstheme="minorHAnsi"/>
          <w:b/>
          <w:bCs/>
          <w:color w:val="C45911" w:themeColor="accent2" w:themeShade="BF"/>
          <w:sz w:val="28"/>
          <w:szCs w:val="28"/>
        </w:rPr>
        <w:t>Observation</w:t>
      </w:r>
    </w:p>
    <w:p w14:paraId="70C1782A" w14:textId="77777777" w:rsidR="00395099" w:rsidRPr="00964092" w:rsidRDefault="00395099" w:rsidP="00395099">
      <w:pPr>
        <w:pStyle w:val="ListParagraph"/>
        <w:numPr>
          <w:ilvl w:val="0"/>
          <w:numId w:val="8"/>
        </w:numPr>
        <w:spacing w:after="0" w:line="240" w:lineRule="auto"/>
        <w:jc w:val="both"/>
        <w:rPr>
          <w:rFonts w:asciiTheme="majorHAnsi" w:hAnsiTheme="majorHAnsi" w:cstheme="majorHAnsi"/>
        </w:rPr>
      </w:pPr>
      <w:r w:rsidRPr="00964092">
        <w:rPr>
          <w:rFonts w:asciiTheme="majorHAnsi" w:hAnsiTheme="majorHAnsi" w:cstheme="majorHAnsi"/>
        </w:rPr>
        <w:t>In a General Practice context this means the long-term management and use of time to watch over a patient and their illness. Most consultations are for self-limiting conditions which simply do not require follow up. However, about one quarter of our consultations involve the management of chronic illness and the key is to care, and not necessarily cure.</w:t>
      </w:r>
    </w:p>
    <w:p w14:paraId="492BE0B0" w14:textId="77777777" w:rsidR="00395099" w:rsidRDefault="00395099" w:rsidP="00395099">
      <w:pPr>
        <w:pStyle w:val="ListParagraph"/>
        <w:numPr>
          <w:ilvl w:val="0"/>
          <w:numId w:val="8"/>
        </w:numPr>
        <w:spacing w:after="0" w:line="240" w:lineRule="auto"/>
        <w:jc w:val="both"/>
        <w:rPr>
          <w:rFonts w:asciiTheme="majorHAnsi" w:hAnsiTheme="majorHAnsi" w:cstheme="majorHAnsi"/>
        </w:rPr>
      </w:pPr>
      <w:r w:rsidRPr="00964092">
        <w:rPr>
          <w:rFonts w:asciiTheme="majorHAnsi" w:hAnsiTheme="majorHAnsi" w:cstheme="majorHAnsi"/>
        </w:rPr>
        <w:t>Inadequate follow up results in anxiety and risks for the patient. Excessive care can erode a patient's independence and foster an inappropriate dependency on the doctor. Frequent follow up makes great time and energy demands on the doctor, possibly blunting his powers of observation, creating inconsistency and overwork.</w:t>
      </w:r>
    </w:p>
    <w:p w14:paraId="33579C7A" w14:textId="77777777" w:rsidR="00395099" w:rsidRPr="00964092" w:rsidRDefault="00395099" w:rsidP="00395099">
      <w:pPr>
        <w:pStyle w:val="ListParagraph"/>
        <w:numPr>
          <w:ilvl w:val="0"/>
          <w:numId w:val="8"/>
        </w:numPr>
        <w:spacing w:after="0" w:line="240" w:lineRule="auto"/>
        <w:jc w:val="both"/>
        <w:rPr>
          <w:rFonts w:asciiTheme="majorHAnsi" w:hAnsiTheme="majorHAnsi" w:cstheme="majorHAnsi"/>
        </w:rPr>
      </w:pPr>
      <w:r w:rsidRPr="00964092">
        <w:rPr>
          <w:rFonts w:asciiTheme="majorHAnsi" w:hAnsiTheme="majorHAnsi" w:cstheme="majorHAnsi"/>
        </w:rPr>
        <w:t>The following factors can improve our observation of our patients:</w:t>
      </w:r>
      <w:r>
        <w:rPr>
          <w:rFonts w:asciiTheme="majorHAnsi" w:hAnsiTheme="majorHAnsi" w:cstheme="majorHAnsi"/>
        </w:rPr>
        <w:t xml:space="preserve">  </w:t>
      </w:r>
      <w:r w:rsidRPr="00964092">
        <w:rPr>
          <w:rFonts w:asciiTheme="majorHAnsi" w:hAnsiTheme="majorHAnsi" w:cstheme="majorHAnsi"/>
        </w:rPr>
        <w:t>flexible appointment systems</w:t>
      </w:r>
      <w:r>
        <w:rPr>
          <w:rFonts w:asciiTheme="majorHAnsi" w:hAnsiTheme="majorHAnsi" w:cstheme="majorHAnsi"/>
        </w:rPr>
        <w:t xml:space="preserve">, </w:t>
      </w:r>
      <w:r w:rsidRPr="00964092">
        <w:rPr>
          <w:rFonts w:asciiTheme="majorHAnsi" w:hAnsiTheme="majorHAnsi" w:cstheme="majorHAnsi"/>
        </w:rPr>
        <w:t>disease registers</w:t>
      </w:r>
      <w:r>
        <w:rPr>
          <w:rFonts w:asciiTheme="majorHAnsi" w:hAnsiTheme="majorHAnsi" w:cstheme="majorHAnsi"/>
        </w:rPr>
        <w:t xml:space="preserve">, </w:t>
      </w:r>
      <w:r w:rsidRPr="00964092">
        <w:rPr>
          <w:rFonts w:asciiTheme="majorHAnsi" w:hAnsiTheme="majorHAnsi" w:cstheme="majorHAnsi"/>
        </w:rPr>
        <w:t>accessible doctors</w:t>
      </w:r>
      <w:r>
        <w:rPr>
          <w:rFonts w:asciiTheme="majorHAnsi" w:hAnsiTheme="majorHAnsi" w:cstheme="majorHAnsi"/>
        </w:rPr>
        <w:t xml:space="preserve">, </w:t>
      </w:r>
      <w:r w:rsidRPr="00964092">
        <w:rPr>
          <w:rFonts w:asciiTheme="majorHAnsi" w:hAnsiTheme="majorHAnsi" w:cstheme="majorHAnsi"/>
        </w:rPr>
        <w:t>follow up clinics</w:t>
      </w:r>
      <w:r>
        <w:rPr>
          <w:rFonts w:asciiTheme="majorHAnsi" w:hAnsiTheme="majorHAnsi" w:cstheme="majorHAnsi"/>
        </w:rPr>
        <w:t xml:space="preserve">, </w:t>
      </w:r>
      <w:r w:rsidRPr="00964092">
        <w:rPr>
          <w:rFonts w:asciiTheme="majorHAnsi" w:hAnsiTheme="majorHAnsi" w:cstheme="majorHAnsi"/>
        </w:rPr>
        <w:t>protocols and guidelines</w:t>
      </w:r>
      <w:r>
        <w:rPr>
          <w:rFonts w:asciiTheme="majorHAnsi" w:hAnsiTheme="majorHAnsi" w:cstheme="majorHAnsi"/>
        </w:rPr>
        <w:t>.</w:t>
      </w:r>
    </w:p>
    <w:p w14:paraId="431AB44F" w14:textId="77777777" w:rsidR="00395099" w:rsidRPr="00964092" w:rsidRDefault="00395099" w:rsidP="00395099">
      <w:pPr>
        <w:spacing w:after="0" w:line="240" w:lineRule="auto"/>
        <w:jc w:val="both"/>
        <w:rPr>
          <w:rFonts w:asciiTheme="majorHAnsi" w:hAnsiTheme="majorHAnsi" w:cstheme="majorHAnsi"/>
          <w:sz w:val="16"/>
          <w:szCs w:val="16"/>
        </w:rPr>
      </w:pPr>
    </w:p>
    <w:p w14:paraId="7284192E" w14:textId="77777777" w:rsidR="00395099" w:rsidRPr="00964092" w:rsidRDefault="00395099" w:rsidP="00395099">
      <w:pPr>
        <w:spacing w:after="0" w:line="240" w:lineRule="auto"/>
        <w:jc w:val="both"/>
        <w:rPr>
          <w:rFonts w:cstheme="minorHAnsi"/>
          <w:b/>
          <w:bCs/>
          <w:color w:val="C45911" w:themeColor="accent2" w:themeShade="BF"/>
          <w:sz w:val="28"/>
          <w:szCs w:val="28"/>
        </w:rPr>
      </w:pPr>
      <w:r w:rsidRPr="00964092">
        <w:rPr>
          <w:rFonts w:cstheme="minorHAnsi"/>
          <w:b/>
          <w:bCs/>
          <w:color w:val="C45911" w:themeColor="accent2" w:themeShade="BF"/>
          <w:sz w:val="28"/>
          <w:szCs w:val="28"/>
        </w:rPr>
        <w:t>Prevention</w:t>
      </w:r>
    </w:p>
    <w:p w14:paraId="50C6FBC9" w14:textId="77777777" w:rsidR="00395099" w:rsidRPr="00964092" w:rsidRDefault="00395099" w:rsidP="00395099">
      <w:pPr>
        <w:pStyle w:val="ListParagraph"/>
        <w:numPr>
          <w:ilvl w:val="0"/>
          <w:numId w:val="9"/>
        </w:numPr>
        <w:spacing w:after="0" w:line="240" w:lineRule="auto"/>
        <w:jc w:val="both"/>
        <w:rPr>
          <w:rFonts w:asciiTheme="majorHAnsi" w:hAnsiTheme="majorHAnsi" w:cstheme="majorHAnsi"/>
        </w:rPr>
      </w:pPr>
      <w:r w:rsidRPr="00964092">
        <w:rPr>
          <w:rFonts w:asciiTheme="majorHAnsi" w:hAnsiTheme="majorHAnsi" w:cstheme="majorHAnsi"/>
        </w:rPr>
        <w:t xml:space="preserve">Anticipatory care is that part of our work which encourages Health Promotion and Disease Prevention. The skill here is to think of it. We all know several basic ways in which people could lead healthier </w:t>
      </w:r>
      <w:proofErr w:type="gramStart"/>
      <w:r w:rsidRPr="00964092">
        <w:rPr>
          <w:rFonts w:asciiTheme="majorHAnsi" w:hAnsiTheme="majorHAnsi" w:cstheme="majorHAnsi"/>
        </w:rPr>
        <w:t>lives</w:t>
      </w:r>
      <w:proofErr w:type="gramEnd"/>
      <w:r w:rsidRPr="00964092">
        <w:rPr>
          <w:rFonts w:asciiTheme="majorHAnsi" w:hAnsiTheme="majorHAnsi" w:cstheme="majorHAnsi"/>
        </w:rPr>
        <w:t xml:space="preserve"> but we so often fail to promote these ideas in our surgeries.  </w:t>
      </w:r>
    </w:p>
    <w:p w14:paraId="7CB63471" w14:textId="77777777" w:rsidR="00395099" w:rsidRPr="00964092" w:rsidRDefault="00395099" w:rsidP="00395099">
      <w:pPr>
        <w:spacing w:after="0" w:line="240" w:lineRule="auto"/>
        <w:jc w:val="both"/>
        <w:rPr>
          <w:rFonts w:asciiTheme="majorHAnsi" w:hAnsiTheme="majorHAnsi" w:cstheme="majorHAnsi"/>
          <w:sz w:val="16"/>
          <w:szCs w:val="16"/>
        </w:rPr>
      </w:pPr>
    </w:p>
    <w:p w14:paraId="78013F55" w14:textId="7506DEDD" w:rsidR="00342597" w:rsidRPr="00395099" w:rsidRDefault="00395099" w:rsidP="00395099">
      <w:r w:rsidRPr="00964092">
        <w:rPr>
          <w:rFonts w:asciiTheme="majorHAnsi" w:hAnsiTheme="majorHAnsi" w:cstheme="majorHAnsi"/>
        </w:rPr>
        <w:t>The explanation is that the patient usually comes for a specific problem or problems directly unrelated to chronic disease or factors influencing health. To improve our performance in these areas we need to remember to address these areas, albeit briefly, in as many consultations as possible. Having been trained in a disease-based problem solving hospital environment it is not always second nature for GPs to promote health.</w:t>
      </w:r>
      <w:bookmarkStart w:id="1" w:name="_GoBack"/>
      <w:bookmarkEnd w:id="1"/>
    </w:p>
    <w:sectPr w:rsidR="00342597" w:rsidRPr="0039509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711EA6"/>
    <w:multiLevelType w:val="hybridMultilevel"/>
    <w:tmpl w:val="F1DE755C"/>
    <w:lvl w:ilvl="0" w:tplc="35DE0D98">
      <w:start w:val="1"/>
      <w:numFmt w:val="bullet"/>
      <w:lvlText w:val="•"/>
      <w:lvlJc w:val="left"/>
      <w:pPr>
        <w:tabs>
          <w:tab w:val="num" w:pos="720"/>
        </w:tabs>
        <w:ind w:left="720" w:hanging="360"/>
      </w:pPr>
      <w:rPr>
        <w:rFonts w:ascii="Arial" w:hAnsi="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99A7AB0"/>
    <w:multiLevelType w:val="hybridMultilevel"/>
    <w:tmpl w:val="2D240704"/>
    <w:lvl w:ilvl="0" w:tplc="35DE0D98">
      <w:start w:val="1"/>
      <w:numFmt w:val="bullet"/>
      <w:lvlText w:val="•"/>
      <w:lvlJc w:val="left"/>
      <w:pPr>
        <w:tabs>
          <w:tab w:val="num" w:pos="720"/>
        </w:tabs>
        <w:ind w:left="720" w:hanging="360"/>
      </w:pPr>
      <w:rPr>
        <w:rFonts w:ascii="Arial" w:hAnsi="Arial"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FA6BC0"/>
    <w:multiLevelType w:val="hybridMultilevel"/>
    <w:tmpl w:val="E56E3F26"/>
    <w:lvl w:ilvl="0" w:tplc="35DE0D9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017A35"/>
    <w:multiLevelType w:val="hybridMultilevel"/>
    <w:tmpl w:val="3C7CED94"/>
    <w:lvl w:ilvl="0" w:tplc="35DE0D9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260326"/>
    <w:multiLevelType w:val="hybridMultilevel"/>
    <w:tmpl w:val="7440545E"/>
    <w:lvl w:ilvl="0" w:tplc="35DE0D98">
      <w:start w:val="1"/>
      <w:numFmt w:val="bullet"/>
      <w:lvlText w:val="•"/>
      <w:lvlJc w:val="left"/>
      <w:pPr>
        <w:tabs>
          <w:tab w:val="num" w:pos="720"/>
        </w:tabs>
        <w:ind w:left="720" w:hanging="360"/>
      </w:pPr>
      <w:rPr>
        <w:rFonts w:ascii="Arial" w:hAnsi="Arial" w:hint="default"/>
      </w:rPr>
    </w:lvl>
    <w:lvl w:ilvl="1" w:tplc="C19876EE">
      <w:start w:val="158"/>
      <w:numFmt w:val="bullet"/>
      <w:lvlText w:val="–"/>
      <w:lvlJc w:val="left"/>
      <w:pPr>
        <w:tabs>
          <w:tab w:val="num" w:pos="1440"/>
        </w:tabs>
        <w:ind w:left="1440" w:hanging="360"/>
      </w:pPr>
      <w:rPr>
        <w:rFonts w:ascii="Gill Sans MT" w:hAnsi="Gill Sans MT" w:hint="default"/>
      </w:rPr>
    </w:lvl>
    <w:lvl w:ilvl="2" w:tplc="2B5E0578" w:tentative="1">
      <w:start w:val="1"/>
      <w:numFmt w:val="bullet"/>
      <w:lvlText w:val="•"/>
      <w:lvlJc w:val="left"/>
      <w:pPr>
        <w:tabs>
          <w:tab w:val="num" w:pos="2160"/>
        </w:tabs>
        <w:ind w:left="2160" w:hanging="360"/>
      </w:pPr>
      <w:rPr>
        <w:rFonts w:ascii="Arial" w:hAnsi="Arial" w:hint="default"/>
      </w:rPr>
    </w:lvl>
    <w:lvl w:ilvl="3" w:tplc="1C7E67B8" w:tentative="1">
      <w:start w:val="1"/>
      <w:numFmt w:val="bullet"/>
      <w:lvlText w:val="•"/>
      <w:lvlJc w:val="left"/>
      <w:pPr>
        <w:tabs>
          <w:tab w:val="num" w:pos="2880"/>
        </w:tabs>
        <w:ind w:left="2880" w:hanging="360"/>
      </w:pPr>
      <w:rPr>
        <w:rFonts w:ascii="Arial" w:hAnsi="Arial" w:hint="default"/>
      </w:rPr>
    </w:lvl>
    <w:lvl w:ilvl="4" w:tplc="5FACA438" w:tentative="1">
      <w:start w:val="1"/>
      <w:numFmt w:val="bullet"/>
      <w:lvlText w:val="•"/>
      <w:lvlJc w:val="left"/>
      <w:pPr>
        <w:tabs>
          <w:tab w:val="num" w:pos="3600"/>
        </w:tabs>
        <w:ind w:left="3600" w:hanging="360"/>
      </w:pPr>
      <w:rPr>
        <w:rFonts w:ascii="Arial" w:hAnsi="Arial" w:hint="default"/>
      </w:rPr>
    </w:lvl>
    <w:lvl w:ilvl="5" w:tplc="695C5234" w:tentative="1">
      <w:start w:val="1"/>
      <w:numFmt w:val="bullet"/>
      <w:lvlText w:val="•"/>
      <w:lvlJc w:val="left"/>
      <w:pPr>
        <w:tabs>
          <w:tab w:val="num" w:pos="4320"/>
        </w:tabs>
        <w:ind w:left="4320" w:hanging="360"/>
      </w:pPr>
      <w:rPr>
        <w:rFonts w:ascii="Arial" w:hAnsi="Arial" w:hint="default"/>
      </w:rPr>
    </w:lvl>
    <w:lvl w:ilvl="6" w:tplc="1624AE7A" w:tentative="1">
      <w:start w:val="1"/>
      <w:numFmt w:val="bullet"/>
      <w:lvlText w:val="•"/>
      <w:lvlJc w:val="left"/>
      <w:pPr>
        <w:tabs>
          <w:tab w:val="num" w:pos="5040"/>
        </w:tabs>
        <w:ind w:left="5040" w:hanging="360"/>
      </w:pPr>
      <w:rPr>
        <w:rFonts w:ascii="Arial" w:hAnsi="Arial" w:hint="default"/>
      </w:rPr>
    </w:lvl>
    <w:lvl w:ilvl="7" w:tplc="33C0B76C" w:tentative="1">
      <w:start w:val="1"/>
      <w:numFmt w:val="bullet"/>
      <w:lvlText w:val="•"/>
      <w:lvlJc w:val="left"/>
      <w:pPr>
        <w:tabs>
          <w:tab w:val="num" w:pos="5760"/>
        </w:tabs>
        <w:ind w:left="5760" w:hanging="360"/>
      </w:pPr>
      <w:rPr>
        <w:rFonts w:ascii="Arial" w:hAnsi="Arial" w:hint="default"/>
      </w:rPr>
    </w:lvl>
    <w:lvl w:ilvl="8" w:tplc="1C72B3F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A7C3F14"/>
    <w:multiLevelType w:val="hybridMultilevel"/>
    <w:tmpl w:val="51C0BAB4"/>
    <w:lvl w:ilvl="0" w:tplc="08090017">
      <w:start w:val="1"/>
      <w:numFmt w:val="lowerLetter"/>
      <w:lvlText w:val="%1)"/>
      <w:lvlJc w:val="left"/>
      <w:pPr>
        <w:tabs>
          <w:tab w:val="num" w:pos="720"/>
        </w:tabs>
        <w:ind w:left="720" w:hanging="360"/>
      </w:pPr>
      <w:rPr>
        <w:rFonts w:hint="default"/>
      </w:rPr>
    </w:lvl>
    <w:lvl w:ilvl="1" w:tplc="C19876EE">
      <w:start w:val="158"/>
      <w:numFmt w:val="bullet"/>
      <w:lvlText w:val="–"/>
      <w:lvlJc w:val="left"/>
      <w:pPr>
        <w:tabs>
          <w:tab w:val="num" w:pos="1440"/>
        </w:tabs>
        <w:ind w:left="1440" w:hanging="360"/>
      </w:pPr>
      <w:rPr>
        <w:rFonts w:ascii="Gill Sans MT" w:hAnsi="Gill Sans MT" w:hint="default"/>
      </w:rPr>
    </w:lvl>
    <w:lvl w:ilvl="2" w:tplc="2B5E0578" w:tentative="1">
      <w:start w:val="1"/>
      <w:numFmt w:val="bullet"/>
      <w:lvlText w:val="•"/>
      <w:lvlJc w:val="left"/>
      <w:pPr>
        <w:tabs>
          <w:tab w:val="num" w:pos="2160"/>
        </w:tabs>
        <w:ind w:left="2160" w:hanging="360"/>
      </w:pPr>
      <w:rPr>
        <w:rFonts w:ascii="Arial" w:hAnsi="Arial" w:hint="default"/>
      </w:rPr>
    </w:lvl>
    <w:lvl w:ilvl="3" w:tplc="1C7E67B8" w:tentative="1">
      <w:start w:val="1"/>
      <w:numFmt w:val="bullet"/>
      <w:lvlText w:val="•"/>
      <w:lvlJc w:val="left"/>
      <w:pPr>
        <w:tabs>
          <w:tab w:val="num" w:pos="2880"/>
        </w:tabs>
        <w:ind w:left="2880" w:hanging="360"/>
      </w:pPr>
      <w:rPr>
        <w:rFonts w:ascii="Arial" w:hAnsi="Arial" w:hint="default"/>
      </w:rPr>
    </w:lvl>
    <w:lvl w:ilvl="4" w:tplc="5FACA438" w:tentative="1">
      <w:start w:val="1"/>
      <w:numFmt w:val="bullet"/>
      <w:lvlText w:val="•"/>
      <w:lvlJc w:val="left"/>
      <w:pPr>
        <w:tabs>
          <w:tab w:val="num" w:pos="3600"/>
        </w:tabs>
        <w:ind w:left="3600" w:hanging="360"/>
      </w:pPr>
      <w:rPr>
        <w:rFonts w:ascii="Arial" w:hAnsi="Arial" w:hint="default"/>
      </w:rPr>
    </w:lvl>
    <w:lvl w:ilvl="5" w:tplc="695C5234" w:tentative="1">
      <w:start w:val="1"/>
      <w:numFmt w:val="bullet"/>
      <w:lvlText w:val="•"/>
      <w:lvlJc w:val="left"/>
      <w:pPr>
        <w:tabs>
          <w:tab w:val="num" w:pos="4320"/>
        </w:tabs>
        <w:ind w:left="4320" w:hanging="360"/>
      </w:pPr>
      <w:rPr>
        <w:rFonts w:ascii="Arial" w:hAnsi="Arial" w:hint="default"/>
      </w:rPr>
    </w:lvl>
    <w:lvl w:ilvl="6" w:tplc="1624AE7A" w:tentative="1">
      <w:start w:val="1"/>
      <w:numFmt w:val="bullet"/>
      <w:lvlText w:val="•"/>
      <w:lvlJc w:val="left"/>
      <w:pPr>
        <w:tabs>
          <w:tab w:val="num" w:pos="5040"/>
        </w:tabs>
        <w:ind w:left="5040" w:hanging="360"/>
      </w:pPr>
      <w:rPr>
        <w:rFonts w:ascii="Arial" w:hAnsi="Arial" w:hint="default"/>
      </w:rPr>
    </w:lvl>
    <w:lvl w:ilvl="7" w:tplc="33C0B76C" w:tentative="1">
      <w:start w:val="1"/>
      <w:numFmt w:val="bullet"/>
      <w:lvlText w:val="•"/>
      <w:lvlJc w:val="left"/>
      <w:pPr>
        <w:tabs>
          <w:tab w:val="num" w:pos="5760"/>
        </w:tabs>
        <w:ind w:left="5760" w:hanging="360"/>
      </w:pPr>
      <w:rPr>
        <w:rFonts w:ascii="Arial" w:hAnsi="Arial" w:hint="default"/>
      </w:rPr>
    </w:lvl>
    <w:lvl w:ilvl="8" w:tplc="1C72B3F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4CB74CF3"/>
    <w:multiLevelType w:val="hybridMultilevel"/>
    <w:tmpl w:val="7FF09D74"/>
    <w:lvl w:ilvl="0" w:tplc="35DE0D9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DE736CA"/>
    <w:multiLevelType w:val="hybridMultilevel"/>
    <w:tmpl w:val="343C57DA"/>
    <w:lvl w:ilvl="0" w:tplc="35DE0D9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8E02370"/>
    <w:multiLevelType w:val="hybridMultilevel"/>
    <w:tmpl w:val="F4FC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5"/>
  </w:num>
  <w:num w:numId="4">
    <w:abstractNumId w:val="6"/>
  </w:num>
  <w:num w:numId="5">
    <w:abstractNumId w:val="2"/>
  </w:num>
  <w:num w:numId="6">
    <w:abstractNumId w:val="0"/>
  </w:num>
  <w:num w:numId="7">
    <w:abstractNumId w:val="1"/>
  </w:num>
  <w:num w:numId="8">
    <w:abstractNumId w:val="3"/>
  </w:num>
  <w:num w:numId="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644C"/>
    <w:rsid w:val="001070E2"/>
    <w:rsid w:val="00194476"/>
    <w:rsid w:val="00342597"/>
    <w:rsid w:val="00395099"/>
    <w:rsid w:val="004319BB"/>
    <w:rsid w:val="00442561"/>
    <w:rsid w:val="004B4AD1"/>
    <w:rsid w:val="00503D6E"/>
    <w:rsid w:val="00611D54"/>
    <w:rsid w:val="00743CB2"/>
    <w:rsid w:val="007E7E6C"/>
    <w:rsid w:val="008558DB"/>
    <w:rsid w:val="008B30FF"/>
    <w:rsid w:val="008E3C2E"/>
    <w:rsid w:val="00A52129"/>
    <w:rsid w:val="00A5695B"/>
    <w:rsid w:val="00CB3A4C"/>
    <w:rsid w:val="00D50CEF"/>
    <w:rsid w:val="00DF2602"/>
    <w:rsid w:val="00E101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099"/>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906</Words>
  <Characters>5165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2019-08-16T12:42:00Z</dcterms:created>
  <dcterms:modified xsi:type="dcterms:W3CDTF">2019-08-16T12:42:00Z</dcterms:modified>
</cp:coreProperties>
</file>