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 w:eastAsia="Calibri" w:cs="Calibri"/>
          <w:b/>
          <w:i w:val="0"/>
          <w:color w:val="4B0082"/>
          <w:sz w:val="22"/>
        </w:rPr>
        <w:t>Bradford VTS | Women's Health</w:t>
      </w:r>
    </w:p>
    <w:p>
      <w:pPr>
        <w:spacing w:after="120"/>
        <w:jc w:val="center"/>
      </w:pPr>
      <w:r>
        <w:rPr>
          <w:rFonts w:ascii="Calibri" w:hAnsi="Calibri" w:eastAsia="Calibri" w:cs="Calibri"/>
          <w:b w:val="0"/>
          <w:i w:val="0"/>
          <w:color w:val="646464"/>
          <w:sz w:val="20"/>
        </w:rPr>
        <w:t>www.bradfordvts.co.uk</w:t>
      </w:r>
    </w:p>
    <w:p>
      <w:pPr>
        <w:spacing w:before="20" w:after="20"/>
        <w:pBdr>
          <w:bottom w:val="single" w:sz="6" w:space="1" w:color="4B0082"/>
        </w:pBdr>
      </w:pPr>
    </w:p>
    <w:p>
      <w:pPr>
        <w:spacing w:before="160" w:after="80"/>
        <w:jc w:val="center"/>
      </w:pPr>
      <w:r>
        <w:rPr>
          <w:rFonts w:ascii="Calibri" w:hAnsi="Calibri" w:eastAsia="Calibri" w:cs="Calibri"/>
          <w:b/>
          <w:i w:val="0"/>
          <w:color w:val="4B0082"/>
          <w:sz w:val="40"/>
        </w:rPr>
        <w:t>Chlamydia</w:t>
      </w:r>
    </w:p>
    <w:p>
      <w:pPr>
        <w:spacing w:after="120"/>
        <w:jc w:val="center"/>
      </w:pPr>
      <w:r>
        <w:rPr>
          <w:rFonts w:ascii="Calibri" w:hAnsi="Calibri" w:eastAsia="Calibri" w:cs="Calibri"/>
          <w:b w:val="0"/>
          <w:i/>
          <w:color w:val="646464"/>
          <w:sz w:val="24"/>
        </w:rPr>
        <w:t>GP Reference Handout — Bradford VTS | Updated 2024</w:t>
      </w:r>
    </w:p>
    <w:p>
      <w:pPr>
        <w:spacing w:before="20" w:after="20"/>
        <w:pBdr>
          <w:bottom w:val="single" w:sz="6" w:space="1" w:color="4B0082"/>
        </w:pBdr>
      </w:pPr>
    </w:p>
    <w:p>
      <w:pPr>
        <w:spacing w:before="40" w:after="120"/>
      </w:pPr>
      <w:r>
        <w:rPr>
          <w:rFonts w:ascii="Calibri" w:hAnsi="Calibri" w:eastAsia="Calibri" w:cs="Calibri"/>
          <w:b/>
          <w:i/>
          <w:color w:val="B46400"/>
          <w:sz w:val="20"/>
        </w:rPr>
        <w:t>[CLINICAL UPDATE] Azithromycin 1g single dose is NO LONGER first-line for chlamydia. Current BASHH 2023 first-line: doxycycline 100mg BD × 7 days. See Management section below.</w:t>
      </w:r>
    </w:p>
    <w:p>
      <w:pPr>
        <w:spacing w:before="200" w:after="80"/>
      </w:pPr>
      <w:r>
        <w:rPr>
          <w:rFonts w:ascii="Calibri" w:hAnsi="Calibri" w:eastAsia="Calibri" w:cs="Calibri"/>
          <w:b/>
          <w:i w:val="0"/>
          <w:color w:val="4B0082"/>
          <w:sz w:val="32"/>
        </w:rPr>
        <w:t>What is chlamydia?</w:t>
      </w:r>
    </w:p>
    <w:p>
      <w:pPr>
        <w:spacing w:before="40" w:after="40"/>
      </w:pPr>
      <w:r>
        <w:rPr>
          <w:rFonts w:ascii="Calibri" w:hAnsi="Calibri" w:eastAsia="Calibri" w:cs="Calibri"/>
          <w:b w:val="0"/>
          <w:i w:val="0"/>
          <w:sz w:val="22"/>
        </w:rPr>
        <w:t>Chlamydia trachomatis — obligate intracellular bacterium. The most common bacterial STI in the UK. Very common in those under 25.</w:t>
      </w:r>
    </w:p>
    <w:p>
      <w:pPr>
        <w:spacing w:before="200" w:after="80"/>
      </w:pPr>
      <w:r>
        <w:rPr>
          <w:rFonts w:ascii="Calibri" w:hAnsi="Calibri" w:eastAsia="Calibri" w:cs="Calibri"/>
          <w:b/>
          <w:i w:val="0"/>
          <w:color w:val="4B0082"/>
          <w:sz w:val="32"/>
        </w:rPr>
        <w:t>Symptoms and complications</w:t>
      </w:r>
    </w:p>
    <w:p>
      <w:pPr>
        <w:spacing w:before="140" w:after="40"/>
      </w:pPr>
      <w:r>
        <w:rPr>
          <w:rFonts w:ascii="Calibri" w:hAnsi="Calibri" w:eastAsia="Calibri" w:cs="Calibri"/>
          <w:b/>
          <w:i w:val="0"/>
          <w:color w:val="007878"/>
          <w:sz w:val="26"/>
        </w:rPr>
        <w:t>In women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80% of infections in women are ASYMPTOMATIC — the main reason it spreads undetected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When symptomatic: vaginal discharge, intermenstrual bleeding (including breakthrough bleeding on OCP), dysuria, pelvic pain, dyspareunia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Complications: PID (50% caused by chlamydia), ectopic pregnancy (43% linked to chlamydia), infertility, chronic pelvic pain, reactive arthritis (Reiter's syndrome)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In pregnancy: preterm labour, neonatal conjunctivitis, neonatal pneumonitis</w:t>
      </w:r>
    </w:p>
    <w:p>
      <w:pPr>
        <w:spacing w:before="140" w:after="40"/>
      </w:pPr>
      <w:r>
        <w:rPr>
          <w:rFonts w:ascii="Calibri" w:hAnsi="Calibri" w:eastAsia="Calibri" w:cs="Calibri"/>
          <w:b/>
          <w:i w:val="0"/>
          <w:color w:val="007878"/>
          <w:sz w:val="26"/>
        </w:rPr>
        <w:t>In men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More often symptomatic: urethral discharge, dysuria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Complications: epididymo-orchitis, reactive arthritis</w:t>
      </w:r>
    </w:p>
    <w:p>
      <w:pPr>
        <w:spacing w:before="200" w:after="80"/>
      </w:pPr>
      <w:r>
        <w:rPr>
          <w:rFonts w:ascii="Calibri" w:hAnsi="Calibri" w:eastAsia="Calibri" w:cs="Calibri"/>
          <w:b/>
          <w:i w:val="0"/>
          <w:color w:val="4B0082"/>
          <w:sz w:val="32"/>
        </w:rPr>
        <w:t>Who gets it?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~10% of sexually active women aged 16–25 in UK; 8% of women seeking TOP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Risk factors: age &lt;25; new or multiple sexual partners; no barrier contraception; other STIs; OCP use (ectropion)</w:t>
      </w:r>
    </w:p>
    <w:p>
      <w:pPr>
        <w:spacing w:before="200" w:after="80"/>
      </w:pPr>
      <w:r>
        <w:rPr>
          <w:rFonts w:ascii="Calibri" w:hAnsi="Calibri" w:eastAsia="Calibri" w:cs="Calibri"/>
          <w:b/>
          <w:i w:val="0"/>
          <w:color w:val="4B0082"/>
          <w:sz w:val="32"/>
        </w:rPr>
        <w:t>Diagnosis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Cannot diagnose on symptoms and signs alone — must test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Test of choice: NAAT (nucleic acid amplification test) — near 100% sensitivity/specificity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Women: first-void urine (not MSU) OR endocervical swab (must capture cellular material — organism is intracellular)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Men: first-void urine (or urethral swab — but uncomfortable)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Always obtain informed consent before testing</w:t>
      </w:r>
    </w:p>
    <w:p>
      <w:pPr>
        <w:spacing w:before="200" w:after="80"/>
      </w:pPr>
      <w:r>
        <w:rPr>
          <w:rFonts w:ascii="Calibri" w:hAnsi="Calibri" w:eastAsia="Calibri" w:cs="Calibri"/>
          <w:b/>
          <w:i w:val="0"/>
          <w:color w:val="4B0082"/>
          <w:sz w:val="32"/>
        </w:rPr>
        <w:t>Who to test?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NCSP (National Chlamydia Screening Programme): all sexually active people under 25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Clinical indications: mucopurulent cervical discharge; contact bleeding; PCB or IMB; cervicitis; urethritis symptoms; new sexual partner; ≥2 partners in past 12 months</w:t>
      </w:r>
    </w:p>
    <w:p>
      <w:pPr>
        <w:spacing w:before="200" w:after="80"/>
      </w:pPr>
      <w:r>
        <w:rPr>
          <w:rFonts w:ascii="Calibri" w:hAnsi="Calibri" w:eastAsia="Calibri" w:cs="Calibri"/>
          <w:b/>
          <w:i w:val="0"/>
          <w:color w:val="4B0082"/>
          <w:sz w:val="32"/>
        </w:rPr>
        <w:t>Management</w:t>
      </w:r>
    </w:p>
    <w:p>
      <w:pPr>
        <w:spacing w:before="80" w:after="80"/>
        <w:ind w:left="283" w:right="283"/>
      </w:pPr>
      <w:r>
        <w:rPr>
          <w:rFonts w:ascii="Calibri" w:hAnsi="Calibri" w:eastAsia="Calibri" w:cs="Calibri"/>
          <w:b/>
          <w:i w:val="0"/>
          <w:color w:val="B46400"/>
          <w:sz w:val="22"/>
        </w:rPr>
        <w:t>⚡  FIRST-LINE (BASHH 2023): Doxycycline 100mg BD × 7 days</w:t>
        <w:br/>
        <w:t xml:space="preserve">    (Azithromycin 1g single dose is NO LONGER first-line — suboptimal cure rates, resistance)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Alternatives: azithromycin 500mg day 1 then 250mg OD days 2–7 (if doxycycline not tolerated); ofloxacin 200mg BD × 7 days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In pregnancy and breastfeeding: azithromycin (consult specialist) or erythromycin 500mg QDS × 7 days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Contact tracing: essential — notify and treat ALL recent partners; GUM/CASH service involvement recommended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Test of cure: not routinely required if completed course; if needed, wait ≥3 weeks after start of treatment (avoid false-positive PCR)</w:t>
      </w:r>
    </w:p>
    <w:p>
      <w:pPr>
        <w:spacing w:before="140" w:after="40"/>
      </w:pPr>
      <w:r>
        <w:rPr>
          <w:rFonts w:ascii="Calibri" w:hAnsi="Calibri" w:eastAsia="Calibri" w:cs="Calibri"/>
          <w:b/>
          <w:i w:val="0"/>
          <w:color w:val="B40000"/>
          <w:sz w:val="26"/>
        </w:rPr>
        <w:t>PID (suspected chlamydia cause)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Mild/moderate PID: ofloxacin 400mg BD + metronidazole 400mg BD × 14 days (outpatient)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Severe PID: hospital admission for IV antibiotics</w:t>
      </w:r>
    </w:p>
    <w:p>
      <w:pPr>
        <w:spacing w:before="200" w:after="80"/>
      </w:pPr>
      <w:r>
        <w:rPr>
          <w:rFonts w:ascii="Calibri" w:hAnsi="Calibri" w:eastAsia="Calibri" w:cs="Calibri"/>
          <w:b/>
          <w:i w:val="0"/>
          <w:color w:val="4B0082"/>
          <w:sz w:val="32"/>
        </w:rPr>
        <w:t>Prognosis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Reinfection is common — re-test 3 months after treatment in under-25s</w:t>
      </w:r>
    </w:p>
    <w:p>
      <w:pPr>
        <w:spacing w:before="20" w:after="20"/>
        <w:ind w:left="283" w:hanging="227"/>
      </w:pPr>
      <w:r>
        <w:rPr>
          <w:rFonts w:ascii="Calibri" w:hAnsi="Calibri" w:eastAsia="Calibri" w:cs="Calibri"/>
          <w:b w:val="0"/>
          <w:i w:val="0"/>
          <w:sz w:val="22"/>
        </w:rPr>
        <w:t>•  Most complications (PID, ectopic, infertility) are preventable with early detection and treatment</w:t>
      </w:r>
    </w:p>
    <w:p>
      <w:pPr>
        <w:spacing w:before="20" w:after="20"/>
        <w:pBdr>
          <w:bottom w:val="single" w:sz="6" w:space="1" w:color="4B0082"/>
        </w:pBdr>
      </w:pPr>
    </w:p>
    <w:p>
      <w:pPr>
        <w:spacing w:before="120"/>
        <w:jc w:val="center"/>
      </w:pPr>
      <w:r>
        <w:rPr>
          <w:rFonts w:ascii="Calibri" w:hAnsi="Calibri" w:eastAsia="Calibri" w:cs="Calibri"/>
          <w:b w:val="0"/>
          <w:i/>
          <w:color w:val="646464"/>
          <w:sz w:val="18"/>
        </w:rPr>
        <w:t>Bradford VTS — Women's Health  |  www.bradfordvts.co.uk</w:t>
      </w:r>
    </w:p>
    <w:p>
      <w:pPr>
        <w:jc w:val="center"/>
      </w:pPr>
      <w:r>
        <w:rPr>
          <w:rFonts w:ascii="Calibri" w:hAnsi="Calibri" w:eastAsia="Calibri" w:cs="Calibri"/>
          <w:b w:val="0"/>
          <w:i/>
          <w:color w:val="969696"/>
          <w:sz w:val="18"/>
        </w:rPr>
        <w:t>Updated 2024 to BASHH 2023 chlamydia guidelines. Original Bradford VTS resource.</w:t>
      </w:r>
    </w:p>
    <w:sectPr w:rsidR="00FC693F" w:rsidRPr="0006063C" w:rsidSect="00034616">
      <w:pgSz w:w="11906" w:h="16838"/>
      <w:pgMar w:top="1134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