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Calibri" w:hAnsi="Calibri" w:eastAsia="Calibri" w:cs="Calibri"/>
          <w:b/>
          <w:i w:val="0"/>
          <w:color w:val="4B0082"/>
          <w:sz w:val="22"/>
        </w:rPr>
        <w:t>Bradford VTS — Women's Health</w:t>
      </w:r>
    </w:p>
    <w:p>
      <w:pPr>
        <w:spacing w:after="160"/>
        <w:jc w:val="center"/>
      </w:pPr>
      <w:r>
        <w:rPr>
          <w:rFonts w:ascii="Calibri" w:hAnsi="Calibri" w:eastAsia="Calibri" w:cs="Calibri"/>
          <w:b w:val="0"/>
          <w:i w:val="0"/>
          <w:color w:val="646464"/>
          <w:sz w:val="20"/>
        </w:rPr>
        <w:t>www.bradfordvts.co.uk</w:t>
      </w:r>
    </w:p>
    <w:p>
      <w:pPr>
        <w:spacing w:before="40" w:after="40"/>
        <w:pBdr>
          <w:bottom w:val="single" w:sz="6" w:space="1" w:color="4B0082"/>
        </w:pBdr>
      </w:pPr>
    </w:p>
    <w:p>
      <w:pPr>
        <w:spacing w:before="200" w:after="80"/>
        <w:jc w:val="center"/>
      </w:pPr>
      <w:r>
        <w:rPr>
          <w:rFonts w:ascii="Calibri" w:hAnsi="Calibri" w:eastAsia="Calibri" w:cs="Calibri"/>
          <w:b/>
          <w:i w:val="0"/>
          <w:color w:val="4B0082"/>
          <w:sz w:val="40"/>
        </w:rPr>
        <w:t>HRT in General Practice — Tutorial Plan</w:t>
      </w:r>
    </w:p>
    <w:p>
      <w:pPr>
        <w:spacing w:after="80"/>
        <w:jc w:val="center"/>
      </w:pPr>
      <w:r>
        <w:rPr>
          <w:rFonts w:ascii="Calibri" w:hAnsi="Calibri" w:eastAsia="Calibri" w:cs="Calibri"/>
          <w:b w:val="0"/>
          <w:i/>
          <w:color w:val="646464"/>
          <w:sz w:val="24"/>
        </w:rPr>
        <w:t>ST1–ST3 Trainer-Led Tutorial</w:t>
      </w:r>
    </w:p>
    <w:p>
      <w:pPr>
        <w:spacing w:after="160"/>
        <w:jc w:val="center"/>
      </w:pPr>
      <w:r>
        <w:rPr>
          <w:rFonts w:ascii="Calibri" w:hAnsi="Calibri" w:eastAsia="Calibri" w:cs="Calibri"/>
          <w:b w:val="0"/>
          <w:i/>
          <w:color w:val="969696"/>
          <w:sz w:val="20"/>
        </w:rPr>
        <w:t>Based on original resource by Andrew Crawshaw, Mevagissey (Cornwall Trainers' Web Site)</w:t>
      </w:r>
    </w:p>
    <w:p>
      <w:pPr>
        <w:spacing w:before="40" w:after="40"/>
        <w:pBdr>
          <w:bottom w:val="single" w:sz="6" w:space="1" w:color="4B0082"/>
        </w:pBdr>
      </w:pPr>
    </w:p>
    <w:p>
      <w:pPr>
        <w:spacing w:before="120" w:after="160"/>
      </w:pPr>
      <w:r>
        <w:rPr>
          <w:rFonts w:ascii="Calibri" w:hAnsi="Calibri" w:eastAsia="Calibri" w:cs="Calibri"/>
          <w:b w:val="0"/>
          <w:i/>
          <w:color w:val="646464"/>
          <w:sz w:val="22"/>
        </w:rPr>
        <w:t>This tutorial explores the management of menopausal and perimenopausal women in primary care. Discuss each question with your trainer, drawing on NICE CKS Menopause 2023 and local guidelines. Updated from the original to reflect current practice (all HRT brand names updated; avoid outdated preparations).</w:t>
      </w:r>
    </w:p>
    <w:p>
      <w:pPr>
        <w:spacing w:before="160" w:after="40"/>
      </w:pPr>
      <w:r>
        <w:rPr>
          <w:rFonts w:ascii="Calibri" w:hAnsi="Calibri" w:eastAsia="Calibri" w:cs="Calibri"/>
          <w:b/>
          <w:i w:val="0"/>
          <w:sz w:val="22"/>
        </w:rPr>
        <w:t>1.  What are the common presenting symptoms of menopause?</w:t>
      </w:r>
    </w:p>
    <w:p>
      <w:pPr>
        <w:spacing w:after="80"/>
        <w:ind w:left="454"/>
      </w:pPr>
      <w:r>
        <w:rPr>
          <w:rFonts w:ascii="Calibri" w:hAnsi="Calibri" w:eastAsia="Calibri" w:cs="Calibri"/>
          <w:b w:val="0"/>
          <w:i/>
          <w:color w:val="007878"/>
          <w:sz w:val="20"/>
        </w:rPr>
        <w:t>Trainer prompt: Think about: vasomotor (hot flushes, night sweats), urogenital (dryness, dyspareunia), mood, cognitive, musculoskeletal, skin.</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2.  Which patients are most at risk of future osteoporosis?</w:t>
      </w:r>
    </w:p>
    <w:p>
      <w:pPr>
        <w:spacing w:after="80"/>
        <w:ind w:left="454"/>
      </w:pPr>
      <w:r>
        <w:rPr>
          <w:rFonts w:ascii="Calibri" w:hAnsi="Calibri" w:eastAsia="Calibri" w:cs="Calibri"/>
          <w:b w:val="0"/>
          <w:i/>
          <w:color w:val="007878"/>
          <w:sz w:val="20"/>
        </w:rPr>
        <w:t>Trainer prompt: Consider: early menopause (&lt;45), POI, smoking, low BMI, family history, corticosteroids, low calcium/vitamin D, immobility.</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3.  How do you manage a 54-year-old woman troubled by hot flushes and night sweats in the following scenarios?</w:t>
      </w:r>
    </w:p>
    <w:p>
      <w:pPr>
        <w:spacing w:after="80"/>
        <w:ind w:left="454"/>
      </w:pPr>
      <w:r>
        <w:rPr>
          <w:rFonts w:ascii="Calibri" w:hAnsi="Calibri" w:eastAsia="Calibri" w:cs="Calibri"/>
          <w:b w:val="0"/>
          <w:i/>
          <w:color w:val="007878"/>
          <w:sz w:val="20"/>
        </w:rPr>
        <w:t>Trainer prompt: (a) No period since age 50  (b) Last period 3 months ago  (c) As (b) but does not want HRT-induced bleeds  (d) Patient has angina  (e) Patient has had a DVT  (f) Had Wertheim's hysterectomy + radiotherapy for invasive cervical Ca age 50  (g) Had mastectomy  (h) Strong family history of stroke  (i) Patient loves horses (equine-derived vs plant-derived HRT discussion)</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4.  How do you advise a woman who wants HRT to prevent possible future osteoporosis?</w:t>
      </w:r>
    </w:p>
    <w:p>
      <w:pPr>
        <w:spacing w:after="80"/>
        <w:ind w:left="454"/>
      </w:pPr>
      <w:r>
        <w:rPr>
          <w:rFonts w:ascii="Calibri" w:hAnsi="Calibri" w:eastAsia="Calibri" w:cs="Calibri"/>
          <w:b w:val="0"/>
          <w:i/>
          <w:color w:val="007878"/>
          <w:sz w:val="20"/>
        </w:rPr>
        <w:t>Trainer prompt: Use FRAX tool; discuss benefits vs risks; DEXA scan indications; lifestyle advice; alternatives (bisphosphonates).</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5.  How do you advise a woman with menopausal symptoms who is interested in HRT but worried about breast cancer risk?</w:t>
      </w:r>
    </w:p>
    <w:p>
      <w:pPr>
        <w:spacing w:after="80"/>
        <w:ind w:left="454"/>
      </w:pPr>
      <w:r>
        <w:rPr>
          <w:rFonts w:ascii="Calibri" w:hAnsi="Calibri" w:eastAsia="Calibri" w:cs="Calibri"/>
          <w:b w:val="0"/>
          <w:i/>
          <w:color w:val="007878"/>
          <w:sz w:val="20"/>
        </w:rPr>
        <w:t>Trainer prompt: Use NICE CKS risk tables; discuss absolute risk; differentiate combined vs oestrogen-only HRT risk profiles; WHI study context.</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6.  A patient with an intact uterus feels irritable and premenstrual when taking cyclical progestogen. She is on: (a) oral cyclical HRT  (b) hormone patches  (c) oestradiol implants. What can you do to help?</w:t>
      </w:r>
    </w:p>
    <w:p>
      <w:pPr>
        <w:spacing w:after="80"/>
        <w:ind w:left="454"/>
      </w:pPr>
      <w:r>
        <w:rPr>
          <w:rFonts w:ascii="Calibri" w:hAnsi="Calibri" w:eastAsia="Calibri" w:cs="Calibri"/>
          <w:b w:val="0"/>
          <w:i/>
          <w:color w:val="007878"/>
          <w:sz w:val="20"/>
        </w:rPr>
        <w:t>Trainer prompt: Options: micronised progesterone (Utrogestan), change progestogen type, lower dose, change timing, Mirena IUS for endometrial protection.</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7.  How do you help an 80-year-old woman with severe atrophic vaginitis who had radical treatment 15 years ago for carcinoma of the body of the uterus?</w:t>
      </w:r>
    </w:p>
    <w:p>
      <w:pPr>
        <w:spacing w:after="80"/>
        <w:ind w:left="454"/>
      </w:pPr>
      <w:r>
        <w:rPr>
          <w:rFonts w:ascii="Calibri" w:hAnsi="Calibri" w:eastAsia="Calibri" w:cs="Calibri"/>
          <w:b w:val="0"/>
          <w:i/>
          <w:color w:val="007878"/>
          <w:sz w:val="20"/>
        </w:rPr>
        <w:t>Trainer prompt: Topical vaginal oestrogen (Vagifem, Ovestin) — discuss safety in history of endometrial cancer; seek specialist advice; local vs systemic therapy.</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8.  How might you treat a 38-year-old patient with severe premenstrual syndrome?</w:t>
      </w:r>
    </w:p>
    <w:p>
      <w:pPr>
        <w:spacing w:after="80"/>
        <w:ind w:left="454"/>
      </w:pPr>
      <w:r>
        <w:rPr>
          <w:rFonts w:ascii="Calibri" w:hAnsi="Calibri" w:eastAsia="Calibri" w:cs="Calibri"/>
          <w:b w:val="0"/>
          <w:i/>
          <w:color w:val="007878"/>
          <w:sz w:val="20"/>
        </w:rPr>
        <w:t>Trainer prompt: Symptom diary (confirm cyclical pattern); SSRIs; COCP; GnRH analogues for severe cases; CBT; lifestyle.</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9.  How do you cope with tachyphylaxis (declining effect of HRT implants over time)?</w:t>
      </w:r>
    </w:p>
    <w:p>
      <w:pPr>
        <w:spacing w:after="80"/>
        <w:ind w:left="454"/>
      </w:pPr>
      <w:r>
        <w:rPr>
          <w:rFonts w:ascii="Calibri" w:hAnsi="Calibri" w:eastAsia="Calibri" w:cs="Calibri"/>
          <w:b w:val="0"/>
          <w:i/>
          <w:color w:val="007878"/>
          <w:sz w:val="20"/>
        </w:rPr>
        <w:t>Trainer prompt: Background: tachyphylaxis with implants leads to dose escalation and high oestradiol levels. Seek endocrinology input. Implants are now rarely used.</w:t>
      </w:r>
    </w:p>
    <w:p>
      <w:pPr>
        <w:ind w:left="454"/>
      </w:pPr>
      <w:r>
        <w:rPr>
          <w:rFonts w:ascii="Calibri" w:hAnsi="Calibri" w:eastAsia="Calibri" w:cs="Calibri"/>
          <w:b w:val="0"/>
          <w:i w:val="0"/>
          <w:color w:val="646464"/>
          <w:sz w:val="20"/>
        </w:rPr>
        <w:t>Notes: _______________________________________________________________________</w:t>
      </w:r>
    </w:p>
    <w:p>
      <w:pPr>
        <w:spacing w:before="160" w:after="40"/>
      </w:pPr>
      <w:r>
        <w:rPr>
          <w:rFonts w:ascii="Calibri" w:hAnsi="Calibri" w:eastAsia="Calibri" w:cs="Calibri"/>
          <w:b/>
          <w:i w:val="0"/>
          <w:sz w:val="22"/>
        </w:rPr>
        <w:t>10.  Discuss the advantages and disadvantages of: (a) short-term HRT and (b) long-term HRT</w:t>
      </w:r>
    </w:p>
    <w:p>
      <w:pPr>
        <w:spacing w:after="80"/>
        <w:ind w:left="454"/>
      </w:pPr>
      <w:r>
        <w:rPr>
          <w:rFonts w:ascii="Calibri" w:hAnsi="Calibri" w:eastAsia="Calibri" w:cs="Calibri"/>
          <w:b w:val="0"/>
          <w:i/>
          <w:color w:val="007878"/>
          <w:sz w:val="20"/>
        </w:rPr>
        <w:t>Trainer prompt: Short-term: symptom control; minimal risk; stop at 5 years. Long-term: continued symptom control, bone/cardiac benefit, but cumulative breast cancer risk.</w:t>
      </w:r>
    </w:p>
    <w:p>
      <w:pPr>
        <w:ind w:left="454"/>
      </w:pPr>
      <w:r>
        <w:rPr>
          <w:rFonts w:ascii="Calibri" w:hAnsi="Calibri" w:eastAsia="Calibri" w:cs="Calibri"/>
          <w:b w:val="0"/>
          <w:i w:val="0"/>
          <w:color w:val="646464"/>
          <w:sz w:val="20"/>
        </w:rPr>
        <w:t>Notes: _______________________________________________________________________</w:t>
      </w:r>
    </w:p>
    <w:p>
      <w:pPr>
        <w:spacing w:before="40" w:after="40"/>
        <w:pBdr>
          <w:bottom w:val="single" w:sz="6" w:space="1" w:color="4B0082"/>
        </w:pBdr>
      </w:pPr>
    </w:p>
    <w:p>
      <w:pPr>
        <w:spacing w:before="160"/>
        <w:jc w:val="center"/>
      </w:pPr>
      <w:r>
        <w:rPr>
          <w:rFonts w:ascii="Calibri" w:hAnsi="Calibri" w:eastAsia="Calibri" w:cs="Calibri"/>
          <w:b w:val="0"/>
          <w:i/>
          <w:color w:val="646464"/>
          <w:sz w:val="18"/>
        </w:rPr>
        <w:t>Bradford VTS — Women's Health  |  www.bradfordvts.co.uk</w:t>
      </w:r>
    </w:p>
    <w:p>
      <w:pPr>
        <w:jc w:val="center"/>
      </w:pPr>
      <w:r>
        <w:rPr>
          <w:rFonts w:ascii="Calibri" w:hAnsi="Calibri" w:eastAsia="Calibri" w:cs="Calibri"/>
          <w:b w:val="0"/>
          <w:i/>
          <w:color w:val="969696"/>
          <w:sz w:val="18"/>
        </w:rPr>
        <w:t>Original tutorial: Andrew Crawshaw, Mevagissey | Updated for Bradford VTS 2024</w:t>
      </w:r>
    </w:p>
    <w:sectPr w:rsidR="00FC693F" w:rsidRPr="0006063C" w:rsidSect="00034616">
      <w:pgSz w:w="11906" w:h="16838"/>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