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type="auto" w:w="0"/>
        <w:tblLook w:firstColumn="1" w:firstRow="1" w:lastColumn="0" w:lastRow="0" w:noHBand="0" w:noVBand="1" w:val="04A0"/>
      </w:tblPr>
      <w:tblGrid>
        <w:gridCol w:w="9972"/>
      </w:tblGrid>
      <w:tr>
        <w:tc>
          <w:tcPr>
            <w:tcW w:type="dxa" w:w="9972"/>
            <w:shd w:val="clear" w:color="auto" w:fill="E0651F"/>
          </w:tcPr>
          <w:p>
            <w:pPr>
              <w:spacing w:before="60" w:after="60"/>
              <w:jc w:val="center"/>
            </w:pPr>
            <w:r>
              <w:rPr>
                <w:rFonts w:ascii="Calibri" w:hAnsi="Calibri"/>
                <w:b/>
                <w:i w:val="0"/>
                <w:caps/>
                <w:color w:val="FFFFFF"/>
                <w:sz w:val="20"/>
              </w:rPr>
              <w:t>BRADFORD VTS TEACHING AIDS</w:t>
            </w:r>
          </w:p>
          <w:p>
            <w:pPr>
              <w:spacing w:before="60" w:after="60"/>
              <w:jc w:val="center"/>
            </w:pPr>
            <w:r>
              <w:rPr>
                <w:rFonts w:ascii="Calibri" w:hAnsi="Calibri"/>
                <w:b/>
                <w:i w:val="0"/>
                <w:color w:val="FFFFFF"/>
                <w:sz w:val="48"/>
              </w:rPr>
              <w:t>Complementary Therapies in Cancer Care</w:t>
            </w:r>
          </w:p>
          <w:p>
            <w:pPr>
              <w:spacing w:before="60" w:after="60"/>
              <w:jc w:val="center"/>
            </w:pPr>
            <w:r>
              <w:rPr>
                <w:rFonts w:ascii="Calibri" w:hAnsi="Calibri"/>
                <w:b w:val="0"/>
                <w:i/>
                <w:color w:val="FFFFFF"/>
                <w:sz w:val="22"/>
              </w:rPr>
              <w:t>A GP Reference Guide  |  Bradford VTS  |  May 2026</w:t>
            </w:r>
          </w:p>
        </w:tc>
      </w:tr>
    </w:tbl>
    <w:p/>
    <w:tbl>
      <w:tblPr>
        <w:tblStyle w:val="TableGrid"/>
        <w:tblW w:type="auto" w:w="0"/>
        <w:tblLook w:firstColumn="1" w:firstRow="1" w:lastColumn="0" w:lastRow="0" w:noHBand="0" w:noVBand="1" w:val="04A0"/>
      </w:tblPr>
      <w:tblGrid>
        <w:gridCol w:w="9972"/>
      </w:tblGrid>
      <w:tr>
        <w:tc>
          <w:tcPr>
            <w:tcW w:type="dxa" w:w="9972"/>
            <w:shd w:val="clear" w:color="auto" w:fill="FFF8E1"/>
          </w:tcPr>
          <w:p>
            <w:pPr>
              <w:spacing w:before="100" w:after="100"/>
            </w:pPr>
            <w:r>
              <w:rPr>
                <w:rFonts w:ascii="Calibri" w:hAnsi="Calibri"/>
                <w:color w:val="856004"/>
                <w:sz w:val="20"/>
              </w:rPr>
              <w:t>Source: Adapted from Macmillan Cancer Relief report (Dr Michelle Kohn, 1999), updated with current clinical evidence and NICE guidance to May 2026. This document is for educational purposes only.</w:t>
            </w:r>
          </w:p>
        </w:tc>
      </w:tr>
    </w:tbl>
    <w:p/>
    <w:p>
      <w:pPr>
        <w:spacing w:before="240" w:after="80"/>
      </w:pPr>
      <w:r>
        <w:rPr>
          <w:rFonts w:ascii="Calibri" w:hAnsi="Calibri"/>
          <w:b/>
          <w:color w:val="E0651F"/>
          <w:sz w:val="28"/>
        </w:rPr>
        <w:t>Why This Matters for GPs</w:t>
      </w:r>
    </w:p>
    <w:p>
      <w:pPr>
        <w:spacing w:before="0" w:after="80"/>
      </w:pPr>
      <w:r>
        <w:rPr>
          <w:rFonts w:ascii="Calibri" w:hAnsi="Calibri"/>
          <w:i w:val="0"/>
          <w:sz w:val="21"/>
        </w:rPr>
        <w:t>Up to one third of cancer patients use complementary therapies, often without telling their GP or oncologist. As GPs, we are often the first point of contact and the most trusted source of information. Being able to counsel patients knowledgeably, non-judgementally and safely is a core GP skill in cancer care.</w:t>
      </w:r>
    </w:p>
    <w:p>
      <w:pPr>
        <w:spacing w:before="0" w:after="80"/>
      </w:pPr>
      <w:r>
        <w:rPr>
          <w:rFonts w:ascii="Calibri" w:hAnsi="Calibri"/>
          <w:i w:val="0"/>
          <w:sz w:val="21"/>
        </w:rPr>
        <w:t>Most patients do NOT seek a cure from CAM in cancer care. They seek: symptom relief, reduced side-effects of treatment, improved quality of life, emotional support, and a sense of control over their situation.</w:t>
      </w:r>
    </w:p>
    <w:p>
      <w:pPr>
        <w:spacing w:before="240" w:after="80"/>
      </w:pPr>
      <w:r>
        <w:rPr>
          <w:rFonts w:ascii="Calibri" w:hAnsi="Calibri"/>
          <w:b/>
          <w:color w:val="E0651F"/>
          <w:sz w:val="28"/>
        </w:rPr>
        <w:t>Why Cancer Patients Seek Complementary Therapies</w:t>
      </w:r>
    </w:p>
    <w:p>
      <w:pPr>
        <w:spacing w:before="160" w:after="40"/>
      </w:pPr>
      <w:r>
        <w:rPr>
          <w:rFonts w:ascii="Calibri" w:hAnsi="Calibri"/>
          <w:b/>
          <w:color w:val="E0651F"/>
          <w:sz w:val="22"/>
        </w:rPr>
        <w:t>Push factors (away from orthodox medicine):</w:t>
      </w:r>
    </w:p>
    <w:p>
      <w:pPr>
        <w:pStyle w:val="ListBullet"/>
        <w:spacing w:before="20" w:after="20"/>
      </w:pPr>
      <w:r>
        <w:rPr>
          <w:rFonts w:ascii="Calibri" w:hAnsi="Calibri"/>
          <w:sz w:val="21"/>
        </w:rPr>
        <w:t>Failure to produce curative treatments</w:t>
      </w:r>
    </w:p>
    <w:p>
      <w:pPr>
        <w:pStyle w:val="ListBullet"/>
        <w:spacing w:before="20" w:after="20"/>
      </w:pPr>
      <w:r>
        <w:rPr>
          <w:rFonts w:ascii="Calibri" w:hAnsi="Calibri"/>
          <w:sz w:val="21"/>
        </w:rPr>
        <w:t>Adverse effects of orthodox treatment (chemotherapy, radiotherapy side-effects)</w:t>
      </w:r>
    </w:p>
    <w:p>
      <w:pPr>
        <w:pStyle w:val="ListBullet"/>
        <w:spacing w:before="20" w:after="20"/>
      </w:pPr>
      <w:r>
        <w:rPr>
          <w:rFonts w:ascii="Calibri" w:hAnsi="Calibri"/>
          <w:sz w:val="21"/>
        </w:rPr>
        <w:t>Lack of time with clinicians — loss of holistic approach</w:t>
      </w:r>
    </w:p>
    <w:p>
      <w:pPr>
        <w:pStyle w:val="ListBullet"/>
        <w:spacing w:before="20" w:after="20"/>
      </w:pPr>
      <w:r>
        <w:rPr>
          <w:rFonts w:ascii="Calibri" w:hAnsi="Calibri"/>
          <w:sz w:val="21"/>
        </w:rPr>
        <w:t>Dissatisfaction with the technical, fragmented approach of specialised care</w:t>
      </w:r>
    </w:p>
    <w:p>
      <w:pPr>
        <w:spacing w:before="160" w:after="40"/>
      </w:pPr>
      <w:r>
        <w:rPr>
          <w:rFonts w:ascii="Calibri" w:hAnsi="Calibri"/>
          <w:b/>
          <w:color w:val="007B8A"/>
          <w:sz w:val="22"/>
        </w:rPr>
        <w:t>Pull factors (towards complementary therapies):</w:t>
      </w:r>
    </w:p>
    <w:p>
      <w:pPr>
        <w:pStyle w:val="ListBullet"/>
        <w:spacing w:before="20" w:after="20"/>
      </w:pPr>
      <w:r>
        <w:rPr>
          <w:rFonts w:ascii="Calibri" w:hAnsi="Calibri"/>
          <w:sz w:val="21"/>
        </w:rPr>
        <w:t>Media reports of dramatic improvements (often anecdotal)</w:t>
      </w:r>
    </w:p>
    <w:p>
      <w:pPr>
        <w:pStyle w:val="ListBullet"/>
        <w:spacing w:before="20" w:after="20"/>
      </w:pPr>
      <w:r>
        <w:rPr>
          <w:rFonts w:ascii="Calibri" w:hAnsi="Calibri"/>
          <w:sz w:val="21"/>
        </w:rPr>
        <w:t>Belief that natural = safe</w:t>
      </w:r>
    </w:p>
    <w:p>
      <w:pPr>
        <w:pStyle w:val="ListBullet"/>
        <w:spacing w:before="20" w:after="20"/>
      </w:pPr>
      <w:r>
        <w:rPr>
          <w:rFonts w:ascii="Calibri" w:hAnsi="Calibri"/>
          <w:sz w:val="21"/>
        </w:rPr>
        <w:t>Sense of empowerment — taking control of their health</w:t>
      </w:r>
    </w:p>
    <w:p>
      <w:pPr>
        <w:pStyle w:val="ListBullet"/>
        <w:spacing w:before="20" w:after="20"/>
      </w:pPr>
      <w:r>
        <w:rPr>
          <w:rFonts w:ascii="Calibri" w:hAnsi="Calibri"/>
          <w:sz w:val="21"/>
        </w:rPr>
        <w:t>Focus on spiritual and emotional well-being</w:t>
      </w:r>
    </w:p>
    <w:p>
      <w:pPr>
        <w:pStyle w:val="ListBullet"/>
        <w:spacing w:before="20" w:after="20"/>
      </w:pPr>
      <w:r>
        <w:rPr>
          <w:rFonts w:ascii="Calibri" w:hAnsi="Calibri"/>
          <w:sz w:val="21"/>
        </w:rPr>
        <w:t>The '3 Ts': Touch, Talk, and Time — provided by complementary therapists</w:t>
      </w:r>
    </w:p>
    <w:tbl>
      <w:tblPr>
        <w:tblStyle w:val="TableGrid"/>
        <w:tblW w:type="auto" w:w="0"/>
        <w:tblLook w:firstColumn="1" w:firstRow="1" w:lastColumn="0" w:lastRow="0" w:noHBand="0" w:noVBand="1" w:val="04A0"/>
      </w:tblPr>
      <w:tblGrid>
        <w:gridCol w:w="9972"/>
      </w:tblGrid>
      <w:tr>
        <w:tc>
          <w:tcPr>
            <w:tcW w:type="dxa" w:w="9972"/>
            <w:shd w:val="clear" w:color="auto" w:fill="E8F0FE"/>
          </w:tcPr>
          <w:p>
            <w:pPr>
              <w:spacing w:before="100" w:after="100"/>
            </w:pPr>
            <w:r>
              <w:rPr>
                <w:rFonts w:ascii="Calibri" w:hAnsi="Calibri"/>
                <w:color w:val="5B2C6F"/>
                <w:sz w:val="20"/>
              </w:rPr>
              <w:t>GP CONSULTATION PEARL: When a cancer patient mentions complementary therapies, use ICE — Ideas ('What attracted you to this therapy?'), Concerns ('What worries you about your current treatment?'), Expectations ('What are you hoping this therapy will do for you?'). This often reveals unmet psychosocial needs that conventional oncology has not addressed.</w:t>
            </w:r>
          </w:p>
        </w:tc>
      </w:tr>
    </w:tbl>
    <w:p/>
    <w:p>
      <w:pPr>
        <w:spacing w:before="240" w:after="80"/>
      </w:pPr>
      <w:r>
        <w:rPr>
          <w:rFonts w:ascii="Calibri" w:hAnsi="Calibri"/>
          <w:b/>
          <w:color w:val="E0651F"/>
          <w:sz w:val="28"/>
        </w:rPr>
        <w:t>Usage in Cancer Care — Key Data</w:t>
      </w:r>
    </w:p>
    <w:p>
      <w:pPr>
        <w:spacing w:before="0" w:after="80"/>
      </w:pPr>
      <w:r>
        <w:rPr>
          <w:rFonts w:ascii="Calibri" w:hAnsi="Calibri"/>
          <w:i w:val="0"/>
          <w:sz w:val="21"/>
        </w:rPr>
        <w:t>(Note: statistics below are from available published sources — see source note above)</w:t>
      </w:r>
    </w:p>
    <w:p>
      <w:pPr>
        <w:pStyle w:val="ListBullet"/>
        <w:spacing w:before="20" w:after="20"/>
      </w:pPr>
      <w:r>
        <w:rPr>
          <w:rFonts w:ascii="Calibri" w:hAnsi="Calibri"/>
          <w:sz w:val="21"/>
        </w:rPr>
        <w:t>Up to 1 in 3 cancer patients in the UK uses some form of complementary therapy</w:t>
      </w:r>
    </w:p>
    <w:p>
      <w:pPr>
        <w:pStyle w:val="ListBullet"/>
        <w:spacing w:before="20" w:after="20"/>
      </w:pPr>
      <w:r>
        <w:rPr>
          <w:rFonts w:ascii="Calibri" w:hAnsi="Calibri"/>
          <w:sz w:val="21"/>
        </w:rPr>
        <w:t>Women with breast cancer: 1 in 3 visited a complementary therapist after diagnosis</w:t>
      </w:r>
    </w:p>
    <w:p>
      <w:pPr>
        <w:pStyle w:val="ListBullet"/>
        <w:spacing w:before="20" w:after="20"/>
      </w:pPr>
      <w:r>
        <w:rPr>
          <w:rFonts w:ascii="Calibri" w:hAnsi="Calibri"/>
          <w:sz w:val="21"/>
        </w:rPr>
        <w:t>69% of oncology departments in England and Wales offered at least one complementary therapy (1995 survey)</w:t>
      </w:r>
    </w:p>
    <w:p>
      <w:pPr>
        <w:pStyle w:val="ListBullet"/>
        <w:spacing w:before="20" w:after="20"/>
      </w:pPr>
      <w:r>
        <w:rPr>
          <w:rFonts w:ascii="Calibri" w:hAnsi="Calibri"/>
          <w:sz w:val="21"/>
        </w:rPr>
        <w:t>Most widely used in hospices: massage (70%), aromatherapy (68%), relaxation (66%) (Trent Palliative Care Study)</w:t>
      </w:r>
    </w:p>
    <w:p>
      <w:pPr>
        <w:pStyle w:val="ListBullet"/>
        <w:spacing w:before="20" w:after="20"/>
      </w:pPr>
      <w:r>
        <w:rPr>
          <w:rFonts w:ascii="Calibri" w:hAnsi="Calibri"/>
          <w:sz w:val="21"/>
        </w:rPr>
        <w:t>Most used by patients: relaxation, visualisation, aromatherapy, massage, reflexology</w:t>
      </w:r>
    </w:p>
    <w:p>
      <w:pPr>
        <w:pStyle w:val="ListBullet"/>
        <w:spacing w:before="20" w:after="20"/>
      </w:pPr>
      <w:r>
        <w:rPr>
          <w:rFonts w:ascii="Calibri" w:hAnsi="Calibri"/>
          <w:sz w:val="21"/>
        </w:rPr>
        <w:t>Many patients self-administer (herbal remedies, supplements) without telling their GP</w:t>
      </w:r>
    </w:p>
    <w:p>
      <w:pPr>
        <w:pStyle w:val="ListBullet"/>
        <w:spacing w:before="20" w:after="20"/>
      </w:pPr>
      <w:r>
        <w:rPr>
          <w:rFonts w:ascii="Calibri" w:hAnsi="Calibri"/>
          <w:sz w:val="21"/>
        </w:rPr>
        <w:t>Users tend to be younger, female, and of higher socioeconomic status</w:t>
      </w:r>
    </w:p>
    <w:p>
      <w:pPr>
        <w:spacing w:before="240" w:after="80"/>
      </w:pPr>
      <w:r>
        <w:rPr>
          <w:rFonts w:ascii="Calibri" w:hAnsi="Calibri"/>
          <w:b/>
          <w:color w:val="E0651F"/>
          <w:sz w:val="28"/>
        </w:rPr>
        <w:t>Individual Therapies in Cancer Care — Evidence, Safety and Practical Guidance</w:t>
      </w:r>
    </w:p>
    <w:p>
      <w:pPr>
        <w:spacing w:before="160" w:after="40"/>
      </w:pPr>
      <w:r>
        <w:rPr>
          <w:rFonts w:ascii="Calibri" w:hAnsi="Calibri"/>
          <w:b/>
          <w:color w:val="007B8A"/>
          <w:sz w:val="22"/>
        </w:rPr>
        <w:t>1. Acupuncture</w:t>
      </w:r>
    </w:p>
    <w:p>
      <w:pPr>
        <w:spacing w:before="0" w:after="80"/>
      </w:pPr>
      <w:r>
        <w:rPr>
          <w:rFonts w:ascii="Calibri" w:hAnsi="Calibri"/>
          <w:i w:val="0"/>
          <w:sz w:val="21"/>
        </w:rPr>
        <w:t>Best evidence in cancer care: chemotherapy-induced nausea and vomiting (CINV). Also used for cancer-related pain, hot flushes from hormone therapy, breathlessness in palliative care, and fatigue.</w:t>
      </w:r>
    </w:p>
    <w:p>
      <w:pPr>
        <w:spacing w:before="0" w:after="80"/>
      </w:pPr>
      <w:r>
        <w:rPr>
          <w:rFonts w:ascii="Calibri" w:hAnsi="Calibri"/>
          <w:i w:val="0"/>
          <w:sz w:val="21"/>
        </w:rPr>
        <w:t>NICE NG153 (2019) — Cancer pain: acupuncture may be considered as part of multimodal pain management. NICE NG193 (2021) — Chronic primary pain: acupuncture recommended (applicable to cancer-related chronic pain). ASCO guidelines support acupuncture for CINV and cancer pain.</w:t>
      </w:r>
    </w:p>
    <w:p>
      <w:pPr>
        <w:spacing w:before="0" w:after="80"/>
      </w:pPr>
      <w:r>
        <w:rPr>
          <w:rFonts w:ascii="Calibri" w:hAnsi="Calibri"/>
          <w:i w:val="0"/>
          <w:sz w:val="21"/>
        </w:rPr>
        <w:t>Safety: Use single-use sterile needles only. Caution in lymphoedema (avoid affected limb), thrombocytopenia (&lt;25 x10^9/L), coagulopathy, neutropenia (&lt;0.5 x10^9/L). Anti-tumour claims for acupuncture: no evidence — should not replace conventional treatment.</w:t>
      </w:r>
    </w:p>
    <w:p>
      <w:pPr>
        <w:spacing w:before="160" w:after="40"/>
      </w:pPr>
      <w:r>
        <w:rPr>
          <w:rFonts w:ascii="Calibri" w:hAnsi="Calibri"/>
          <w:b/>
          <w:color w:val="007B8A"/>
          <w:sz w:val="22"/>
        </w:rPr>
        <w:t>2. Aromatherapy and Massage</w:t>
      </w:r>
    </w:p>
    <w:p>
      <w:pPr>
        <w:spacing w:before="0" w:after="80"/>
      </w:pPr>
      <w:r>
        <w:rPr>
          <w:rFonts w:ascii="Calibri" w:hAnsi="Calibri"/>
          <w:i w:val="0"/>
          <w:sz w:val="21"/>
        </w:rPr>
        <w:t>Among the most widely used in cancer care settings, especially hospices. Used for: anxiety reduction, relaxation, nausea, pain, fatigue, sleep disturbance, mood improvement in palliative care.</w:t>
      </w:r>
    </w:p>
    <w:p>
      <w:pPr>
        <w:spacing w:before="0" w:after="80"/>
      </w:pPr>
      <w:r>
        <w:rPr>
          <w:rFonts w:ascii="Calibri" w:hAnsi="Calibri"/>
          <w:i w:val="0"/>
          <w:sz w:val="21"/>
        </w:rPr>
        <w:t>Evidence: Limited formal RCT evidence but several studies show short-term benefit for anxiety and quality of life. No evidence of anti-tumour effect. Qualitative research (focus groups) strongly positive — patients value the time, touch and attention.</w:t>
      </w:r>
    </w:p>
    <w:p>
      <w:pPr>
        <w:spacing w:before="0" w:after="80"/>
      </w:pPr>
      <w:r>
        <w:rPr>
          <w:rFonts w:ascii="Calibri" w:hAnsi="Calibri"/>
          <w:i w:val="0"/>
          <w:sz w:val="21"/>
        </w:rPr>
        <w:t>Safety: Extremely low risk when used by trained therapists. Key precautions: avoid over lymph node areas, radiotherapy skin, wound sites, thrombosis areas. Certain essential oils can cause photosensitivity or skin reactions. Do NOT ingest essential oils. Dilute in carrier oil for topical use.</w:t>
      </w:r>
    </w:p>
    <w:tbl>
      <w:tblPr>
        <w:tblStyle w:val="TableGrid"/>
        <w:tblW w:type="auto" w:w="0"/>
        <w:tblLook w:firstColumn="1" w:firstRow="1" w:lastColumn="0" w:lastRow="0" w:noHBand="0" w:noVBand="1" w:val="04A0"/>
      </w:tblPr>
      <w:tblGrid>
        <w:gridCol w:w="9972"/>
      </w:tblGrid>
      <w:tr>
        <w:tc>
          <w:tcPr>
            <w:tcW w:type="dxa" w:w="9972"/>
            <w:shd w:val="clear" w:color="auto" w:fill="E8F4EA"/>
          </w:tcPr>
          <w:p>
            <w:pPr>
              <w:spacing w:before="100" w:after="100"/>
            </w:pPr>
            <w:r>
              <w:rPr>
                <w:rFonts w:ascii="Calibri" w:hAnsi="Calibri"/>
                <w:color w:val="1A5C25"/>
                <w:sz w:val="20"/>
              </w:rPr>
              <w:t>For patients: 'Aromatherapy with massage can be a wonderful source of relaxation and emotional support during your treatment. It won't treat the cancer itself, but it can help with anxiety, sleep, and general wellbeing. I would recommend a therapist trained in working with cancer patients.'</w:t>
            </w:r>
          </w:p>
        </w:tc>
      </w:tr>
    </w:tbl>
    <w:p/>
    <w:p>
      <w:pPr>
        <w:spacing w:before="160" w:after="40"/>
      </w:pPr>
      <w:r>
        <w:rPr>
          <w:rFonts w:ascii="Calibri" w:hAnsi="Calibri"/>
          <w:b/>
          <w:color w:val="007B8A"/>
          <w:sz w:val="22"/>
        </w:rPr>
        <w:t>3. Therapeutic Massage</w:t>
      </w:r>
    </w:p>
    <w:p>
      <w:pPr>
        <w:spacing w:before="0" w:after="80"/>
      </w:pPr>
      <w:r>
        <w:rPr>
          <w:rFonts w:ascii="Calibri" w:hAnsi="Calibri"/>
          <w:i w:val="0"/>
          <w:sz w:val="21"/>
        </w:rPr>
        <w:t>Widely available in hospices and cancer centres. Used for: pain, anxiety, fatigue, lymphoedema management (specialist manual lymphatic drainage — MLD), nausea, constipation, improved sleep and quality of life.</w:t>
      </w:r>
    </w:p>
    <w:p>
      <w:pPr>
        <w:spacing w:before="0" w:after="80"/>
      </w:pPr>
      <w:r>
        <w:rPr>
          <w:rFonts w:ascii="Calibri" w:hAnsi="Calibri"/>
          <w:i w:val="0"/>
          <w:sz w:val="21"/>
        </w:rPr>
        <w:t>Evidence: Reasonable quality evidence for short-term reduction in anxiety and pain. MLD is the first-line treatment for lymphoedema (NICE and lymphoedema guidelines).</w:t>
      </w:r>
    </w:p>
    <w:p>
      <w:pPr>
        <w:spacing w:before="0" w:after="80"/>
      </w:pPr>
      <w:r>
        <w:rPr>
          <w:rFonts w:ascii="Calibri" w:hAnsi="Calibri"/>
          <w:i w:val="0"/>
          <w:sz w:val="21"/>
        </w:rPr>
        <w:t>Safety: Contraindicated directly over tumour sites. Avoid deep tissue massage over metastatic bone disease. Light touch techniques (e.g. craniosacral, Bowen) are safer in frail/palliative patients. Trained cancer massage therapists are important.</w:t>
      </w:r>
    </w:p>
    <w:p>
      <w:pPr>
        <w:spacing w:before="160" w:after="40"/>
      </w:pPr>
      <w:r>
        <w:rPr>
          <w:rFonts w:ascii="Calibri" w:hAnsi="Calibri"/>
          <w:b/>
          <w:color w:val="007B8A"/>
          <w:sz w:val="22"/>
        </w:rPr>
        <w:t>4. Reflexology</w:t>
      </w:r>
    </w:p>
    <w:p>
      <w:pPr>
        <w:spacing w:before="0" w:after="80"/>
      </w:pPr>
      <w:r>
        <w:rPr>
          <w:rFonts w:ascii="Calibri" w:hAnsi="Calibri"/>
          <w:i w:val="0"/>
          <w:sz w:val="21"/>
        </w:rPr>
        <w:t>Pressure applied to specific points on feet/hands said to correspond to organs. Widely used in cancer care for: relaxation, anxiety, fatigue, sleep disturbance, symptom management in palliative care.</w:t>
      </w:r>
    </w:p>
    <w:p>
      <w:pPr>
        <w:spacing w:before="0" w:after="80"/>
      </w:pPr>
      <w:r>
        <w:rPr>
          <w:rFonts w:ascii="Calibri" w:hAnsi="Calibri"/>
          <w:i w:val="0"/>
          <w:sz w:val="21"/>
        </w:rPr>
        <w:t>Evidence: Few formal clinical trials. The available evidence suggests benefit for anxiety reduction and comfort rather than disease modification. No plausible mechanism of action has been established.</w:t>
      </w:r>
    </w:p>
    <w:p>
      <w:pPr>
        <w:spacing w:before="0" w:after="80"/>
      </w:pPr>
      <w:r>
        <w:rPr>
          <w:rFonts w:ascii="Calibri" w:hAnsi="Calibri"/>
          <w:i w:val="0"/>
          <w:sz w:val="21"/>
        </w:rPr>
        <w:t>Safety: Extremely low-risk therapy. Avoid over DVT areas. Safe in most cancer patients including during active chemotherapy. Patient satisfaction is generally high.</w:t>
      </w:r>
    </w:p>
    <w:p>
      <w:pPr>
        <w:spacing w:before="160" w:after="40"/>
      </w:pPr>
      <w:r>
        <w:rPr>
          <w:rFonts w:ascii="Calibri" w:hAnsi="Calibri"/>
          <w:b/>
          <w:color w:val="007B8A"/>
          <w:sz w:val="22"/>
        </w:rPr>
        <w:t>5. Relaxation, Meditation and Visualisation</w:t>
      </w:r>
    </w:p>
    <w:p>
      <w:pPr>
        <w:spacing w:before="0" w:after="80"/>
      </w:pPr>
      <w:r>
        <w:rPr>
          <w:rFonts w:ascii="Calibri" w:hAnsi="Calibri"/>
          <w:i w:val="0"/>
          <w:sz w:val="21"/>
        </w:rPr>
        <w:t>Among the most commonly self-used therapies by cancer patients in the UK. Strong evidence base for psychological benefit — NICE recommends mindfulness-based interventions for cancer-related anxiety and depression (NICE NG58 — depression; NICE quality standards for cancer).</w:t>
      </w:r>
    </w:p>
    <w:p>
      <w:pPr>
        <w:spacing w:before="0" w:after="80"/>
      </w:pPr>
      <w:r>
        <w:rPr>
          <w:rFonts w:ascii="Calibri" w:hAnsi="Calibri"/>
          <w:i w:val="0"/>
          <w:sz w:val="21"/>
        </w:rPr>
        <w:t>Visualisation and guided imagery: used to reduce anxiety, promote coping, and improve quality of life. No credible evidence that visualisation can reduce tumour burden or prolong survival — patients with excessive focus on visualisation 'fighting' cancer can develop guilt if disease progresses.</w:t>
      </w:r>
    </w:p>
    <w:p>
      <w:pPr>
        <w:spacing w:before="0" w:after="80"/>
      </w:pPr>
      <w:r>
        <w:rPr>
          <w:rFonts w:ascii="Calibri" w:hAnsi="Calibri"/>
          <w:i w:val="0"/>
          <w:sz w:val="21"/>
        </w:rPr>
        <w:t>GP role: Recommend mindfulness, relaxation techniques, and guided meditation openly as evidence-based supportive interventions. Many apps (Headspace, Calm) and NHS-provided resources are available.</w:t>
      </w:r>
    </w:p>
    <w:p>
      <w:pPr>
        <w:spacing w:before="160" w:after="40"/>
      </w:pPr>
      <w:r>
        <w:rPr>
          <w:rFonts w:ascii="Calibri" w:hAnsi="Calibri"/>
          <w:b/>
          <w:color w:val="007B8A"/>
          <w:sz w:val="22"/>
        </w:rPr>
        <w:t>6. Hypnotherapy</w:t>
      </w:r>
    </w:p>
    <w:p>
      <w:pPr>
        <w:spacing w:before="0" w:after="80"/>
      </w:pPr>
      <w:r>
        <w:rPr>
          <w:rFonts w:ascii="Calibri" w:hAnsi="Calibri"/>
          <w:i w:val="0"/>
          <w:sz w:val="21"/>
        </w:rPr>
        <w:t>Used in cancer care for: pre-procedure anxiety (e.g. chemotherapy, biopsy), pain management, hot flushes from hormone therapy, nausea and vomiting, anticipatory nausea, insomnia.</w:t>
      </w:r>
    </w:p>
    <w:p>
      <w:pPr>
        <w:spacing w:before="0" w:after="80"/>
      </w:pPr>
      <w:r>
        <w:rPr>
          <w:rFonts w:ascii="Calibri" w:hAnsi="Calibri"/>
          <w:i w:val="0"/>
          <w:sz w:val="21"/>
        </w:rPr>
        <w:t>Evidence: Good evidence for procedural anxiety. NICE recommends hypnosis/hypnotherapy as an option for IBS (NICE CG61) — applicable for IBS-like bowel symptoms from cancer treatment. Self-hypnosis can be taught to patients as a self-management tool.</w:t>
      </w:r>
    </w:p>
    <w:p>
      <w:pPr>
        <w:spacing w:before="0" w:after="80"/>
      </w:pPr>
      <w:r>
        <w:rPr>
          <w:rFonts w:ascii="Calibri" w:hAnsi="Calibri"/>
          <w:i w:val="0"/>
          <w:sz w:val="21"/>
        </w:rPr>
        <w:t>Safety: Very safe. No known serious adverse events. Caution: ensure practitioner has appropriate training (BSCAH or similar).</w:t>
      </w:r>
    </w:p>
    <w:p>
      <w:pPr>
        <w:spacing w:before="160" w:after="40"/>
      </w:pPr>
      <w:r>
        <w:rPr>
          <w:rFonts w:ascii="Calibri" w:hAnsi="Calibri"/>
          <w:b/>
          <w:color w:val="007B8A"/>
          <w:sz w:val="22"/>
        </w:rPr>
        <w:t>7. Homeopathy in Cancer Care</w:t>
      </w:r>
    </w:p>
    <w:p>
      <w:pPr>
        <w:spacing w:before="0" w:after="80"/>
      </w:pPr>
      <w:r>
        <w:rPr>
          <w:rFonts w:ascii="Calibri" w:hAnsi="Calibri"/>
          <w:i w:val="0"/>
          <w:sz w:val="21"/>
        </w:rPr>
        <w:t>NHS position: Homeopathy decommissioned 2017–2018. No longer NHS-funded. NICE has not recommended homeopathy for any condition, including cancer supportive care.</w:t>
      </w:r>
    </w:p>
    <w:p>
      <w:pPr>
        <w:spacing w:before="0" w:after="80"/>
      </w:pPr>
      <w:r>
        <w:rPr>
          <w:rFonts w:ascii="Calibri" w:hAnsi="Calibri"/>
          <w:i w:val="0"/>
          <w:sz w:val="21"/>
        </w:rPr>
        <w:t>Patients may use homeopathy for: managing treatment side-effects (nausea, fatigue), emotional support, chronic conditions. The evidence does not support efficacy beyond placebo.</w:t>
      </w:r>
    </w:p>
    <w:tbl>
      <w:tblPr>
        <w:tblStyle w:val="TableGrid"/>
        <w:tblW w:type="auto" w:w="0"/>
        <w:tblLook w:firstColumn="1" w:firstRow="1" w:lastColumn="0" w:lastRow="0" w:noHBand="0" w:noVBand="1" w:val="04A0"/>
      </w:tblPr>
      <w:tblGrid>
        <w:gridCol w:w="9972"/>
      </w:tblGrid>
      <w:tr>
        <w:tc>
          <w:tcPr>
            <w:tcW w:type="dxa" w:w="9972"/>
            <w:shd w:val="clear" w:color="auto" w:fill="FDECEA"/>
          </w:tcPr>
          <w:p>
            <w:pPr>
              <w:spacing w:before="100" w:after="100"/>
            </w:pPr>
            <w:r>
              <w:rPr>
                <w:rFonts w:ascii="Calibri" w:hAnsi="Calibri"/>
                <w:color w:val="C00000"/>
                <w:sz w:val="20"/>
              </w:rPr>
              <w:t>SAFETY CONCERN: The homeopathic remedy itself is safe (ultra-dilute). The danger is if a patient uses homeopathy INSTEAD of conventional cancer treatment. Address this directly and compassionately if it arises. The therapeutic value of the practitioner relationship may explain perceived benefit.</w:t>
            </w:r>
          </w:p>
        </w:tc>
      </w:tr>
    </w:tbl>
    <w:p/>
    <w:p>
      <w:pPr>
        <w:spacing w:before="160" w:after="40"/>
      </w:pPr>
      <w:r>
        <w:rPr>
          <w:rFonts w:ascii="Calibri" w:hAnsi="Calibri"/>
          <w:b/>
          <w:color w:val="007B8A"/>
          <w:sz w:val="22"/>
        </w:rPr>
        <w:t>8. Herbal Medicine in Cancer Care</w:t>
      </w:r>
    </w:p>
    <w:p>
      <w:pPr>
        <w:spacing w:before="0" w:after="80"/>
      </w:pPr>
      <w:r>
        <w:rPr>
          <w:rFonts w:ascii="Calibri" w:hAnsi="Calibri"/>
          <w:i w:val="0"/>
          <w:sz w:val="21"/>
        </w:rPr>
        <w:t>Many cancer patients take herbal remedies, often purchased online or from health food shops. This carries significant risks in the context of cancer treatment:</w:t>
      </w:r>
    </w:p>
    <w:tbl>
      <w:tblPr>
        <w:tblStyle w:val="TableGrid"/>
        <w:tblW w:type="auto" w:w="0"/>
        <w:tblLook w:firstColumn="1" w:firstRow="1" w:lastColumn="0" w:lastRow="0" w:noHBand="0" w:noVBand="1" w:val="04A0"/>
      </w:tblPr>
      <w:tblGrid>
        <w:gridCol w:w="9972"/>
      </w:tblGrid>
      <w:tr>
        <w:tc>
          <w:tcPr>
            <w:tcW w:type="dxa" w:w="9972"/>
            <w:shd w:val="clear" w:color="auto" w:fill="FDECEA"/>
          </w:tcPr>
          <w:p>
            <w:pPr>
              <w:spacing w:before="100" w:after="100"/>
            </w:pPr>
            <w:r>
              <w:rPr>
                <w:rFonts w:ascii="Calibri" w:hAnsi="Calibri"/>
                <w:color w:val="C00000"/>
                <w:sz w:val="20"/>
              </w:rPr>
              <w:t>CRITICAL INTERACTIONS — CANCER PATIENTS:</w:t>
              <w:br/>
              <w:t>- St John's Wort: CYP450 inducer — reduces effectiveness of many chemotherapy agents (tamoxifen, imatinib, irinotecan, etc.) — ABSOLUTELY CONTRAINDICATED during cancer treatment</w:t>
              <w:br/>
              <w:t>- High-dose antioxidants (vitamins C, E, selenium): may reduce effectiveness of chemotherapy and radiotherapy — controversial, some oncologists advise avoidance during active treatment</w:t>
              <w:br/>
              <w:t>- Echinacea: avoid with immunosuppressive cancer treatments</w:t>
              <w:br/>
              <w:t>- Herbal laxatives: unpredictable bowel effects with chemotherapy</w:t>
              <w:br/>
              <w:t>- Mistletoe (Iscador/Helixor): used in anthroposophical cancer care — some evidence for quality of life improvement; not proven to affect survival</w:t>
              <w:br/>
              <w:t>- Always review the full herbal supplement list at every cancer-related GP contact</w:t>
            </w:r>
          </w:p>
        </w:tc>
      </w:tr>
    </w:tbl>
    <w:p/>
    <w:p>
      <w:pPr>
        <w:spacing w:before="160" w:after="40"/>
      </w:pPr>
      <w:r>
        <w:rPr>
          <w:rFonts w:ascii="Calibri" w:hAnsi="Calibri"/>
          <w:b/>
          <w:color w:val="007B8A"/>
          <w:sz w:val="22"/>
        </w:rPr>
        <w:t>9. Diet and Nutritional Approaches</w:t>
      </w:r>
    </w:p>
    <w:p>
      <w:pPr>
        <w:spacing w:before="0" w:after="80"/>
      </w:pPr>
      <w:r>
        <w:rPr>
          <w:rFonts w:ascii="Calibri" w:hAnsi="Calibri"/>
          <w:i w:val="0"/>
          <w:sz w:val="21"/>
        </w:rPr>
        <w:t>Cancer patients commonly modify their diet, often based on internet advice. Common approaches: anti-cancer diets (Bristol Cancer Diet, Gerson therapy), elimination diets, high-dose supplements, alkaline diets, ketogenic diets.</w:t>
      </w:r>
    </w:p>
    <w:p>
      <w:pPr>
        <w:spacing w:before="0" w:after="80"/>
      </w:pPr>
      <w:r>
        <w:rPr>
          <w:rFonts w:ascii="Calibri" w:hAnsi="Calibri"/>
          <w:i w:val="0"/>
          <w:sz w:val="21"/>
        </w:rPr>
        <w:t>Evidence: No dietary approach has been proven to treat or cure cancer. Some extreme diets (Gerson therapy, strict elimination diets) can cause malnutrition, electrolyte imbalance, and harmful herbal enemas — potentially dangerous.</w:t>
      </w:r>
    </w:p>
    <w:p>
      <w:pPr>
        <w:spacing w:before="0" w:after="80"/>
      </w:pPr>
      <w:r>
        <w:rPr>
          <w:rFonts w:ascii="Calibri" w:hAnsi="Calibri"/>
          <w:i w:val="0"/>
          <w:sz w:val="21"/>
        </w:rPr>
        <w:t>GP role: Support healthy balanced diet. Refer to oncology dietitian for patients on extreme cancer diets. Advocate against harmful dietary regimes while being non-judgemental. Address nutritional support in patients undergoing chemotherapy or with cancer cachexia.</w:t>
      </w:r>
    </w:p>
    <w:p>
      <w:pPr>
        <w:spacing w:before="240" w:after="80"/>
      </w:pPr>
      <w:r>
        <w:rPr>
          <w:rFonts w:ascii="Calibri" w:hAnsi="Calibri"/>
          <w:b/>
          <w:color w:val="E0651F"/>
          <w:sz w:val="28"/>
        </w:rPr>
        <w:t>A Framework for Safe CAM Use in Cancer Care</w:t>
      </w:r>
    </w:p>
    <w:p>
      <w:pPr>
        <w:spacing w:before="0" w:after="80"/>
      </w:pPr>
      <w:r>
        <w:rPr>
          <w:rFonts w:ascii="Calibri" w:hAnsi="Calibri"/>
          <w:i w:val="0"/>
          <w:sz w:val="21"/>
        </w:rPr>
        <w:t>The following framework helps GPs advise cancer patients on complementary therapies safely:</w:t>
      </w:r>
    </w:p>
    <w:tbl>
      <w:tblPr>
        <w:tblStyle w:val="TableGrid"/>
        <w:tblW w:type="auto" w:w="0"/>
        <w:tblLook w:firstColumn="1" w:firstRow="1" w:lastColumn="0" w:lastRow="0" w:noHBand="0" w:noVBand="1" w:val="04A0"/>
      </w:tblPr>
      <w:tblGrid>
        <w:gridCol w:w="3324"/>
        <w:gridCol w:w="3324"/>
        <w:gridCol w:w="3324"/>
      </w:tblGrid>
      <w:tr>
        <w:tc>
          <w:tcPr>
            <w:tcW w:type="dxa" w:w="3324"/>
            <w:shd w:val="clear" w:color="auto" w:fill="E0651F"/>
          </w:tcPr>
          <w:p>
            <w:pPr>
              <w:jc w:val="center"/>
            </w:pPr>
            <w:r>
              <w:rPr>
                <w:rFonts w:ascii="Calibri" w:hAnsi="Calibri"/>
                <w:b/>
                <w:color w:val="FFFFFF"/>
                <w:sz w:val="20"/>
              </w:rPr>
              <w:t>Category</w:t>
            </w:r>
          </w:p>
        </w:tc>
        <w:tc>
          <w:tcPr>
            <w:tcW w:type="dxa" w:w="3324"/>
            <w:shd w:val="clear" w:color="auto" w:fill="007B8A"/>
          </w:tcPr>
          <w:p>
            <w:pPr>
              <w:jc w:val="center"/>
            </w:pPr>
            <w:r>
              <w:rPr>
                <w:rFonts w:ascii="Calibri" w:hAnsi="Calibri"/>
                <w:b/>
                <w:color w:val="FFFFFF"/>
                <w:sz w:val="20"/>
              </w:rPr>
              <w:t>Therapies</w:t>
            </w:r>
          </w:p>
        </w:tc>
        <w:tc>
          <w:tcPr>
            <w:tcW w:type="dxa" w:w="3324"/>
            <w:shd w:val="clear" w:color="auto" w:fill="5B2C6F"/>
          </w:tcPr>
          <w:p>
            <w:pPr>
              <w:jc w:val="center"/>
            </w:pPr>
            <w:r>
              <w:rPr>
                <w:rFonts w:ascii="Calibri" w:hAnsi="Calibri"/>
                <w:b/>
                <w:color w:val="FFFFFF"/>
                <w:sz w:val="20"/>
              </w:rPr>
              <w:t>GP Recommendation</w:t>
            </w:r>
          </w:p>
        </w:tc>
      </w:tr>
      <w:tr>
        <w:tc>
          <w:tcPr>
            <w:tcW w:type="dxa" w:w="3324"/>
            <w:shd w:val="clear" w:color="auto" w:fill="F5F5F5"/>
          </w:tcPr>
          <w:p>
            <w:r>
              <w:rPr>
                <w:rFonts w:ascii="Calibri" w:hAnsi="Calibri"/>
                <w:b/>
                <w:sz w:val="18"/>
              </w:rPr>
              <w:t>SAFE to use alongside cancer treatment</w:t>
            </w:r>
          </w:p>
        </w:tc>
        <w:tc>
          <w:tcPr>
            <w:tcW w:type="dxa" w:w="3324"/>
            <w:shd w:val="clear" w:color="auto" w:fill="F5F5F5"/>
          </w:tcPr>
          <w:p>
            <w:r>
              <w:rPr>
                <w:rFonts w:ascii="Calibri" w:hAnsi="Calibri"/>
                <w:sz w:val="18"/>
              </w:rPr>
              <w:t>Aromatherapy, massage (by trained cancer therapist), reflexology, relaxation/meditation/mindfulness, acupuncture, hypnotherapy, yoga, gentle exercise</w:t>
            </w:r>
          </w:p>
        </w:tc>
        <w:tc>
          <w:tcPr>
            <w:tcW w:type="dxa" w:w="3324"/>
            <w:shd w:val="clear" w:color="auto" w:fill="F5F5F5"/>
          </w:tcPr>
          <w:p>
            <w:r>
              <w:rPr>
                <w:rFonts w:ascii="Calibri" w:hAnsi="Calibri"/>
                <w:sz w:val="18"/>
              </w:rPr>
              <w:t>Openly support. Recommend trained practitioners. Ensure therapist is aware of cancer diagnosis and current treatment.</w:t>
            </w:r>
          </w:p>
        </w:tc>
      </w:tr>
      <w:tr>
        <w:tc>
          <w:tcPr>
            <w:tcW w:type="dxa" w:w="3324"/>
            <w:shd w:val="clear" w:color="auto" w:fill="FFFFFF"/>
          </w:tcPr>
          <w:p>
            <w:r>
              <w:rPr>
                <w:rFonts w:ascii="Calibri" w:hAnsi="Calibri"/>
                <w:b/>
                <w:sz w:val="18"/>
              </w:rPr>
              <w:t>USE WITH CAUTION — check interactions</w:t>
            </w:r>
          </w:p>
        </w:tc>
        <w:tc>
          <w:tcPr>
            <w:tcW w:type="dxa" w:w="3324"/>
            <w:shd w:val="clear" w:color="auto" w:fill="FFFFFF"/>
          </w:tcPr>
          <w:p>
            <w:r>
              <w:rPr>
                <w:rFonts w:ascii="Calibri" w:hAnsi="Calibri"/>
                <w:sz w:val="18"/>
              </w:rPr>
              <w:t>Herbal remedies, dietary supplements (antioxidants), traditional Chinese medicine</w:t>
            </w:r>
          </w:p>
        </w:tc>
        <w:tc>
          <w:tcPr>
            <w:tcW w:type="dxa" w:w="3324"/>
            <w:shd w:val="clear" w:color="auto" w:fill="FFFFFF"/>
          </w:tcPr>
          <w:p>
            <w:r>
              <w:rPr>
                <w:rFonts w:ascii="Calibri" w:hAnsi="Calibri"/>
                <w:sz w:val="18"/>
              </w:rPr>
              <w:t>Check BNF/interaction database. St John's Wort is CONTRAINDICATED with most chemotherapy. Advise full disclosure to oncologist.</w:t>
            </w:r>
          </w:p>
        </w:tc>
      </w:tr>
      <w:tr>
        <w:tc>
          <w:tcPr>
            <w:tcW w:type="dxa" w:w="3324"/>
            <w:shd w:val="clear" w:color="auto" w:fill="F5F5F5"/>
          </w:tcPr>
          <w:p>
            <w:r>
              <w:rPr>
                <w:rFonts w:ascii="Calibri" w:hAnsi="Calibri"/>
                <w:b/>
                <w:sz w:val="18"/>
              </w:rPr>
              <w:t>AVOID in active cancer treatment</w:t>
            </w:r>
          </w:p>
        </w:tc>
        <w:tc>
          <w:tcPr>
            <w:tcW w:type="dxa" w:w="3324"/>
            <w:shd w:val="clear" w:color="auto" w:fill="F5F5F5"/>
          </w:tcPr>
          <w:p>
            <w:r>
              <w:rPr>
                <w:rFonts w:ascii="Calibri" w:hAnsi="Calibri"/>
                <w:sz w:val="18"/>
              </w:rPr>
              <w:t>St John's Wort (all chemotherapy patients), Gerson therapy and extreme elimination diets, high-dose antioxidant supplements during chemo/RT (seek oncologist advice), kava kava (banned UK)</w:t>
            </w:r>
          </w:p>
        </w:tc>
        <w:tc>
          <w:tcPr>
            <w:tcW w:type="dxa" w:w="3324"/>
            <w:shd w:val="clear" w:color="auto" w:fill="F5F5F5"/>
          </w:tcPr>
          <w:p>
            <w:r>
              <w:rPr>
                <w:rFonts w:ascii="Calibri" w:hAnsi="Calibri"/>
                <w:sz w:val="18"/>
              </w:rPr>
              <w:t>Advise clearly against. Explain the specific risk. Maintain relationship — do not be dismissive.</w:t>
            </w:r>
          </w:p>
        </w:tc>
      </w:tr>
      <w:tr>
        <w:tc>
          <w:tcPr>
            <w:tcW w:type="dxa" w:w="3324"/>
            <w:shd w:val="clear" w:color="auto" w:fill="FFFFFF"/>
          </w:tcPr>
          <w:p>
            <w:r>
              <w:rPr>
                <w:rFonts w:ascii="Calibri" w:hAnsi="Calibri"/>
                <w:b/>
                <w:sz w:val="18"/>
              </w:rPr>
              <w:t>NEVER replace conventional treatment</w:t>
            </w:r>
          </w:p>
        </w:tc>
        <w:tc>
          <w:tcPr>
            <w:tcW w:type="dxa" w:w="3324"/>
            <w:shd w:val="clear" w:color="auto" w:fill="FFFFFF"/>
          </w:tcPr>
          <w:p>
            <w:r>
              <w:rPr>
                <w:rFonts w:ascii="Calibri" w:hAnsi="Calibri"/>
                <w:sz w:val="18"/>
              </w:rPr>
              <w:t>Using any CAM INSTEAD of surgery, chemotherapy, radiotherapy or hormonal therapy</w:t>
            </w:r>
          </w:p>
        </w:tc>
        <w:tc>
          <w:tcPr>
            <w:tcW w:type="dxa" w:w="3324"/>
            <w:shd w:val="clear" w:color="auto" w:fill="FFFFFF"/>
          </w:tcPr>
          <w:p>
            <w:r>
              <w:rPr>
                <w:rFonts w:ascii="Calibri" w:hAnsi="Calibri"/>
                <w:sz w:val="18"/>
              </w:rPr>
              <w:t>Patient safety concern. Address directly. Explore reasons. Involve multidisciplinary team if needed.</w:t>
            </w:r>
          </w:p>
        </w:tc>
      </w:tr>
    </w:tbl>
    <w:p/>
    <w:p>
      <w:pPr>
        <w:spacing w:before="240" w:after="80"/>
      </w:pPr>
      <w:r>
        <w:rPr>
          <w:rFonts w:ascii="Calibri" w:hAnsi="Calibri"/>
          <w:b/>
          <w:color w:val="E0651F"/>
          <w:sz w:val="28"/>
        </w:rPr>
        <w:t>GP Communication — Talking to Cancer Patients About CAM</w:t>
      </w:r>
    </w:p>
    <w:p>
      <w:pPr>
        <w:spacing w:before="0" w:after="80"/>
      </w:pPr>
      <w:r>
        <w:rPr>
          <w:rFonts w:ascii="Calibri" w:hAnsi="Calibri"/>
          <w:i w:val="0"/>
          <w:sz w:val="21"/>
        </w:rPr>
        <w:t>Key questions to ask at every cancer consultation:</w:t>
      </w:r>
    </w:p>
    <w:p>
      <w:pPr>
        <w:pStyle w:val="ListBullet"/>
        <w:spacing w:before="20" w:after="20"/>
      </w:pPr>
      <w:r>
        <w:rPr>
          <w:rFonts w:ascii="Calibri" w:hAnsi="Calibri"/>
          <w:sz w:val="21"/>
        </w:rPr>
        <w:t>Are you taking any herbal remedies, vitamins, or food supplements?</w:t>
      </w:r>
    </w:p>
    <w:p>
      <w:pPr>
        <w:pStyle w:val="ListBullet"/>
        <w:spacing w:before="20" w:after="20"/>
      </w:pPr>
      <w:r>
        <w:rPr>
          <w:rFonts w:ascii="Calibri" w:hAnsi="Calibri"/>
          <w:sz w:val="21"/>
        </w:rPr>
        <w:t>Have you tried or are you considering any complementary therapies?</w:t>
      </w:r>
    </w:p>
    <w:p>
      <w:pPr>
        <w:pStyle w:val="ListBullet"/>
        <w:spacing w:before="20" w:after="20"/>
      </w:pPr>
      <w:r>
        <w:rPr>
          <w:rFonts w:ascii="Calibri" w:hAnsi="Calibri"/>
          <w:sz w:val="21"/>
        </w:rPr>
        <w:t>Is there anything about your current treatment that you find difficult?</w:t>
      </w:r>
    </w:p>
    <w:p>
      <w:pPr>
        <w:pStyle w:val="ListBullet"/>
        <w:spacing w:before="20" w:after="20"/>
      </w:pPr>
      <w:r>
        <w:rPr>
          <w:rFonts w:ascii="Calibri" w:hAnsi="Calibri"/>
          <w:sz w:val="21"/>
        </w:rPr>
        <w:t>How are you coping emotionally with your diagnosis?</w:t>
      </w:r>
    </w:p>
    <w:tbl>
      <w:tblPr>
        <w:tblStyle w:val="TableGrid"/>
        <w:tblW w:type="auto" w:w="0"/>
        <w:tblLook w:firstColumn="1" w:firstRow="1" w:lastColumn="0" w:lastRow="0" w:noHBand="0" w:noVBand="1" w:val="04A0"/>
      </w:tblPr>
      <w:tblGrid>
        <w:gridCol w:w="9972"/>
      </w:tblGrid>
      <w:tr>
        <w:tc>
          <w:tcPr>
            <w:tcW w:type="dxa" w:w="9972"/>
            <w:shd w:val="clear" w:color="auto" w:fill="E8F0FE"/>
          </w:tcPr>
          <w:p>
            <w:pPr>
              <w:spacing w:before="100" w:after="100"/>
            </w:pPr>
            <w:r>
              <w:rPr>
                <w:rFonts w:ascii="Calibri" w:hAnsi="Calibri"/>
                <w:color w:val="5B2C6F"/>
                <w:sz w:val="20"/>
              </w:rPr>
              <w:t>SAMPLE PHRASES:</w:t>
              <w:br/>
              <w:t>- 'Many of my patients with cancer find complementary therapies helpful for things like anxiety, sleep and side-effects. Some are safe to use alongside your treatment, and some I need to know about because they can interfere with chemotherapy.'</w:t>
              <w:br/>
              <w:t>- 'I want you to feel you can tell me whatever you are taking — I won't judge you, but I need to know so I can keep you safe.'</w:t>
              <w:br/>
              <w:t>- 'I understand you are looking for more control over what is happening. Let us talk about what you are thinking of trying, and I can tell you what I know about the evidence and safety for each.'</w:t>
            </w:r>
          </w:p>
        </w:tc>
      </w:tr>
    </w:tbl>
    <w:p/>
    <w:p>
      <w:pPr>
        <w:spacing w:before="240" w:after="80"/>
      </w:pPr>
      <w:r>
        <w:rPr>
          <w:rFonts w:ascii="Calibri" w:hAnsi="Calibri"/>
          <w:b/>
          <w:color w:val="E0651F"/>
          <w:sz w:val="28"/>
        </w:rPr>
        <w:t>Red Flags — When CAM Becomes Dangerous in Cancer Care</w:t>
      </w:r>
    </w:p>
    <w:tbl>
      <w:tblPr>
        <w:tblStyle w:val="TableGrid"/>
        <w:tblW w:type="auto" w:w="0"/>
        <w:tblLook w:firstColumn="1" w:firstRow="1" w:lastColumn="0" w:lastRow="0" w:noHBand="0" w:noVBand="1" w:val="04A0"/>
      </w:tblPr>
      <w:tblGrid>
        <w:gridCol w:w="9972"/>
      </w:tblGrid>
      <w:tr>
        <w:tc>
          <w:tcPr>
            <w:tcW w:type="dxa" w:w="9972"/>
            <w:shd w:val="clear" w:color="auto" w:fill="FDECEA"/>
          </w:tcPr>
          <w:p>
            <w:pPr>
              <w:spacing w:before="100" w:after="100"/>
            </w:pPr>
            <w:r>
              <w:rPr>
                <w:rFonts w:ascii="Calibri" w:hAnsi="Calibri"/>
                <w:color w:val="C00000"/>
                <w:sz w:val="20"/>
              </w:rPr>
              <w:t>RED FLAG SITUATIONS — act promptly:</w:t>
              <w:br/>
              <w:t>1. Patient delaying or refusing surgery, chemotherapy, or radiotherapy in favour of CAM</w:t>
              <w:br/>
              <w:t>2. Patient taking St John's Wort during chemotherapy</w:t>
              <w:br/>
              <w:t>3. Patient on tamoxifen taking St John's Wort (reduces plasma levels significantly)</w:t>
              <w:br/>
              <w:t>4. Patient on irinotecan, imatinib, or other CYP3A4-metabolised drugs taking St John's Wort</w:t>
              <w:br/>
              <w:t>5. Extreme dietary regimes causing weight loss, malnutrition, or electrolyte disturbance</w:t>
              <w:br/>
              <w:t>6. Unqualified practitioner claiming cancer cures</w:t>
              <w:br/>
              <w:t>7. Patient spending significant money on unproven CAM cancer treatments</w:t>
              <w:br/>
              <w:t>8. Worsening symptoms attributed to 'healing crisis' — delay in reassessment</w:t>
            </w:r>
          </w:p>
        </w:tc>
      </w:tr>
    </w:tbl>
    <w:p/>
    <w:tbl>
      <w:tblPr>
        <w:tblStyle w:val="TableGrid"/>
        <w:tblW w:type="auto" w:w="0"/>
        <w:tblLook w:firstColumn="1" w:firstRow="1" w:lastColumn="0" w:lastRow="0" w:noHBand="0" w:noVBand="1" w:val="04A0"/>
      </w:tblPr>
      <w:tblGrid>
        <w:gridCol w:w="9972"/>
      </w:tblGrid>
      <w:tr>
        <w:tc>
          <w:tcPr>
            <w:tcW w:type="dxa" w:w="9972"/>
            <w:shd w:val="clear" w:color="auto" w:fill="E8F0FE"/>
          </w:tcPr>
          <w:p>
            <w:pPr>
              <w:spacing w:before="100" w:after="100"/>
            </w:pPr>
            <w:r>
              <w:rPr>
                <w:rFonts w:ascii="Calibri" w:hAnsi="Calibri"/>
                <w:color w:val="5B2C6F"/>
                <w:sz w:val="20"/>
              </w:rPr>
              <w:t>EXAM PEARLS (AKT/SCA)</w:t>
              <w:br/>
              <w:t>- Up to 1 in 3 cancer patients uses CAM — ask about it at every consultation</w:t>
              <w:br/>
              <w:t>- Best evidence in cancer: acupuncture for CINV; relaxation/mindfulness for quality of life</w:t>
              <w:br/>
              <w:t>- St John's Wort: CONTRAINDICATED with most chemotherapy (CYP450 inducer)</w:t>
              <w:br/>
              <w:t>- Homeopathy: NHS decommissioned 2018; no NICE recommendation for cancer care</w:t>
              <w:br/>
              <w:t>- Aromatherapy, massage, reflexology: low-risk supportive role — endorse with training</w:t>
              <w:br/>
              <w:t>- MLD (manual lymphatic drainage) = evidence-based, NICE-endorsed treatment for lymphoedema</w:t>
              <w:br/>
              <w:t>- SCA: if patient wants to use CAM for cancer — validate, explore ICE, discuss safety, do not dismiss, safety-net against delaying proven treatment</w:t>
            </w:r>
          </w:p>
        </w:tc>
      </w:tr>
    </w:tbl>
    <w:p/>
    <w:p/>
    <w:tbl>
      <w:tblPr>
        <w:tblStyle w:val="TableGrid"/>
        <w:tblW w:type="auto" w:w="0"/>
        <w:tblLook w:firstColumn="1" w:firstRow="1" w:lastColumn="0" w:lastRow="0" w:noHBand="0" w:noVBand="1" w:val="04A0"/>
      </w:tblPr>
      <w:tblGrid>
        <w:gridCol w:w="9972"/>
      </w:tblGrid>
      <w:tr>
        <w:tc>
          <w:tcPr>
            <w:tcW w:type="dxa" w:w="9972"/>
            <w:shd w:val="clear" w:color="auto" w:fill="FDECEA"/>
          </w:tcPr>
          <w:p>
            <w:pPr>
              <w:spacing w:before="100" w:after="100"/>
            </w:pPr>
            <w:r>
              <w:rPr>
                <w:rFonts w:ascii="Calibri" w:hAnsi="Calibri"/>
                <w:color w:val="C00000"/>
                <w:sz w:val="20"/>
              </w:rPr>
              <w:t>Always double check this advice and drug doses with the latest NICE/BNF guidance. This document is for educational purposes only.</w:t>
            </w:r>
          </w:p>
        </w:tc>
      </w:tr>
    </w:tbl>
    <w:p/>
    <w:sectPr w:rsidR="00FC693F" w:rsidRPr="0006063C" w:rsidSect="00034616">
      <w:footerReference w:type="default" r:id="rId9"/>
      <w:pgSz w:w="12240" w:h="15840"/>
      <w:pgMar w:top="1020" w:right="1134" w:bottom="102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color w:val="666666"/>
        <w:sz w:val="16"/>
      </w:rPr>
      <w:t>A free resource provided by www.bradfordvts.co.uk  |  Dr Ramesh Mehay  |  Original: Macmillan 1999, revised/updated May 2026</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