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0598"/>
      </w:tblGrid>
      <w:tr w:rsidR="00D5766E" w14:paraId="06158B62" w14:textId="77777777" w:rsidTr="00D76CB3">
        <w:tc>
          <w:tcPr>
            <w:tcW w:w="10598" w:type="dxa"/>
            <w:shd w:val="clear" w:color="auto" w:fill="E0651F"/>
          </w:tcPr>
          <w:p w14:paraId="4B906B4C" w14:textId="77777777" w:rsidR="00D5766E" w:rsidRDefault="00000000">
            <w:pPr>
              <w:spacing w:before="80" w:after="80"/>
              <w:jc w:val="center"/>
            </w:pPr>
            <w:r>
              <w:rPr>
                <w:rFonts w:ascii="Calibri" w:hAnsi="Calibri"/>
                <w:b/>
                <w:caps/>
                <w:color w:val="FFFFFF"/>
                <w:sz w:val="20"/>
              </w:rPr>
              <w:t>BRADFORD VTS TEACHING AIDS</w:t>
            </w:r>
          </w:p>
          <w:p w14:paraId="7E710DE9" w14:textId="77777777" w:rsidR="00D5766E" w:rsidRDefault="00000000">
            <w:pPr>
              <w:spacing w:before="80" w:after="80"/>
              <w:jc w:val="center"/>
            </w:pPr>
            <w:r>
              <w:rPr>
                <w:rFonts w:ascii="Calibri" w:hAnsi="Calibri"/>
                <w:b/>
                <w:color w:val="FFFFFF"/>
                <w:sz w:val="52"/>
              </w:rPr>
              <w:t>Osteopathy vs Chiropractic</w:t>
            </w:r>
          </w:p>
          <w:p w14:paraId="522F928A" w14:textId="77777777" w:rsidR="00D5766E" w:rsidRDefault="00000000">
            <w:pPr>
              <w:spacing w:before="80" w:after="80"/>
              <w:jc w:val="center"/>
            </w:pPr>
            <w:r>
              <w:rPr>
                <w:rFonts w:ascii="Calibri" w:hAnsi="Calibri"/>
                <w:i/>
                <w:color w:val="FFFFFF"/>
              </w:rPr>
              <w:t>A GP Quick Reference Guide  |  Bradford VTS  |  May 2026</w:t>
            </w:r>
          </w:p>
        </w:tc>
      </w:tr>
    </w:tbl>
    <w:p w14:paraId="0390DA83" w14:textId="77777777" w:rsidR="00D5766E" w:rsidRDefault="00D5766E"/>
    <w:tbl>
      <w:tblPr>
        <w:tblStyle w:val="TableGrid"/>
        <w:tblW w:w="0" w:type="auto"/>
        <w:tblLook w:val="04A0" w:firstRow="1" w:lastRow="0" w:firstColumn="1" w:lastColumn="0" w:noHBand="0" w:noVBand="1"/>
      </w:tblPr>
      <w:tblGrid>
        <w:gridCol w:w="10598"/>
      </w:tblGrid>
      <w:tr w:rsidR="00D5766E" w14:paraId="28A30B9F" w14:textId="77777777" w:rsidTr="00D76CB3">
        <w:tc>
          <w:tcPr>
            <w:tcW w:w="10598" w:type="dxa"/>
            <w:shd w:val="clear" w:color="auto" w:fill="E8F4EA"/>
          </w:tcPr>
          <w:p w14:paraId="671B97FF" w14:textId="77777777" w:rsidR="00D5766E" w:rsidRDefault="00000000">
            <w:pPr>
              <w:spacing w:before="100" w:after="100"/>
            </w:pPr>
            <w:r>
              <w:rPr>
                <w:rFonts w:ascii="Calibri" w:hAnsi="Calibri"/>
                <w:color w:val="1A5C25"/>
                <w:sz w:val="20"/>
              </w:rPr>
              <w:t>KEY FACT: Osteopathy and chiropractic are the ONLY two complementary therapies with STATUTORY REGULATION in the UK. Both titles are legally protected. Both are supported by NICE NG59 (2016) as manual therapy options for low back pain.</w:t>
            </w:r>
          </w:p>
        </w:tc>
      </w:tr>
    </w:tbl>
    <w:p w14:paraId="639DF4C1" w14:textId="77777777" w:rsidR="00D5766E" w:rsidRDefault="00000000">
      <w:pPr>
        <w:spacing w:before="240" w:after="80"/>
      </w:pPr>
      <w:r>
        <w:rPr>
          <w:rFonts w:ascii="Calibri" w:hAnsi="Calibri"/>
          <w:b/>
          <w:color w:val="E0651F"/>
          <w:sz w:val="28"/>
        </w:rPr>
        <w:t>Head-to-Head Comparison</w:t>
      </w:r>
    </w:p>
    <w:tbl>
      <w:tblPr>
        <w:tblStyle w:val="TableGrid"/>
        <w:tblW w:w="0" w:type="auto"/>
        <w:tblLook w:val="04A0" w:firstRow="1" w:lastRow="0" w:firstColumn="1" w:lastColumn="0" w:noHBand="0" w:noVBand="1"/>
      </w:tblPr>
      <w:tblGrid>
        <w:gridCol w:w="2268"/>
        <w:gridCol w:w="4139"/>
        <w:gridCol w:w="4139"/>
      </w:tblGrid>
      <w:tr w:rsidR="00D5766E" w14:paraId="5337296C" w14:textId="77777777">
        <w:tc>
          <w:tcPr>
            <w:tcW w:w="2268" w:type="dxa"/>
            <w:shd w:val="clear" w:color="auto" w:fill="E0651F"/>
          </w:tcPr>
          <w:p w14:paraId="3DC38BF8" w14:textId="77777777" w:rsidR="00D5766E" w:rsidRDefault="00000000">
            <w:pPr>
              <w:jc w:val="center"/>
            </w:pPr>
            <w:r>
              <w:rPr>
                <w:rFonts w:ascii="Calibri" w:hAnsi="Calibri"/>
                <w:b/>
                <w:color w:val="FFFFFF"/>
                <w:sz w:val="20"/>
              </w:rPr>
              <w:t>Feature</w:t>
            </w:r>
          </w:p>
        </w:tc>
        <w:tc>
          <w:tcPr>
            <w:tcW w:w="4139" w:type="dxa"/>
            <w:shd w:val="clear" w:color="auto" w:fill="007B8A"/>
          </w:tcPr>
          <w:p w14:paraId="11DD8C9A" w14:textId="77777777" w:rsidR="00D5766E" w:rsidRDefault="00000000">
            <w:pPr>
              <w:jc w:val="center"/>
            </w:pPr>
            <w:r>
              <w:rPr>
                <w:rFonts w:ascii="Calibri" w:hAnsi="Calibri"/>
                <w:b/>
                <w:color w:val="FFFFFF"/>
                <w:sz w:val="20"/>
              </w:rPr>
              <w:t>Osteopathy</w:t>
            </w:r>
          </w:p>
        </w:tc>
        <w:tc>
          <w:tcPr>
            <w:tcW w:w="4139" w:type="dxa"/>
            <w:shd w:val="clear" w:color="auto" w:fill="5B2C6F"/>
          </w:tcPr>
          <w:p w14:paraId="7B67ABCF" w14:textId="77777777" w:rsidR="00D5766E" w:rsidRDefault="00000000">
            <w:pPr>
              <w:jc w:val="center"/>
            </w:pPr>
            <w:r>
              <w:rPr>
                <w:rFonts w:ascii="Calibri" w:hAnsi="Calibri"/>
                <w:b/>
                <w:color w:val="FFFFFF"/>
                <w:sz w:val="20"/>
              </w:rPr>
              <w:t>Chiropractic</w:t>
            </w:r>
          </w:p>
        </w:tc>
      </w:tr>
      <w:tr w:rsidR="00D5766E" w14:paraId="6B0F75EA" w14:textId="77777777">
        <w:tc>
          <w:tcPr>
            <w:tcW w:w="2268" w:type="dxa"/>
            <w:shd w:val="clear" w:color="auto" w:fill="F5F5F5"/>
          </w:tcPr>
          <w:p w14:paraId="063CEC94" w14:textId="77777777" w:rsidR="00D5766E" w:rsidRDefault="00000000">
            <w:r>
              <w:rPr>
                <w:rFonts w:ascii="Calibri" w:hAnsi="Calibri"/>
                <w:b/>
                <w:sz w:val="18"/>
              </w:rPr>
              <w:t>Founded</w:t>
            </w:r>
          </w:p>
        </w:tc>
        <w:tc>
          <w:tcPr>
            <w:tcW w:w="4139" w:type="dxa"/>
            <w:shd w:val="clear" w:color="auto" w:fill="F5F5F5"/>
          </w:tcPr>
          <w:p w14:paraId="6A4CA329" w14:textId="77777777" w:rsidR="00D5766E" w:rsidRDefault="00000000">
            <w:r>
              <w:rPr>
                <w:rFonts w:ascii="Calibri" w:hAnsi="Calibri"/>
                <w:sz w:val="18"/>
              </w:rPr>
              <w:t>Andrew Taylor Still (USA, 1874). First school 1892 Kirksville. UK: Martin Littlejohn; British School of Osteopathy, 1920s</w:t>
            </w:r>
          </w:p>
        </w:tc>
        <w:tc>
          <w:tcPr>
            <w:tcW w:w="4139" w:type="dxa"/>
            <w:shd w:val="clear" w:color="auto" w:fill="F5F5F5"/>
          </w:tcPr>
          <w:p w14:paraId="191C3AFB" w14:textId="77777777" w:rsidR="00D5766E" w:rsidRDefault="00000000">
            <w:r>
              <w:rPr>
                <w:rFonts w:ascii="Calibri" w:hAnsi="Calibri"/>
                <w:sz w:val="18"/>
              </w:rPr>
              <w:t>Daniel David Palmer (USA, 1895). UK practice established early 20th century</w:t>
            </w:r>
          </w:p>
        </w:tc>
      </w:tr>
      <w:tr w:rsidR="00D5766E" w14:paraId="4FF47964" w14:textId="77777777">
        <w:tc>
          <w:tcPr>
            <w:tcW w:w="2268" w:type="dxa"/>
            <w:shd w:val="clear" w:color="auto" w:fill="FFFFFF"/>
          </w:tcPr>
          <w:p w14:paraId="4B2B7DD4" w14:textId="77777777" w:rsidR="00D5766E" w:rsidRDefault="00000000">
            <w:r>
              <w:rPr>
                <w:rFonts w:ascii="Calibri" w:hAnsi="Calibri"/>
                <w:b/>
                <w:sz w:val="18"/>
              </w:rPr>
              <w:t>Core focus</w:t>
            </w:r>
          </w:p>
        </w:tc>
        <w:tc>
          <w:tcPr>
            <w:tcW w:w="4139" w:type="dxa"/>
            <w:shd w:val="clear" w:color="auto" w:fill="FFFFFF"/>
          </w:tcPr>
          <w:p w14:paraId="5E87168A" w14:textId="77777777" w:rsidR="00D5766E" w:rsidRDefault="00000000">
            <w:r>
              <w:rPr>
                <w:rFonts w:ascii="Calibri" w:hAnsi="Calibri"/>
                <w:sz w:val="18"/>
              </w:rPr>
              <w:t>Structure and function of the WHOLE body. Musculoskeletal + visceral + cranial osteopathy. Emphasis on total body health and self-healing.</w:t>
            </w:r>
          </w:p>
        </w:tc>
        <w:tc>
          <w:tcPr>
            <w:tcW w:w="4139" w:type="dxa"/>
            <w:shd w:val="clear" w:color="auto" w:fill="FFFFFF"/>
          </w:tcPr>
          <w:p w14:paraId="7F7894E1" w14:textId="77777777" w:rsidR="00D5766E" w:rsidRDefault="00000000">
            <w:r>
              <w:rPr>
                <w:rFonts w:ascii="Calibri" w:hAnsi="Calibri"/>
                <w:sz w:val="18"/>
              </w:rPr>
              <w:t>Mechanical dysfunction of joints — especially the spine. Effects on the nervous system. 'Adjustment' = high-velocity thrust manipulation.</w:t>
            </w:r>
          </w:p>
        </w:tc>
      </w:tr>
      <w:tr w:rsidR="00D5766E" w14:paraId="755B2B1B" w14:textId="77777777">
        <w:tc>
          <w:tcPr>
            <w:tcW w:w="2268" w:type="dxa"/>
            <w:shd w:val="clear" w:color="auto" w:fill="F5F5F5"/>
          </w:tcPr>
          <w:p w14:paraId="70E1E2B1" w14:textId="77777777" w:rsidR="00D5766E" w:rsidRDefault="00000000">
            <w:r>
              <w:rPr>
                <w:rFonts w:ascii="Calibri" w:hAnsi="Calibri"/>
                <w:b/>
                <w:sz w:val="18"/>
              </w:rPr>
              <w:t>Statutory regulation</w:t>
            </w:r>
          </w:p>
        </w:tc>
        <w:tc>
          <w:tcPr>
            <w:tcW w:w="4139" w:type="dxa"/>
            <w:shd w:val="clear" w:color="auto" w:fill="F5F5F5"/>
          </w:tcPr>
          <w:p w14:paraId="24C299B0" w14:textId="77777777" w:rsidR="00D5766E" w:rsidRDefault="00000000">
            <w:r>
              <w:rPr>
                <w:rFonts w:ascii="Calibri" w:hAnsi="Calibri"/>
                <w:sz w:val="18"/>
              </w:rPr>
              <w:t>YES — Osteopaths Act 1993. Regulator: General Osteopathic Council (GOsC). Protected title: 'Osteopath'</w:t>
            </w:r>
          </w:p>
        </w:tc>
        <w:tc>
          <w:tcPr>
            <w:tcW w:w="4139" w:type="dxa"/>
            <w:shd w:val="clear" w:color="auto" w:fill="F5F5F5"/>
          </w:tcPr>
          <w:p w14:paraId="588EB24D" w14:textId="77777777" w:rsidR="00D5766E" w:rsidRDefault="00000000">
            <w:r>
              <w:rPr>
                <w:rFonts w:ascii="Calibri" w:hAnsi="Calibri"/>
                <w:sz w:val="18"/>
              </w:rPr>
              <w:t>YES — Chiropractors Act 1994. Regulator: General Chiropractic Council (GCC). Protected title: 'Chiropractor'</w:t>
            </w:r>
          </w:p>
        </w:tc>
      </w:tr>
      <w:tr w:rsidR="00D5766E" w14:paraId="4228A0AE" w14:textId="77777777">
        <w:tc>
          <w:tcPr>
            <w:tcW w:w="2268" w:type="dxa"/>
            <w:shd w:val="clear" w:color="auto" w:fill="FFFFFF"/>
          </w:tcPr>
          <w:p w14:paraId="4591A3AB" w14:textId="77777777" w:rsidR="00D5766E" w:rsidRDefault="00000000">
            <w:r>
              <w:rPr>
                <w:rFonts w:ascii="Calibri" w:hAnsi="Calibri"/>
                <w:b/>
                <w:sz w:val="18"/>
              </w:rPr>
              <w:t>Training</w:t>
            </w:r>
          </w:p>
        </w:tc>
        <w:tc>
          <w:tcPr>
            <w:tcW w:w="4139" w:type="dxa"/>
            <w:shd w:val="clear" w:color="auto" w:fill="FFFFFF"/>
          </w:tcPr>
          <w:p w14:paraId="7F40B082" w14:textId="77777777" w:rsidR="00D5766E" w:rsidRDefault="00000000">
            <w:r>
              <w:rPr>
                <w:rFonts w:ascii="Calibri" w:hAnsi="Calibri"/>
                <w:sz w:val="18"/>
              </w:rPr>
              <w:t>4-5 year BSc or MOst degree programme. Some postgraduate routes.</w:t>
            </w:r>
          </w:p>
        </w:tc>
        <w:tc>
          <w:tcPr>
            <w:tcW w:w="4139" w:type="dxa"/>
            <w:shd w:val="clear" w:color="auto" w:fill="FFFFFF"/>
          </w:tcPr>
          <w:p w14:paraId="6FC05FD0" w14:textId="77777777" w:rsidR="00D5766E" w:rsidRDefault="00000000">
            <w:r>
              <w:rPr>
                <w:rFonts w:ascii="Calibri" w:hAnsi="Calibri"/>
                <w:sz w:val="18"/>
              </w:rPr>
              <w:t>4-5 year BSc or MChiro degree programme.</w:t>
            </w:r>
          </w:p>
        </w:tc>
      </w:tr>
      <w:tr w:rsidR="00D5766E" w14:paraId="4189FF8C" w14:textId="77777777">
        <w:tc>
          <w:tcPr>
            <w:tcW w:w="2268" w:type="dxa"/>
            <w:shd w:val="clear" w:color="auto" w:fill="F5F5F5"/>
          </w:tcPr>
          <w:p w14:paraId="2BA8FF44" w14:textId="77777777" w:rsidR="00D5766E" w:rsidRDefault="00000000">
            <w:r>
              <w:rPr>
                <w:rFonts w:ascii="Calibri" w:hAnsi="Calibri"/>
                <w:b/>
                <w:sz w:val="18"/>
              </w:rPr>
              <w:t>Techniques</w:t>
            </w:r>
          </w:p>
        </w:tc>
        <w:tc>
          <w:tcPr>
            <w:tcW w:w="4139" w:type="dxa"/>
            <w:shd w:val="clear" w:color="auto" w:fill="F5F5F5"/>
          </w:tcPr>
          <w:p w14:paraId="0D559532" w14:textId="77777777" w:rsidR="00D5766E" w:rsidRDefault="00000000">
            <w:r>
              <w:rPr>
                <w:rFonts w:ascii="Calibri" w:hAnsi="Calibri"/>
                <w:sz w:val="18"/>
              </w:rPr>
              <w:t>Soft tissue massage, rhythmic mobilisation, high-velocity thrust (HVT), craniosacral techniques, muscle energy techniques.</w:t>
            </w:r>
          </w:p>
        </w:tc>
        <w:tc>
          <w:tcPr>
            <w:tcW w:w="4139" w:type="dxa"/>
            <w:shd w:val="clear" w:color="auto" w:fill="F5F5F5"/>
          </w:tcPr>
          <w:p w14:paraId="27494933" w14:textId="77777777" w:rsidR="00D5766E" w:rsidRDefault="00000000">
            <w:r>
              <w:rPr>
                <w:rFonts w:ascii="Calibri" w:hAnsi="Calibri"/>
                <w:sz w:val="18"/>
              </w:rPr>
              <w:t>High-velocity thrust 'adjustments' (primary technique), mobilisation, soft tissue work, exercise prescription.</w:t>
            </w:r>
          </w:p>
        </w:tc>
      </w:tr>
      <w:tr w:rsidR="00D5766E" w14:paraId="4210F89F" w14:textId="77777777">
        <w:tc>
          <w:tcPr>
            <w:tcW w:w="2268" w:type="dxa"/>
            <w:shd w:val="clear" w:color="auto" w:fill="FFFFFF"/>
          </w:tcPr>
          <w:p w14:paraId="661D656A" w14:textId="77777777" w:rsidR="00D5766E" w:rsidRDefault="00000000">
            <w:r>
              <w:rPr>
                <w:rFonts w:ascii="Calibri" w:hAnsi="Calibri"/>
                <w:b/>
                <w:sz w:val="18"/>
              </w:rPr>
              <w:t>NICE NG59 (2016)</w:t>
            </w:r>
          </w:p>
        </w:tc>
        <w:tc>
          <w:tcPr>
            <w:tcW w:w="4139" w:type="dxa"/>
            <w:shd w:val="clear" w:color="auto" w:fill="FFFFFF"/>
          </w:tcPr>
          <w:p w14:paraId="10C87F42" w14:textId="77777777" w:rsidR="00D5766E" w:rsidRDefault="00000000">
            <w:r>
              <w:rPr>
                <w:rFonts w:ascii="Calibri" w:hAnsi="Calibri"/>
                <w:sz w:val="18"/>
              </w:rPr>
              <w:t>Manual therapy (manipulation, mobilisation, massage) recommended for low back pain with or without sciatica.</w:t>
            </w:r>
          </w:p>
        </w:tc>
        <w:tc>
          <w:tcPr>
            <w:tcW w:w="4139" w:type="dxa"/>
            <w:shd w:val="clear" w:color="auto" w:fill="FFFFFF"/>
          </w:tcPr>
          <w:p w14:paraId="76C6C218" w14:textId="77777777" w:rsidR="00D5766E" w:rsidRDefault="00000000">
            <w:r>
              <w:rPr>
                <w:rFonts w:ascii="Calibri" w:hAnsi="Calibri"/>
                <w:sz w:val="18"/>
              </w:rPr>
              <w:t>Manual therapy (spinal manipulation) recommended for low back pain with or without sciatica.</w:t>
            </w:r>
          </w:p>
        </w:tc>
      </w:tr>
      <w:tr w:rsidR="00D5766E" w14:paraId="4BDA6ADA" w14:textId="77777777">
        <w:tc>
          <w:tcPr>
            <w:tcW w:w="2268" w:type="dxa"/>
            <w:shd w:val="clear" w:color="auto" w:fill="F5F5F5"/>
          </w:tcPr>
          <w:p w14:paraId="201EC6CD" w14:textId="77777777" w:rsidR="00D5766E" w:rsidRDefault="00000000">
            <w:r>
              <w:rPr>
                <w:rFonts w:ascii="Calibri" w:hAnsi="Calibri"/>
                <w:b/>
                <w:sz w:val="18"/>
              </w:rPr>
              <w:t>Evidence</w:t>
            </w:r>
          </w:p>
        </w:tc>
        <w:tc>
          <w:tcPr>
            <w:tcW w:w="4139" w:type="dxa"/>
            <w:shd w:val="clear" w:color="auto" w:fill="F5F5F5"/>
          </w:tcPr>
          <w:p w14:paraId="57BD748C" w14:textId="77777777" w:rsidR="00D5766E" w:rsidRDefault="00000000">
            <w:r>
              <w:rPr>
                <w:rFonts w:ascii="Calibri" w:hAnsi="Calibri"/>
                <w:sz w:val="18"/>
              </w:rPr>
              <w:t>Good for low back pain, neck pain, OA management. Moderate for headache, pelvic girdle pain in pregnancy.</w:t>
            </w:r>
          </w:p>
        </w:tc>
        <w:tc>
          <w:tcPr>
            <w:tcW w:w="4139" w:type="dxa"/>
            <w:shd w:val="clear" w:color="auto" w:fill="F5F5F5"/>
          </w:tcPr>
          <w:p w14:paraId="1A2D030B" w14:textId="77777777" w:rsidR="00D5766E" w:rsidRDefault="00000000">
            <w:r>
              <w:rPr>
                <w:rFonts w:ascii="Calibri" w:hAnsi="Calibri"/>
                <w:sz w:val="18"/>
              </w:rPr>
              <w:t>Good for low back pain, neck pain. Moderate for headache.</w:t>
            </w:r>
          </w:p>
        </w:tc>
      </w:tr>
      <w:tr w:rsidR="00D5766E" w14:paraId="236BB7CF" w14:textId="77777777">
        <w:tc>
          <w:tcPr>
            <w:tcW w:w="2268" w:type="dxa"/>
            <w:shd w:val="clear" w:color="auto" w:fill="FFFFFF"/>
          </w:tcPr>
          <w:p w14:paraId="15420D55" w14:textId="77777777" w:rsidR="00D5766E" w:rsidRDefault="00000000">
            <w:r>
              <w:rPr>
                <w:rFonts w:ascii="Calibri" w:hAnsi="Calibri"/>
                <w:b/>
                <w:sz w:val="18"/>
              </w:rPr>
              <w:t>Contraindications</w:t>
            </w:r>
          </w:p>
        </w:tc>
        <w:tc>
          <w:tcPr>
            <w:tcW w:w="4139" w:type="dxa"/>
            <w:shd w:val="clear" w:color="auto" w:fill="FFFFFF"/>
          </w:tcPr>
          <w:p w14:paraId="22062B15" w14:textId="77777777" w:rsidR="00D5766E" w:rsidRDefault="00000000">
            <w:r>
              <w:rPr>
                <w:rFonts w:ascii="Calibri" w:hAnsi="Calibri"/>
                <w:sz w:val="18"/>
              </w:rPr>
              <w:t>Fracture, malignancy, active infection, severe osteoporosis, coagulopathy, progressive neurological deficit, cauda equina.</w:t>
            </w:r>
          </w:p>
        </w:tc>
        <w:tc>
          <w:tcPr>
            <w:tcW w:w="4139" w:type="dxa"/>
            <w:shd w:val="clear" w:color="auto" w:fill="FFFFFF"/>
          </w:tcPr>
          <w:p w14:paraId="61AF76C1" w14:textId="77777777" w:rsidR="00D5766E" w:rsidRDefault="00000000">
            <w:r>
              <w:rPr>
                <w:rFonts w:ascii="Calibri" w:hAnsi="Calibri"/>
                <w:sz w:val="18"/>
              </w:rPr>
              <w:t>Same + particular caution: cervical HVT in vertebral artery disease, acute cord compression, os odontoideum.</w:t>
            </w:r>
          </w:p>
        </w:tc>
      </w:tr>
      <w:tr w:rsidR="00D5766E" w14:paraId="0F31056E" w14:textId="77777777">
        <w:tc>
          <w:tcPr>
            <w:tcW w:w="2268" w:type="dxa"/>
            <w:shd w:val="clear" w:color="auto" w:fill="F5F5F5"/>
          </w:tcPr>
          <w:p w14:paraId="7677570A" w14:textId="77777777" w:rsidR="00D5766E" w:rsidRDefault="00000000">
            <w:r>
              <w:rPr>
                <w:rFonts w:ascii="Calibri" w:hAnsi="Calibri"/>
                <w:b/>
                <w:sz w:val="18"/>
              </w:rPr>
              <w:t>Serious adverse events</w:t>
            </w:r>
          </w:p>
        </w:tc>
        <w:tc>
          <w:tcPr>
            <w:tcW w:w="4139" w:type="dxa"/>
            <w:shd w:val="clear" w:color="auto" w:fill="F5F5F5"/>
          </w:tcPr>
          <w:p w14:paraId="5B53087A" w14:textId="77777777" w:rsidR="00D5766E" w:rsidRDefault="00000000">
            <w:r>
              <w:rPr>
                <w:rFonts w:ascii="Calibri" w:hAnsi="Calibri"/>
                <w:sz w:val="18"/>
              </w:rPr>
              <w:t>Very rare. Rare case reports of vascular complications.</w:t>
            </w:r>
          </w:p>
        </w:tc>
        <w:tc>
          <w:tcPr>
            <w:tcW w:w="4139" w:type="dxa"/>
            <w:shd w:val="clear" w:color="auto" w:fill="F5F5F5"/>
          </w:tcPr>
          <w:p w14:paraId="1B791540" w14:textId="77777777" w:rsidR="00D5766E" w:rsidRDefault="00000000">
            <w:r>
              <w:rPr>
                <w:rFonts w:ascii="Calibri" w:hAnsi="Calibri"/>
                <w:sz w:val="18"/>
              </w:rPr>
              <w:t>Very rare. Vertebral artery dissection with cervical manipulation: approx 1 in 1,000,000+ manipulations.</w:t>
            </w:r>
          </w:p>
        </w:tc>
      </w:tr>
      <w:tr w:rsidR="00D5766E" w14:paraId="5BDD271D" w14:textId="77777777">
        <w:tc>
          <w:tcPr>
            <w:tcW w:w="2268" w:type="dxa"/>
            <w:shd w:val="clear" w:color="auto" w:fill="FFFFFF"/>
          </w:tcPr>
          <w:p w14:paraId="66AA03E2" w14:textId="77777777" w:rsidR="00D5766E" w:rsidRDefault="00000000">
            <w:r>
              <w:rPr>
                <w:rFonts w:ascii="Calibri" w:hAnsi="Calibri"/>
                <w:b/>
                <w:sz w:val="18"/>
              </w:rPr>
              <w:t>Can prescribe?</w:t>
            </w:r>
          </w:p>
        </w:tc>
        <w:tc>
          <w:tcPr>
            <w:tcW w:w="4139" w:type="dxa"/>
            <w:shd w:val="clear" w:color="auto" w:fill="FFFFFF"/>
          </w:tcPr>
          <w:p w14:paraId="2363D46A" w14:textId="77777777" w:rsidR="00D5766E" w:rsidRDefault="00000000">
            <w:r>
              <w:rPr>
                <w:rFonts w:ascii="Calibri" w:hAnsi="Calibri"/>
                <w:sz w:val="18"/>
              </w:rPr>
              <w:t>No — cannot prescribe medications.</w:t>
            </w:r>
          </w:p>
        </w:tc>
        <w:tc>
          <w:tcPr>
            <w:tcW w:w="4139" w:type="dxa"/>
            <w:shd w:val="clear" w:color="auto" w:fill="FFFFFF"/>
          </w:tcPr>
          <w:p w14:paraId="47D89BC8" w14:textId="77777777" w:rsidR="00D5766E" w:rsidRDefault="00000000">
            <w:r>
              <w:rPr>
                <w:rFonts w:ascii="Calibri" w:hAnsi="Calibri"/>
                <w:sz w:val="18"/>
              </w:rPr>
              <w:t>No — cannot prescribe medications.</w:t>
            </w:r>
          </w:p>
        </w:tc>
      </w:tr>
      <w:tr w:rsidR="00D5766E" w14:paraId="60D5D921" w14:textId="77777777">
        <w:tc>
          <w:tcPr>
            <w:tcW w:w="2268" w:type="dxa"/>
            <w:shd w:val="clear" w:color="auto" w:fill="F5F5F5"/>
          </w:tcPr>
          <w:p w14:paraId="4E326D1C" w14:textId="77777777" w:rsidR="00D5766E" w:rsidRDefault="00000000">
            <w:r>
              <w:rPr>
                <w:rFonts w:ascii="Calibri" w:hAnsi="Calibri"/>
                <w:b/>
                <w:sz w:val="18"/>
              </w:rPr>
              <w:t>NHS access</w:t>
            </w:r>
          </w:p>
        </w:tc>
        <w:tc>
          <w:tcPr>
            <w:tcW w:w="4139" w:type="dxa"/>
            <w:shd w:val="clear" w:color="auto" w:fill="F5F5F5"/>
          </w:tcPr>
          <w:p w14:paraId="7F90A263" w14:textId="77777777" w:rsidR="00D5766E" w:rsidRDefault="00000000">
            <w:r>
              <w:rPr>
                <w:rFonts w:ascii="Calibri" w:hAnsi="Calibri"/>
                <w:sz w:val="18"/>
              </w:rPr>
              <w:t>GP referral via MSK pathways; some PCNs. Physiotherapy often first-line.</w:t>
            </w:r>
          </w:p>
        </w:tc>
        <w:tc>
          <w:tcPr>
            <w:tcW w:w="4139" w:type="dxa"/>
            <w:shd w:val="clear" w:color="auto" w:fill="F5F5F5"/>
          </w:tcPr>
          <w:p w14:paraId="6AB29A49" w14:textId="77777777" w:rsidR="00D5766E" w:rsidRDefault="00000000">
            <w:r>
              <w:rPr>
                <w:rFonts w:ascii="Calibri" w:hAnsi="Calibri"/>
                <w:sz w:val="18"/>
              </w:rPr>
              <w:t>GP referral via MSK pathways; some PCNs. Physiotherapy often first-line.</w:t>
            </w:r>
          </w:p>
        </w:tc>
      </w:tr>
    </w:tbl>
    <w:p w14:paraId="11217B95" w14:textId="77777777" w:rsidR="00D76CB3" w:rsidRDefault="00D76CB3">
      <w:pPr>
        <w:spacing w:before="240" w:after="80"/>
        <w:rPr>
          <w:rFonts w:ascii="Calibri" w:hAnsi="Calibri"/>
          <w:b/>
          <w:color w:val="E0651F"/>
          <w:sz w:val="28"/>
        </w:rPr>
      </w:pPr>
    </w:p>
    <w:p w14:paraId="67F8331F" w14:textId="0B0D1D16" w:rsidR="00D5766E" w:rsidRDefault="00000000">
      <w:pPr>
        <w:spacing w:before="240" w:after="80"/>
      </w:pPr>
      <w:r>
        <w:rPr>
          <w:rFonts w:ascii="Calibri" w:hAnsi="Calibri"/>
          <w:b/>
          <w:color w:val="E0651F"/>
          <w:sz w:val="28"/>
        </w:rPr>
        <w:t>Current NICE Guidance — Key Points</w:t>
      </w:r>
    </w:p>
    <w:tbl>
      <w:tblPr>
        <w:tblStyle w:val="TableGrid"/>
        <w:tblW w:w="0" w:type="auto"/>
        <w:tblLook w:val="04A0" w:firstRow="1" w:lastRow="0" w:firstColumn="1" w:lastColumn="0" w:noHBand="0" w:noVBand="1"/>
      </w:tblPr>
      <w:tblGrid>
        <w:gridCol w:w="9972"/>
      </w:tblGrid>
      <w:tr w:rsidR="00D5766E" w14:paraId="785F2780" w14:textId="77777777">
        <w:tc>
          <w:tcPr>
            <w:tcW w:w="9972" w:type="dxa"/>
            <w:shd w:val="clear" w:color="auto" w:fill="E8F0FE"/>
          </w:tcPr>
          <w:p w14:paraId="37CE1743" w14:textId="77777777" w:rsidR="00D5766E" w:rsidRDefault="00000000">
            <w:pPr>
              <w:spacing w:before="100" w:after="100"/>
            </w:pPr>
            <w:r>
              <w:rPr>
                <w:rFonts w:ascii="Calibri" w:hAnsi="Calibri"/>
                <w:color w:val="5B2C6F"/>
                <w:sz w:val="20"/>
              </w:rPr>
              <w:t>NICE NG59 (Nov 2016) — Low Back Pain and Sciatica in Over 16s:</w:t>
            </w:r>
            <w:r>
              <w:rPr>
                <w:rFonts w:ascii="Calibri" w:hAnsi="Calibri"/>
                <w:color w:val="5B2C6F"/>
                <w:sz w:val="20"/>
              </w:rPr>
              <w:br/>
              <w:t>1. Consider MANUAL THERAPY (spinal manipulation, mobilisation, or soft tissue massage) for low back pain, with or without sciatica.</w:t>
            </w:r>
            <w:r>
              <w:rPr>
                <w:rFonts w:ascii="Calibri" w:hAnsi="Calibri"/>
                <w:color w:val="5B2C6F"/>
                <w:sz w:val="20"/>
              </w:rPr>
              <w:br/>
              <w:t>2. Manual therapy should be part of a TREATMENT PACKAGE alongside exercise.</w:t>
            </w:r>
            <w:r>
              <w:rPr>
                <w:rFonts w:ascii="Calibri" w:hAnsi="Calibri"/>
                <w:color w:val="5B2C6F"/>
                <w:sz w:val="20"/>
              </w:rPr>
              <w:br/>
              <w:t>3. Do not offer manual therapy alone without exercise.</w:t>
            </w:r>
            <w:r>
              <w:rPr>
                <w:rFonts w:ascii="Calibri" w:hAnsi="Calibri"/>
                <w:color w:val="5B2C6F"/>
                <w:sz w:val="20"/>
              </w:rPr>
              <w:br/>
              <w:t>4. Consider psychological therapies (CBT) for patients not improving.</w:t>
            </w:r>
            <w:r>
              <w:rPr>
                <w:rFonts w:ascii="Calibri" w:hAnsi="Calibri"/>
                <w:color w:val="5B2C6F"/>
                <w:sz w:val="20"/>
              </w:rPr>
              <w:br/>
              <w:t>5. Acupuncture is NOT recommended for low back pain under NG59.</w:t>
            </w:r>
            <w:r>
              <w:rPr>
                <w:rFonts w:ascii="Calibri" w:hAnsi="Calibri"/>
                <w:color w:val="5B2C6F"/>
                <w:sz w:val="20"/>
              </w:rPr>
              <w:br/>
              <w:t xml:space="preserve">   (Acupuncture IS recommended for chronic primary pain under NICE NG193 2021 — different guideline.)</w:t>
            </w:r>
            <w:r>
              <w:rPr>
                <w:rFonts w:ascii="Calibri" w:hAnsi="Calibri"/>
                <w:color w:val="5B2C6F"/>
                <w:sz w:val="20"/>
              </w:rPr>
              <w:br/>
              <w:t>Always check nice.org.uk for the latest version.</w:t>
            </w:r>
          </w:p>
        </w:tc>
      </w:tr>
    </w:tbl>
    <w:p w14:paraId="757B423F" w14:textId="77777777" w:rsidR="00D5766E" w:rsidRDefault="00D5766E"/>
    <w:p w14:paraId="14A968B2" w14:textId="77777777" w:rsidR="00D5766E" w:rsidRDefault="00000000">
      <w:pPr>
        <w:spacing w:before="240" w:after="80"/>
      </w:pPr>
      <w:r>
        <w:rPr>
          <w:rFonts w:ascii="Calibri" w:hAnsi="Calibri"/>
          <w:b/>
          <w:color w:val="E0651F"/>
          <w:sz w:val="28"/>
        </w:rPr>
        <w:lastRenderedPageBreak/>
        <w:t>When to Refer — GP Decision Guide</w:t>
      </w:r>
    </w:p>
    <w:p w14:paraId="4222273E" w14:textId="77777777" w:rsidR="00D5766E" w:rsidRDefault="00000000">
      <w:pPr>
        <w:spacing w:before="160" w:after="40"/>
      </w:pPr>
      <w:r>
        <w:rPr>
          <w:rFonts w:ascii="Calibri" w:hAnsi="Calibri"/>
          <w:b/>
          <w:color w:val="007B8A"/>
        </w:rPr>
        <w:t>Consider referral to osteopath or chiropractor when:</w:t>
      </w:r>
    </w:p>
    <w:p w14:paraId="3348404E" w14:textId="77777777" w:rsidR="00D5766E" w:rsidRDefault="00000000">
      <w:pPr>
        <w:pStyle w:val="ListBullet"/>
        <w:spacing w:before="20" w:after="20"/>
      </w:pPr>
      <w:r>
        <w:rPr>
          <w:rFonts w:ascii="Calibri" w:hAnsi="Calibri"/>
          <w:sz w:val="21"/>
        </w:rPr>
        <w:t>Low back or neck pain not responding to initial management (analgesia + exercise advice)</w:t>
      </w:r>
    </w:p>
    <w:p w14:paraId="75D7AE73" w14:textId="77777777" w:rsidR="00D5766E" w:rsidRDefault="00000000">
      <w:pPr>
        <w:pStyle w:val="ListBullet"/>
        <w:spacing w:before="20" w:after="20"/>
      </w:pPr>
      <w:r>
        <w:rPr>
          <w:rFonts w:ascii="Calibri" w:hAnsi="Calibri"/>
          <w:sz w:val="21"/>
        </w:rPr>
        <w:t>Chronic MSK pain — patient seeking non-pharmacological management</w:t>
      </w:r>
    </w:p>
    <w:p w14:paraId="6E4C61DE" w14:textId="77777777" w:rsidR="00D5766E" w:rsidRDefault="00000000">
      <w:pPr>
        <w:pStyle w:val="ListBullet"/>
        <w:spacing w:before="20" w:after="20"/>
      </w:pPr>
      <w:r>
        <w:rPr>
          <w:rFonts w:ascii="Calibri" w:hAnsi="Calibri"/>
          <w:sz w:val="21"/>
        </w:rPr>
        <w:t>Osteoarthritis — manual therapy as part of holistic management</w:t>
      </w:r>
    </w:p>
    <w:p w14:paraId="035377AA" w14:textId="77777777" w:rsidR="00D5766E" w:rsidRDefault="00000000">
      <w:pPr>
        <w:pStyle w:val="ListBullet"/>
        <w:spacing w:before="20" w:after="20"/>
      </w:pPr>
      <w:r>
        <w:rPr>
          <w:rFonts w:ascii="Calibri" w:hAnsi="Calibri"/>
          <w:sz w:val="21"/>
        </w:rPr>
        <w:t>Pregnancy-related pelvic girdle or low back pain</w:t>
      </w:r>
    </w:p>
    <w:p w14:paraId="34226B88" w14:textId="77777777" w:rsidR="00D5766E" w:rsidRDefault="00000000">
      <w:pPr>
        <w:pStyle w:val="ListBullet"/>
        <w:spacing w:before="20" w:after="20"/>
      </w:pPr>
      <w:r>
        <w:rPr>
          <w:rFonts w:ascii="Calibri" w:hAnsi="Calibri"/>
          <w:sz w:val="21"/>
        </w:rPr>
        <w:t>Cervicogenic headache with musculoskeletal component</w:t>
      </w:r>
    </w:p>
    <w:p w14:paraId="278411C8" w14:textId="77777777" w:rsidR="00D5766E" w:rsidRDefault="00000000">
      <w:pPr>
        <w:spacing w:before="160" w:after="40"/>
      </w:pPr>
      <w:r>
        <w:rPr>
          <w:rFonts w:ascii="Calibri" w:hAnsi="Calibri"/>
          <w:b/>
          <w:color w:val="C00000"/>
        </w:rPr>
        <w:t>Do NOT refer — exclude serious pathology first:</w:t>
      </w:r>
    </w:p>
    <w:p w14:paraId="10AAFA2E" w14:textId="77777777" w:rsidR="00D5766E" w:rsidRDefault="00000000">
      <w:pPr>
        <w:pStyle w:val="ListBullet"/>
        <w:spacing w:before="20" w:after="20"/>
      </w:pPr>
      <w:r>
        <w:rPr>
          <w:rFonts w:ascii="Calibri" w:hAnsi="Calibri"/>
          <w:color w:val="C00000"/>
          <w:sz w:val="21"/>
        </w:rPr>
        <w:t>Cauda equina syndrome — SAME DAY emergency surgical referral</w:t>
      </w:r>
    </w:p>
    <w:p w14:paraId="0A4C65FF" w14:textId="77777777" w:rsidR="00D5766E" w:rsidRDefault="00000000">
      <w:pPr>
        <w:pStyle w:val="ListBullet"/>
        <w:spacing w:before="20" w:after="20"/>
      </w:pPr>
      <w:r>
        <w:rPr>
          <w:rFonts w:ascii="Calibri" w:hAnsi="Calibri"/>
          <w:color w:val="C00000"/>
          <w:sz w:val="21"/>
        </w:rPr>
        <w:t>Spinal fracture / significant trauma</w:t>
      </w:r>
    </w:p>
    <w:p w14:paraId="2FF18C5A" w14:textId="77777777" w:rsidR="00D5766E" w:rsidRDefault="00000000">
      <w:pPr>
        <w:pStyle w:val="ListBullet"/>
        <w:spacing w:before="20" w:after="20"/>
      </w:pPr>
      <w:r>
        <w:rPr>
          <w:rFonts w:ascii="Calibri" w:hAnsi="Calibri"/>
          <w:color w:val="C00000"/>
          <w:sz w:val="21"/>
        </w:rPr>
        <w:t>Active spinal infection or osteomyelitis</w:t>
      </w:r>
    </w:p>
    <w:p w14:paraId="60A232AF" w14:textId="77777777" w:rsidR="00D5766E" w:rsidRDefault="00000000">
      <w:pPr>
        <w:pStyle w:val="ListBullet"/>
        <w:spacing w:before="20" w:after="20"/>
      </w:pPr>
      <w:r>
        <w:rPr>
          <w:rFonts w:ascii="Calibri" w:hAnsi="Calibri"/>
          <w:color w:val="C00000"/>
          <w:sz w:val="21"/>
        </w:rPr>
        <w:t>Malignancy (primary or metastatic spine disease)</w:t>
      </w:r>
    </w:p>
    <w:p w14:paraId="497F432F" w14:textId="77777777" w:rsidR="00D5766E" w:rsidRDefault="00000000">
      <w:pPr>
        <w:pStyle w:val="ListBullet"/>
        <w:spacing w:before="20" w:after="20"/>
      </w:pPr>
      <w:r>
        <w:rPr>
          <w:rFonts w:ascii="Calibri" w:hAnsi="Calibri"/>
          <w:color w:val="C00000"/>
          <w:sz w:val="21"/>
        </w:rPr>
        <w:t>Severe osteoporosis with high fracture risk</w:t>
      </w:r>
    </w:p>
    <w:p w14:paraId="32413339" w14:textId="77777777" w:rsidR="00D5766E" w:rsidRDefault="00000000">
      <w:pPr>
        <w:pStyle w:val="ListBullet"/>
        <w:spacing w:before="20" w:after="20"/>
      </w:pPr>
      <w:r>
        <w:rPr>
          <w:rFonts w:ascii="Calibri" w:hAnsi="Calibri"/>
          <w:color w:val="C00000"/>
          <w:sz w:val="21"/>
        </w:rPr>
        <w:t>Progressive neurological deficit (motor weakness, bladder/bowel involvement)</w:t>
      </w:r>
    </w:p>
    <w:p w14:paraId="0A56E0AF" w14:textId="77777777" w:rsidR="00D5766E" w:rsidRDefault="00000000">
      <w:pPr>
        <w:pStyle w:val="ListBullet"/>
        <w:spacing w:before="20" w:after="20"/>
      </w:pPr>
      <w:r>
        <w:rPr>
          <w:rFonts w:ascii="Calibri" w:hAnsi="Calibri"/>
          <w:color w:val="C00000"/>
          <w:sz w:val="21"/>
        </w:rPr>
        <w:t>Acute inflammatory arthritis flare</w:t>
      </w:r>
    </w:p>
    <w:p w14:paraId="41F65E49" w14:textId="77777777" w:rsidR="00D5766E" w:rsidRPr="00D76CB3" w:rsidRDefault="00000000">
      <w:pPr>
        <w:pStyle w:val="ListBullet"/>
        <w:spacing w:before="20" w:after="20"/>
      </w:pPr>
      <w:r>
        <w:rPr>
          <w:rFonts w:ascii="Calibri" w:hAnsi="Calibri"/>
          <w:color w:val="C00000"/>
          <w:sz w:val="21"/>
        </w:rPr>
        <w:t>Known vertebral artery disease — relative contraindication to cervical HVT</w:t>
      </w:r>
    </w:p>
    <w:p w14:paraId="1D2225E7" w14:textId="77777777" w:rsidR="00D76CB3" w:rsidRDefault="00D76CB3" w:rsidP="00D76CB3">
      <w:pPr>
        <w:pStyle w:val="ListBullet"/>
        <w:numPr>
          <w:ilvl w:val="0"/>
          <w:numId w:val="0"/>
        </w:numPr>
        <w:spacing w:before="20" w:after="20"/>
        <w:ind w:left="360"/>
      </w:pPr>
    </w:p>
    <w:tbl>
      <w:tblPr>
        <w:tblStyle w:val="TableGrid"/>
        <w:tblW w:w="0" w:type="auto"/>
        <w:tblLook w:val="04A0" w:firstRow="1" w:lastRow="0" w:firstColumn="1" w:lastColumn="0" w:noHBand="0" w:noVBand="1"/>
      </w:tblPr>
      <w:tblGrid>
        <w:gridCol w:w="9972"/>
      </w:tblGrid>
      <w:tr w:rsidR="00D5766E" w14:paraId="480FC7EF" w14:textId="77777777">
        <w:tc>
          <w:tcPr>
            <w:tcW w:w="9972" w:type="dxa"/>
            <w:shd w:val="clear" w:color="auto" w:fill="FDECEA"/>
          </w:tcPr>
          <w:p w14:paraId="238BDFA7" w14:textId="77777777" w:rsidR="00D5766E" w:rsidRDefault="00000000">
            <w:pPr>
              <w:spacing w:before="100" w:after="100"/>
            </w:pPr>
            <w:r>
              <w:rPr>
                <w:rFonts w:ascii="Calibri" w:hAnsi="Calibri"/>
                <w:color w:val="C00000"/>
                <w:sz w:val="20"/>
              </w:rPr>
              <w:t>RED FLAGS FOR CAUDA EQUINA SYNDROME — exclude BEFORE manual therapy referral:</w:t>
            </w:r>
            <w:r>
              <w:rPr>
                <w:rFonts w:ascii="Calibri" w:hAnsi="Calibri"/>
                <w:color w:val="C00000"/>
                <w:sz w:val="20"/>
              </w:rPr>
              <w:br/>
              <w:t>- Bilateral leg weakness or numbness</w:t>
            </w:r>
            <w:r>
              <w:rPr>
                <w:rFonts w:ascii="Calibri" w:hAnsi="Calibri"/>
                <w:color w:val="C00000"/>
                <w:sz w:val="20"/>
              </w:rPr>
              <w:br/>
              <w:t>- Bladder/bowel dysfunction (retention or incontinence)</w:t>
            </w:r>
            <w:r>
              <w:rPr>
                <w:rFonts w:ascii="Calibri" w:hAnsi="Calibri"/>
                <w:color w:val="C00000"/>
                <w:sz w:val="20"/>
              </w:rPr>
              <w:br/>
              <w:t>- Saddle anaesthesia (perianal/perineal numbness)</w:t>
            </w:r>
            <w:r>
              <w:rPr>
                <w:rFonts w:ascii="Calibri" w:hAnsi="Calibri"/>
                <w:color w:val="C00000"/>
                <w:sz w:val="20"/>
              </w:rPr>
              <w:br/>
              <w:t>- Progressive neurological deficit</w:t>
            </w:r>
            <w:r>
              <w:rPr>
                <w:rFonts w:ascii="Calibri" w:hAnsi="Calibri"/>
                <w:color w:val="C00000"/>
                <w:sz w:val="20"/>
              </w:rPr>
              <w:br/>
              <w:t>-&gt; SAME DAY emergency referral to neurosurgery / spinal surgery</w:t>
            </w:r>
          </w:p>
        </w:tc>
      </w:tr>
    </w:tbl>
    <w:p w14:paraId="680AF02E" w14:textId="77777777" w:rsidR="00D5766E" w:rsidRDefault="00000000">
      <w:pPr>
        <w:spacing w:before="240" w:after="80"/>
      </w:pPr>
      <w:r>
        <w:rPr>
          <w:rFonts w:ascii="Calibri" w:hAnsi="Calibri"/>
          <w:b/>
          <w:color w:val="E0651F"/>
          <w:sz w:val="28"/>
        </w:rPr>
        <w:t>Talking to Patients</w:t>
      </w:r>
    </w:p>
    <w:p w14:paraId="06ACF286" w14:textId="77777777" w:rsidR="00D5766E" w:rsidRDefault="00000000">
      <w:pPr>
        <w:spacing w:after="80"/>
      </w:pPr>
      <w:r>
        <w:rPr>
          <w:rFonts w:ascii="Calibri" w:hAnsi="Calibri"/>
          <w:sz w:val="21"/>
        </w:rPr>
        <w:t>Useful phrases for explaining the difference:</w:t>
      </w:r>
    </w:p>
    <w:p w14:paraId="33E0C20B" w14:textId="77777777" w:rsidR="00D5766E" w:rsidRDefault="00000000">
      <w:pPr>
        <w:pStyle w:val="ListBullet"/>
        <w:spacing w:before="20" w:after="20"/>
      </w:pPr>
      <w:r>
        <w:rPr>
          <w:rFonts w:ascii="Calibri" w:hAnsi="Calibri"/>
          <w:sz w:val="21"/>
        </w:rPr>
        <w:t>Both are registered, regulated professions in the UK — both titles are legally protected.</w:t>
      </w:r>
    </w:p>
    <w:p w14:paraId="5080DEC9" w14:textId="47368B5C" w:rsidR="00D5766E" w:rsidRDefault="00000000">
      <w:pPr>
        <w:pStyle w:val="ListBullet"/>
        <w:spacing w:before="20" w:after="20"/>
      </w:pPr>
      <w:r>
        <w:rPr>
          <w:rFonts w:ascii="Calibri" w:hAnsi="Calibri"/>
          <w:sz w:val="21"/>
        </w:rPr>
        <w:t xml:space="preserve">Osteopaths take a whole-body approach — looking at how your overall structure </w:t>
      </w:r>
      <w:r w:rsidR="00D76CB3">
        <w:rPr>
          <w:rFonts w:ascii="Calibri" w:hAnsi="Calibri"/>
          <w:sz w:val="21"/>
        </w:rPr>
        <w:t>&amp;</w:t>
      </w:r>
      <w:r>
        <w:rPr>
          <w:rFonts w:ascii="Calibri" w:hAnsi="Calibri"/>
          <w:sz w:val="21"/>
        </w:rPr>
        <w:t xml:space="preserve"> movement affects your health.</w:t>
      </w:r>
    </w:p>
    <w:p w14:paraId="7AEFA719" w14:textId="77777777" w:rsidR="00D5766E" w:rsidRDefault="00000000">
      <w:pPr>
        <w:pStyle w:val="ListBullet"/>
        <w:spacing w:before="20" w:after="20"/>
      </w:pPr>
      <w:r>
        <w:rPr>
          <w:rFonts w:ascii="Calibri" w:hAnsi="Calibri"/>
          <w:sz w:val="21"/>
        </w:rPr>
        <w:t>Chiropractors primarily focus on your spine and joints, particularly how the spine affects your nervous system.</w:t>
      </w:r>
    </w:p>
    <w:p w14:paraId="56EA615E" w14:textId="77777777" w:rsidR="00D5766E" w:rsidRDefault="00000000">
      <w:pPr>
        <w:pStyle w:val="ListBullet"/>
        <w:spacing w:before="20" w:after="20"/>
      </w:pPr>
      <w:r>
        <w:rPr>
          <w:rFonts w:ascii="Calibri" w:hAnsi="Calibri"/>
          <w:sz w:val="21"/>
        </w:rPr>
        <w:t>Both use hands-on treatment, though the specific techniques may differ.</w:t>
      </w:r>
    </w:p>
    <w:p w14:paraId="78A63394" w14:textId="77777777" w:rsidR="00D5766E" w:rsidRDefault="00000000">
      <w:pPr>
        <w:pStyle w:val="ListBullet"/>
        <w:spacing w:before="20" w:after="20"/>
      </w:pPr>
      <w:r>
        <w:rPr>
          <w:rFonts w:ascii="Calibri" w:hAnsi="Calibri"/>
          <w:sz w:val="21"/>
        </w:rPr>
        <w:t>Both have been recommended by NICE as part of the treatment approach for low back pain.</w:t>
      </w:r>
    </w:p>
    <w:p w14:paraId="1B15AC34" w14:textId="77777777" w:rsidR="00D5766E" w:rsidRPr="00D76CB3" w:rsidRDefault="00000000">
      <w:pPr>
        <w:pStyle w:val="ListBullet"/>
        <w:spacing w:before="20" w:after="20"/>
      </w:pPr>
      <w:r>
        <w:rPr>
          <w:rFonts w:ascii="Calibri" w:hAnsi="Calibri"/>
          <w:sz w:val="21"/>
        </w:rPr>
        <w:t>Check the practitioner is registered with the GOsC (osteopathy) or GCC (chiropractic) before booking.</w:t>
      </w:r>
    </w:p>
    <w:p w14:paraId="318C4D33" w14:textId="77777777" w:rsidR="00D76CB3" w:rsidRDefault="00D76CB3" w:rsidP="00D76CB3">
      <w:pPr>
        <w:pStyle w:val="ListBullet"/>
        <w:numPr>
          <w:ilvl w:val="0"/>
          <w:numId w:val="0"/>
        </w:numPr>
        <w:spacing w:before="20" w:after="20"/>
        <w:ind w:left="360"/>
      </w:pPr>
    </w:p>
    <w:tbl>
      <w:tblPr>
        <w:tblStyle w:val="TableGrid"/>
        <w:tblW w:w="0" w:type="auto"/>
        <w:tblLook w:val="04A0" w:firstRow="1" w:lastRow="0" w:firstColumn="1" w:lastColumn="0" w:noHBand="0" w:noVBand="1"/>
      </w:tblPr>
      <w:tblGrid>
        <w:gridCol w:w="9972"/>
      </w:tblGrid>
      <w:tr w:rsidR="00D5766E" w14:paraId="175A1621" w14:textId="77777777">
        <w:tc>
          <w:tcPr>
            <w:tcW w:w="9972" w:type="dxa"/>
            <w:shd w:val="clear" w:color="auto" w:fill="E8F0FE"/>
          </w:tcPr>
          <w:p w14:paraId="297C0F0C" w14:textId="77777777" w:rsidR="00D5766E" w:rsidRDefault="00000000">
            <w:pPr>
              <w:spacing w:before="100" w:after="100"/>
            </w:pPr>
            <w:r>
              <w:rPr>
                <w:rFonts w:ascii="Calibri" w:hAnsi="Calibri"/>
                <w:color w:val="5B2C6F"/>
                <w:sz w:val="20"/>
              </w:rPr>
              <w:t>EXAM PEARLS (AKT/SCA)</w:t>
            </w:r>
            <w:r>
              <w:rPr>
                <w:rFonts w:ascii="Calibri" w:hAnsi="Calibri"/>
                <w:color w:val="5B2C6F"/>
                <w:sz w:val="20"/>
              </w:rPr>
              <w:br/>
              <w:t>- Statutory regulation: osteopathy (GOsC, 1993) and chiropractic (GCC, 1994) — ONLY two CAM therapies</w:t>
            </w:r>
            <w:r>
              <w:rPr>
                <w:rFonts w:ascii="Calibri" w:hAnsi="Calibri"/>
                <w:color w:val="5B2C6F"/>
                <w:sz w:val="20"/>
              </w:rPr>
              <w:br/>
              <w:t>- NICE NG59: manual therapy recommended for low back pain with or without sciatica</w:t>
            </w:r>
            <w:r>
              <w:rPr>
                <w:rFonts w:ascii="Calibri" w:hAnsi="Calibri"/>
                <w:color w:val="5B2C6F"/>
                <w:sz w:val="20"/>
              </w:rPr>
              <w:br/>
              <w:t>- Acupuncture NOT in NG59 for LBP — it IS in NG193 for chronic primary pain</w:t>
            </w:r>
            <w:r>
              <w:rPr>
                <w:rFonts w:ascii="Calibri" w:hAnsi="Calibri"/>
                <w:color w:val="5B2C6F"/>
                <w:sz w:val="20"/>
              </w:rPr>
              <w:br/>
              <w:t>- Vertebral artery dissection: very rare risk of cervical chiropractic manipulation</w:t>
            </w:r>
            <w:r>
              <w:rPr>
                <w:rFonts w:ascii="Calibri" w:hAnsi="Calibri"/>
                <w:color w:val="5B2C6F"/>
                <w:sz w:val="20"/>
              </w:rPr>
              <w:br/>
              <w:t>- Neither can prescribe medications</w:t>
            </w:r>
            <w:r>
              <w:rPr>
                <w:rFonts w:ascii="Calibri" w:hAnsi="Calibri"/>
                <w:color w:val="5B2C6F"/>
                <w:sz w:val="20"/>
              </w:rPr>
              <w:br/>
              <w:t>- Always exclude cauda equina before manual therapy referral</w:t>
            </w:r>
          </w:p>
        </w:tc>
      </w:tr>
    </w:tbl>
    <w:p w14:paraId="52F30766" w14:textId="77777777" w:rsidR="00D5766E" w:rsidRDefault="00D5766E"/>
    <w:tbl>
      <w:tblPr>
        <w:tblStyle w:val="TableGrid"/>
        <w:tblW w:w="0" w:type="auto"/>
        <w:tblLook w:val="04A0" w:firstRow="1" w:lastRow="0" w:firstColumn="1" w:lastColumn="0" w:noHBand="0" w:noVBand="1"/>
      </w:tblPr>
      <w:tblGrid>
        <w:gridCol w:w="9972"/>
      </w:tblGrid>
      <w:tr w:rsidR="00D5766E" w14:paraId="6923E834" w14:textId="77777777">
        <w:tc>
          <w:tcPr>
            <w:tcW w:w="9972" w:type="dxa"/>
            <w:shd w:val="clear" w:color="auto" w:fill="FDECEA"/>
          </w:tcPr>
          <w:p w14:paraId="506FB948" w14:textId="77777777" w:rsidR="00D5766E" w:rsidRDefault="00000000">
            <w:pPr>
              <w:spacing w:before="100" w:after="100"/>
            </w:pPr>
            <w:r>
              <w:rPr>
                <w:rFonts w:ascii="Calibri" w:hAnsi="Calibri"/>
                <w:color w:val="C00000"/>
                <w:sz w:val="20"/>
              </w:rPr>
              <w:t xml:space="preserve">Always </w:t>
            </w:r>
            <w:proofErr w:type="gramStart"/>
            <w:r>
              <w:rPr>
                <w:rFonts w:ascii="Calibri" w:hAnsi="Calibri"/>
                <w:color w:val="C00000"/>
                <w:sz w:val="20"/>
              </w:rPr>
              <w:t>double check</w:t>
            </w:r>
            <w:proofErr w:type="gramEnd"/>
            <w:r>
              <w:rPr>
                <w:rFonts w:ascii="Calibri" w:hAnsi="Calibri"/>
                <w:color w:val="C00000"/>
                <w:sz w:val="20"/>
              </w:rPr>
              <w:t xml:space="preserve"> this advice with the latest NICE/BNF guidance. This document is for educational purposes only.</w:t>
            </w:r>
          </w:p>
        </w:tc>
      </w:tr>
    </w:tbl>
    <w:p w14:paraId="2190060F" w14:textId="77777777" w:rsidR="00D5766E" w:rsidRDefault="00D5766E"/>
    <w:sectPr w:rsidR="00D5766E" w:rsidSect="00D76CB3">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E47C7" w14:textId="77777777" w:rsidR="004B4C59" w:rsidRDefault="004B4C59">
      <w:pPr>
        <w:spacing w:after="0" w:line="240" w:lineRule="auto"/>
      </w:pPr>
      <w:r>
        <w:separator/>
      </w:r>
    </w:p>
  </w:endnote>
  <w:endnote w:type="continuationSeparator" w:id="0">
    <w:p w14:paraId="2FCFC080" w14:textId="77777777" w:rsidR="004B4C59" w:rsidRDefault="004B4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487C" w14:textId="77777777" w:rsidR="00D5766E" w:rsidRDefault="00000000">
    <w:pPr>
      <w:pStyle w:val="Footer"/>
      <w:jc w:val="center"/>
    </w:pPr>
    <w:r>
      <w:rPr>
        <w:rFonts w:ascii="Calibri" w:hAnsi="Calibri"/>
        <w:color w:val="666666"/>
        <w:sz w:val="16"/>
      </w:rPr>
      <w:t xml:space="preserve">A free resource provided by </w:t>
    </w:r>
    <w:proofErr w:type="gramStart"/>
    <w:r>
      <w:rPr>
        <w:rFonts w:ascii="Calibri" w:hAnsi="Calibri"/>
        <w:color w:val="666666"/>
        <w:sz w:val="16"/>
      </w:rPr>
      <w:t>www.bradfordvts.co.uk  |</w:t>
    </w:r>
    <w:proofErr w:type="gramEnd"/>
    <w:r>
      <w:rPr>
        <w:rFonts w:ascii="Calibri" w:hAnsi="Calibri"/>
        <w:color w:val="666666"/>
        <w:sz w:val="16"/>
      </w:rPr>
      <w:t xml:space="preserve">  Dr Ramesh </w:t>
    </w:r>
    <w:proofErr w:type="gramStart"/>
    <w:r>
      <w:rPr>
        <w:rFonts w:ascii="Calibri" w:hAnsi="Calibri"/>
        <w:color w:val="666666"/>
        <w:sz w:val="16"/>
      </w:rPr>
      <w:t>Mehay  |</w:t>
    </w:r>
    <w:proofErr w:type="gramEnd"/>
    <w:r>
      <w:rPr>
        <w:rFonts w:ascii="Calibri" w:hAnsi="Calibri"/>
        <w:color w:val="666666"/>
        <w:sz w:val="16"/>
      </w:rPr>
      <w:t xml:space="preserve">  Original date unknown,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36DB7" w14:textId="77777777" w:rsidR="004B4C59" w:rsidRDefault="004B4C59">
      <w:pPr>
        <w:spacing w:after="0" w:line="240" w:lineRule="auto"/>
      </w:pPr>
      <w:r>
        <w:separator/>
      </w:r>
    </w:p>
  </w:footnote>
  <w:footnote w:type="continuationSeparator" w:id="0">
    <w:p w14:paraId="269F48F0" w14:textId="77777777" w:rsidR="004B4C59" w:rsidRDefault="004B4C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32187026">
    <w:abstractNumId w:val="8"/>
  </w:num>
  <w:num w:numId="2" w16cid:durableId="2000376595">
    <w:abstractNumId w:val="6"/>
  </w:num>
  <w:num w:numId="3" w16cid:durableId="275404241">
    <w:abstractNumId w:val="5"/>
  </w:num>
  <w:num w:numId="4" w16cid:durableId="852111481">
    <w:abstractNumId w:val="4"/>
  </w:num>
  <w:num w:numId="5" w16cid:durableId="1642806928">
    <w:abstractNumId w:val="7"/>
  </w:num>
  <w:num w:numId="6" w16cid:durableId="467824240">
    <w:abstractNumId w:val="3"/>
  </w:num>
  <w:num w:numId="7" w16cid:durableId="1059981332">
    <w:abstractNumId w:val="2"/>
  </w:num>
  <w:num w:numId="8" w16cid:durableId="882600772">
    <w:abstractNumId w:val="1"/>
  </w:num>
  <w:num w:numId="9" w16cid:durableId="1374428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63961"/>
    <w:rsid w:val="004B4C59"/>
    <w:rsid w:val="00AA1D8D"/>
    <w:rsid w:val="00B47730"/>
    <w:rsid w:val="00CB0664"/>
    <w:rsid w:val="00D5766E"/>
    <w:rsid w:val="00D76CB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894EF4"/>
  <w14:defaultImageDpi w14:val="300"/>
  <w15:docId w15:val="{21CA25D6-FD8B-444C-B929-6289F3B11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776</Words>
  <Characters>4865</Characters>
  <Application>Microsoft Office Word</Application>
  <DocSecurity>0</DocSecurity>
  <Lines>131</Lines>
  <Paragraphs>80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2026-05-08T13:41:00Z</dcterms:modified>
  <cp:category/>
</cp:coreProperties>
</file>