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9605"/>
      </w:tblGrid>
      <w:tr w:rsidR="00347F11" w14:paraId="144F5A45" w14:textId="77777777">
        <w:trPr>
          <w:jc w:val="center"/>
        </w:trPr>
        <w:tc>
          <w:tcPr>
            <w:tcW w:w="9605" w:type="dxa"/>
            <w:tcBorders>
              <w:top w:val="nil"/>
              <w:left w:val="nil"/>
              <w:bottom w:val="nil"/>
              <w:right w:val="nil"/>
            </w:tcBorders>
            <w:shd w:val="clear" w:color="auto" w:fill="E0651F"/>
          </w:tcPr>
          <w:p w14:paraId="2E59C296" w14:textId="77777777" w:rsidR="00347F11" w:rsidRDefault="00000000">
            <w:pPr>
              <w:spacing w:before="280"/>
              <w:jc w:val="center"/>
            </w:pPr>
            <w:r>
              <w:rPr>
                <w:b/>
                <w:color w:val="FFFFFF"/>
                <w:sz w:val="20"/>
              </w:rPr>
              <w:t>BRADFORD VTS TEACHING AIDS</w:t>
            </w:r>
          </w:p>
          <w:p w14:paraId="448AC916" w14:textId="77777777" w:rsidR="00347F11" w:rsidRPr="00776832" w:rsidRDefault="00000000">
            <w:pPr>
              <w:jc w:val="center"/>
              <w:rPr>
                <w:sz w:val="20"/>
                <w:szCs w:val="20"/>
              </w:rPr>
            </w:pPr>
            <w:r w:rsidRPr="00776832">
              <w:rPr>
                <w:b/>
                <w:color w:val="FFFFFF"/>
                <w:sz w:val="44"/>
                <w:szCs w:val="20"/>
              </w:rPr>
              <w:t>Benzodiazepine prescribing and withdrawal guide</w:t>
            </w:r>
          </w:p>
          <w:p w14:paraId="1B512D9B" w14:textId="77777777" w:rsidR="00347F11" w:rsidRDefault="00000000">
            <w:pPr>
              <w:spacing w:after="280"/>
              <w:jc w:val="center"/>
            </w:pPr>
            <w:r>
              <w:rPr>
                <w:i/>
                <w:color w:val="FFE1CD"/>
              </w:rPr>
              <w:t>GP trainer support document · Bradford VTS · May 2026</w:t>
            </w:r>
          </w:p>
        </w:tc>
      </w:tr>
    </w:tbl>
    <w:p w14:paraId="4346BD11" w14:textId="77777777" w:rsidR="00347F11" w:rsidRPr="00776832" w:rsidRDefault="00347F11">
      <w:pPr>
        <w:rPr>
          <w:sz w:val="2"/>
          <w:szCs w:val="2"/>
        </w:rPr>
      </w:pPr>
    </w:p>
    <w:tbl>
      <w:tblPr>
        <w:tblW w:w="0" w:type="auto"/>
        <w:jc w:val="center"/>
        <w:tblLook w:val="04A0" w:firstRow="1" w:lastRow="0" w:firstColumn="1" w:lastColumn="0" w:noHBand="0" w:noVBand="1"/>
      </w:tblPr>
      <w:tblGrid>
        <w:gridCol w:w="9605"/>
      </w:tblGrid>
      <w:tr w:rsidR="00347F11" w14:paraId="48331A3F" w14:textId="77777777">
        <w:trPr>
          <w:jc w:val="center"/>
        </w:trPr>
        <w:tc>
          <w:tcPr>
            <w:tcW w:w="9605" w:type="dxa"/>
            <w:tcBorders>
              <w:top w:val="nil"/>
              <w:left w:val="nil"/>
              <w:bottom w:val="nil"/>
              <w:right w:val="nil"/>
            </w:tcBorders>
            <w:shd w:val="clear" w:color="auto" w:fill="F7F7F7"/>
          </w:tcPr>
          <w:p w14:paraId="0BD01144" w14:textId="77777777" w:rsidR="00347F11" w:rsidRDefault="00000000">
            <w:pPr>
              <w:spacing w:before="120" w:after="120"/>
              <w:ind w:left="115"/>
            </w:pPr>
            <w:r>
              <w:rPr>
                <w:b/>
                <w:color w:val="666666"/>
                <w:sz w:val="21"/>
              </w:rPr>
              <w:t xml:space="preserve">Design </w:t>
            </w:r>
            <w:proofErr w:type="gramStart"/>
            <w:r>
              <w:rPr>
                <w:b/>
                <w:color w:val="666666"/>
                <w:sz w:val="21"/>
              </w:rPr>
              <w:t xml:space="preserve">note  </w:t>
            </w:r>
            <w:r>
              <w:rPr>
                <w:color w:val="222222"/>
                <w:sz w:val="21"/>
              </w:rPr>
              <w:t>This</w:t>
            </w:r>
            <w:proofErr w:type="gramEnd"/>
            <w:r>
              <w:rPr>
                <w:color w:val="222222"/>
                <w:sz w:val="21"/>
              </w:rPr>
              <w:t xml:space="preserve"> repaired version has been rebuilt as a conservative Microsoft Word DOCX with no external linked images or complex embedded objects, to avoid Word repair/read errors.</w:t>
            </w:r>
          </w:p>
        </w:tc>
      </w:tr>
    </w:tbl>
    <w:p w14:paraId="6B82B3BB" w14:textId="77777777" w:rsidR="00347F11" w:rsidRPr="00776832" w:rsidRDefault="00347F11">
      <w:pPr>
        <w:rPr>
          <w:sz w:val="2"/>
          <w:szCs w:val="2"/>
        </w:rPr>
      </w:pPr>
    </w:p>
    <w:p w14:paraId="10360CC4" w14:textId="77777777" w:rsidR="00347F11" w:rsidRDefault="00000000">
      <w:pPr>
        <w:spacing w:before="280" w:after="80"/>
      </w:pPr>
      <w:r>
        <w:rPr>
          <w:b/>
          <w:color w:val="E0651F"/>
          <w:sz w:val="32"/>
        </w:rPr>
        <w:t>Purpose</w:t>
      </w:r>
    </w:p>
    <w:p w14:paraId="04946A30" w14:textId="77777777" w:rsidR="00347F11" w:rsidRDefault="00000000">
      <w:pPr>
        <w:spacing w:after="80"/>
      </w:pPr>
      <w:r>
        <w:rPr>
          <w:color w:val="222222"/>
        </w:rPr>
        <w:t>This guide modernises the original North Bradford benzodiazepine withdrawal material into a current, practical GP training handout. It is intended for education, tutorial discussion and practice-level quality improvement.</w:t>
      </w:r>
    </w:p>
    <w:p w14:paraId="4CBA62A4" w14:textId="77777777" w:rsidR="00347F11" w:rsidRDefault="00000000">
      <w:pPr>
        <w:spacing w:after="80"/>
      </w:pPr>
      <w:r>
        <w:rPr>
          <w:color w:val="222222"/>
        </w:rPr>
        <w:t>Clinical framing is aligned with NICE NG215 on medicines associated with dependence or withdrawal symptoms, and with current BNF principles for gradual benzodiazepine withdrawal. Local legacy references such as NBPCT have been replaced with generic NHS language.</w:t>
      </w:r>
    </w:p>
    <w:tbl>
      <w:tblPr>
        <w:tblW w:w="0" w:type="auto"/>
        <w:jc w:val="center"/>
        <w:tblLook w:val="04A0" w:firstRow="1" w:lastRow="0" w:firstColumn="1" w:lastColumn="0" w:noHBand="0" w:noVBand="1"/>
      </w:tblPr>
      <w:tblGrid>
        <w:gridCol w:w="9605"/>
      </w:tblGrid>
      <w:tr w:rsidR="00347F11" w14:paraId="7F1288D4" w14:textId="77777777">
        <w:trPr>
          <w:jc w:val="center"/>
        </w:trPr>
        <w:tc>
          <w:tcPr>
            <w:tcW w:w="9605" w:type="dxa"/>
            <w:tcBorders>
              <w:top w:val="nil"/>
              <w:left w:val="nil"/>
              <w:bottom w:val="nil"/>
              <w:right w:val="nil"/>
            </w:tcBorders>
            <w:shd w:val="clear" w:color="auto" w:fill="E8F5E9"/>
          </w:tcPr>
          <w:p w14:paraId="2567180E" w14:textId="77777777" w:rsidR="00347F11" w:rsidRDefault="00000000">
            <w:pPr>
              <w:spacing w:before="120" w:after="120"/>
              <w:ind w:left="115"/>
            </w:pPr>
            <w:r>
              <w:rPr>
                <w:b/>
                <w:color w:val="2E7D32"/>
                <w:sz w:val="21"/>
              </w:rPr>
              <w:t xml:space="preserve">Key principle  </w:t>
            </w:r>
            <w:r>
              <w:rPr>
                <w:color w:val="222222"/>
                <w:sz w:val="21"/>
              </w:rPr>
              <w:t>Do not stop benzodiazepines abruptly after regular use. Withdrawal should usually be gradual, collaborative and individualised.</w:t>
            </w:r>
          </w:p>
        </w:tc>
      </w:tr>
    </w:tbl>
    <w:p w14:paraId="0518329E" w14:textId="77777777" w:rsidR="00347F11" w:rsidRPr="00776832" w:rsidRDefault="00347F11">
      <w:pPr>
        <w:rPr>
          <w:sz w:val="2"/>
          <w:szCs w:val="2"/>
        </w:rPr>
      </w:pPr>
    </w:p>
    <w:p w14:paraId="0C5A85C8" w14:textId="77777777" w:rsidR="00347F11" w:rsidRDefault="00000000">
      <w:pPr>
        <w:spacing w:before="280" w:after="80"/>
      </w:pPr>
      <w:r>
        <w:rPr>
          <w:b/>
          <w:color w:val="E0651F"/>
          <w:sz w:val="32"/>
        </w:rPr>
        <w:t>Why long-term benzodiazepines matter</w:t>
      </w:r>
    </w:p>
    <w:p w14:paraId="07CB0DD8" w14:textId="77777777" w:rsidR="00347F11" w:rsidRDefault="00000000">
      <w:pPr>
        <w:pStyle w:val="ListBullet"/>
        <w:spacing w:after="40"/>
      </w:pPr>
      <w:r>
        <w:rPr>
          <w:color w:val="222222"/>
          <w:sz w:val="21"/>
        </w:rPr>
        <w:t>Dependence and tolerance can develop after regular use, especially beyond a few weeks.</w:t>
      </w:r>
    </w:p>
    <w:p w14:paraId="13DED630" w14:textId="77777777" w:rsidR="00347F11" w:rsidRDefault="00000000">
      <w:pPr>
        <w:pStyle w:val="ListBullet"/>
        <w:spacing w:after="40"/>
      </w:pPr>
      <w:r>
        <w:rPr>
          <w:color w:val="222222"/>
          <w:sz w:val="21"/>
        </w:rPr>
        <w:t>Daytime sedation, psychomotor impairment, falls and fractures are important harms, particularly in older adults.</w:t>
      </w:r>
    </w:p>
    <w:p w14:paraId="66CBA42F" w14:textId="77777777" w:rsidR="00347F11" w:rsidRDefault="00000000">
      <w:pPr>
        <w:pStyle w:val="ListBullet"/>
        <w:spacing w:after="40"/>
      </w:pPr>
      <w:r>
        <w:rPr>
          <w:color w:val="222222"/>
          <w:sz w:val="21"/>
        </w:rPr>
        <w:t>Memory impairment, impaired driving, emotional blunting and paradoxical disinhibition or aggression may occur.</w:t>
      </w:r>
    </w:p>
    <w:p w14:paraId="2D669A7C" w14:textId="77777777" w:rsidR="00347F11" w:rsidRDefault="00000000">
      <w:pPr>
        <w:pStyle w:val="ListBullet"/>
        <w:spacing w:after="40"/>
      </w:pPr>
      <w:r>
        <w:rPr>
          <w:color w:val="222222"/>
          <w:sz w:val="21"/>
        </w:rPr>
        <w:t>Long-term hypnotic use may worsen sleep confidence and make insomnia harder to manage without tablets.</w:t>
      </w:r>
    </w:p>
    <w:p w14:paraId="544140BE" w14:textId="77777777" w:rsidR="00347F11" w:rsidRDefault="00000000">
      <w:pPr>
        <w:pStyle w:val="ListBullet"/>
        <w:spacing w:after="40"/>
      </w:pPr>
      <w:r>
        <w:rPr>
          <w:color w:val="222222"/>
          <w:sz w:val="21"/>
        </w:rPr>
        <w:t>Risks increase when benzodiazepines are combined with alcohol, opioids, gabapentinoids or other sedatives.</w:t>
      </w:r>
    </w:p>
    <w:p w14:paraId="665D8D9E" w14:textId="77777777" w:rsidR="00347F11" w:rsidRDefault="00000000" w:rsidP="00776832">
      <w:pPr>
        <w:spacing w:after="80"/>
      </w:pPr>
      <w:r>
        <w:rPr>
          <w:b/>
          <w:color w:val="E0651F"/>
          <w:sz w:val="32"/>
        </w:rPr>
        <w:t>Who may not be suitable for immediate withdrawal?</w:t>
      </w:r>
    </w:p>
    <w:p w14:paraId="2E0EC303" w14:textId="77777777" w:rsidR="00347F11" w:rsidRDefault="00000000">
      <w:pPr>
        <w:spacing w:after="80"/>
      </w:pPr>
      <w:r>
        <w:rPr>
          <w:color w:val="222222"/>
        </w:rPr>
        <w:t>Withdrawal is not a race. First check whether the timing is safe and whether the indication is still active.</w:t>
      </w:r>
    </w:p>
    <w:p w14:paraId="075C110D" w14:textId="77777777" w:rsidR="00347F11" w:rsidRDefault="00000000">
      <w:pPr>
        <w:pStyle w:val="ListBullet"/>
        <w:spacing w:after="40"/>
      </w:pPr>
      <w:r>
        <w:rPr>
          <w:color w:val="222222"/>
          <w:sz w:val="21"/>
        </w:rPr>
        <w:t>Current crisis, major life event or unstable mental health where withdrawal would predictably destabilise care.</w:t>
      </w:r>
    </w:p>
    <w:p w14:paraId="7206D3B8" w14:textId="77777777" w:rsidR="00347F11" w:rsidRDefault="00000000">
      <w:pPr>
        <w:pStyle w:val="ListBullet"/>
        <w:spacing w:after="40"/>
      </w:pPr>
      <w:r>
        <w:rPr>
          <w:color w:val="222222"/>
          <w:sz w:val="21"/>
        </w:rPr>
        <w:t>Current clinical indication requiring treatment, for example specialist-managed epilepsy or severe spasticity.</w:t>
      </w:r>
    </w:p>
    <w:p w14:paraId="0AF53C4C" w14:textId="77777777" w:rsidR="00347F11" w:rsidRDefault="00000000">
      <w:pPr>
        <w:pStyle w:val="ListBullet"/>
        <w:spacing w:after="40"/>
      </w:pPr>
      <w:r>
        <w:rPr>
          <w:color w:val="222222"/>
          <w:sz w:val="21"/>
        </w:rPr>
        <w:t>Psychosis, dementia, severe alcohol dependence or high-risk polysubstance use — seek specialist advice.</w:t>
      </w:r>
    </w:p>
    <w:p w14:paraId="7D16EC39" w14:textId="77777777" w:rsidR="00347F11" w:rsidRDefault="00000000">
      <w:pPr>
        <w:pStyle w:val="ListBullet"/>
        <w:spacing w:after="40"/>
      </w:pPr>
      <w:r>
        <w:rPr>
          <w:color w:val="222222"/>
          <w:sz w:val="21"/>
        </w:rPr>
        <w:t>Patient currently does not want to reduce despite informed discussion — document and revisit opportunistically.</w:t>
      </w:r>
    </w:p>
    <w:p w14:paraId="737144E2" w14:textId="77777777" w:rsidR="00347F11" w:rsidRDefault="00000000">
      <w:pPr>
        <w:pStyle w:val="ListBullet"/>
        <w:spacing w:after="40"/>
      </w:pPr>
      <w:r>
        <w:rPr>
          <w:color w:val="222222"/>
          <w:sz w:val="21"/>
        </w:rPr>
        <w:t>Pregnancy, frailty, high-dose use or complex comorbidity — consider specialist or pharmacist-supported planning.</w:t>
      </w:r>
    </w:p>
    <w:tbl>
      <w:tblPr>
        <w:tblW w:w="0" w:type="auto"/>
        <w:jc w:val="center"/>
        <w:tblLook w:val="04A0" w:firstRow="1" w:lastRow="0" w:firstColumn="1" w:lastColumn="0" w:noHBand="0" w:noVBand="1"/>
      </w:tblPr>
      <w:tblGrid>
        <w:gridCol w:w="9605"/>
      </w:tblGrid>
      <w:tr w:rsidR="00347F11" w14:paraId="6E8913D7" w14:textId="77777777">
        <w:trPr>
          <w:jc w:val="center"/>
        </w:trPr>
        <w:tc>
          <w:tcPr>
            <w:tcW w:w="9605" w:type="dxa"/>
            <w:tcBorders>
              <w:top w:val="nil"/>
              <w:left w:val="nil"/>
              <w:bottom w:val="nil"/>
              <w:right w:val="nil"/>
            </w:tcBorders>
            <w:shd w:val="clear" w:color="auto" w:fill="FDECEA"/>
          </w:tcPr>
          <w:p w14:paraId="5B6C8DCF" w14:textId="77777777" w:rsidR="00347F11" w:rsidRDefault="00000000">
            <w:pPr>
              <w:spacing w:before="120" w:after="120"/>
              <w:ind w:left="115"/>
            </w:pPr>
            <w:r>
              <w:rPr>
                <w:b/>
                <w:color w:val="B71C1C"/>
                <w:sz w:val="21"/>
              </w:rPr>
              <w:t xml:space="preserve">Red flag  </w:t>
            </w:r>
            <w:r>
              <w:rPr>
                <w:color w:val="222222"/>
                <w:sz w:val="21"/>
              </w:rPr>
              <w:t>Abrupt withdrawal can cause severe withdrawal symptoms including confusion, toxic psychosis, seizures, panic attacks and delirium-like states. High-dose or complex withdrawal needs particular caution.</w:t>
            </w:r>
          </w:p>
        </w:tc>
      </w:tr>
    </w:tbl>
    <w:p w14:paraId="1BCB108D" w14:textId="77777777" w:rsidR="00347F11" w:rsidRDefault="00347F11"/>
    <w:p w14:paraId="5846A4FF" w14:textId="77777777" w:rsidR="00347F11" w:rsidRDefault="00000000">
      <w:pPr>
        <w:spacing w:before="280" w:after="80"/>
      </w:pPr>
      <w:r>
        <w:rPr>
          <w:b/>
          <w:color w:val="E0651F"/>
          <w:sz w:val="32"/>
        </w:rPr>
        <w:t>A stepped approach in primary care</w:t>
      </w:r>
    </w:p>
    <w:p w14:paraId="2934B82F" w14:textId="77777777" w:rsidR="00347F11" w:rsidRDefault="00000000">
      <w:pPr>
        <w:spacing w:before="160" w:after="80"/>
      </w:pPr>
      <w:r>
        <w:rPr>
          <w:b/>
          <w:color w:val="222222"/>
          <w:sz w:val="26"/>
        </w:rPr>
        <w:t>Step 1 — Identify and invite</w:t>
      </w:r>
    </w:p>
    <w:p w14:paraId="668AABFA" w14:textId="77777777" w:rsidR="00347F11" w:rsidRDefault="00000000">
      <w:pPr>
        <w:spacing w:after="80"/>
      </w:pPr>
      <w:r>
        <w:rPr>
          <w:color w:val="222222"/>
        </w:rPr>
        <w:t>Identify patients prescribed benzodiazepines or Z-drugs regularly for more than a few weeks, especially chronic repeat prescriptions. Send a supportive letter or discuss opportunistically during medication review.</w:t>
      </w:r>
    </w:p>
    <w:p w14:paraId="70F48BE8" w14:textId="77777777" w:rsidR="00347F11" w:rsidRDefault="00000000">
      <w:pPr>
        <w:spacing w:before="160" w:after="80"/>
      </w:pPr>
      <w:r>
        <w:rPr>
          <w:b/>
          <w:color w:val="222222"/>
          <w:sz w:val="26"/>
        </w:rPr>
        <w:t>Step 2 — Explain benefits and risks</w:t>
      </w:r>
    </w:p>
    <w:p w14:paraId="70A8274F" w14:textId="77777777" w:rsidR="00347F11" w:rsidRDefault="00000000">
      <w:pPr>
        <w:spacing w:after="80"/>
      </w:pPr>
      <w:r>
        <w:rPr>
          <w:color w:val="222222"/>
        </w:rPr>
        <w:t>Use plain language: the tablets may no longer be helping as much as expected, the body can become used to them, and gradual reduction can improve alertness, memory, falls risk and confidence.</w:t>
      </w:r>
    </w:p>
    <w:p w14:paraId="7DF8EE6B" w14:textId="77777777" w:rsidR="00347F11" w:rsidRDefault="00000000">
      <w:pPr>
        <w:spacing w:before="160" w:after="80"/>
      </w:pPr>
      <w:r>
        <w:rPr>
          <w:b/>
          <w:color w:val="222222"/>
          <w:sz w:val="26"/>
        </w:rPr>
        <w:t>Step 3 — Agree a patient-led plan</w:t>
      </w:r>
    </w:p>
    <w:p w14:paraId="51DF6E4A" w14:textId="77777777" w:rsidR="00347F11" w:rsidRDefault="00000000">
      <w:pPr>
        <w:spacing w:after="80"/>
      </w:pPr>
      <w:r>
        <w:rPr>
          <w:color w:val="222222"/>
        </w:rPr>
        <w:t>The plan should be negotiated, documented and reviewed. Patients should know they can pause at a dose if withdrawal symptoms emerge. It is better to reduce too slowly than too quickly.</w:t>
      </w:r>
    </w:p>
    <w:p w14:paraId="0396EA9F" w14:textId="77777777" w:rsidR="00347F11" w:rsidRDefault="00000000">
      <w:pPr>
        <w:spacing w:before="160" w:after="80"/>
      </w:pPr>
      <w:r>
        <w:rPr>
          <w:b/>
          <w:color w:val="222222"/>
          <w:sz w:val="26"/>
        </w:rPr>
        <w:t>Step 4 — Support non-drug strategies</w:t>
      </w:r>
    </w:p>
    <w:p w14:paraId="4FB39227" w14:textId="77777777" w:rsidR="00347F11" w:rsidRDefault="00000000">
      <w:pPr>
        <w:spacing w:after="80"/>
      </w:pPr>
      <w:r>
        <w:rPr>
          <w:color w:val="222222"/>
        </w:rPr>
        <w:t>Address insomnia, anxiety, panic, depression, alcohol use and social stressors. Offer CBT-I or guided self-help where available, sleep hygiene, anxiety management and relapse prevention.</w:t>
      </w:r>
    </w:p>
    <w:p w14:paraId="36FACB71" w14:textId="77777777" w:rsidR="00347F11" w:rsidRDefault="00000000">
      <w:pPr>
        <w:spacing w:before="280" w:after="80"/>
      </w:pPr>
      <w:r>
        <w:rPr>
          <w:b/>
          <w:color w:val="E0651F"/>
          <w:sz w:val="32"/>
        </w:rPr>
        <w:t>Withdrawal methods</w:t>
      </w:r>
    </w:p>
    <w:p w14:paraId="4E5B8FC2" w14:textId="77777777" w:rsidR="00347F11" w:rsidRDefault="00000000">
      <w:pPr>
        <w:spacing w:before="160" w:after="80"/>
      </w:pPr>
      <w:r>
        <w:rPr>
          <w:b/>
          <w:color w:val="222222"/>
          <w:sz w:val="26"/>
        </w:rPr>
        <w:t>Method 1 — Direct gradual reduction</w:t>
      </w:r>
    </w:p>
    <w:p w14:paraId="29A6D9EC" w14:textId="77777777" w:rsidR="00347F11" w:rsidRDefault="00000000">
      <w:pPr>
        <w:spacing w:after="80"/>
      </w:pPr>
      <w:r>
        <w:rPr>
          <w:color w:val="222222"/>
        </w:rPr>
        <w:t>Often suitable for low-dose use and motivated patients. Reduce the current benzodiazepine slowly, using tablet splitting or smaller strengths where practical. Review regularly and slow the reduction if symptoms are troublesome.</w:t>
      </w:r>
    </w:p>
    <w:p w14:paraId="0103016A" w14:textId="77777777" w:rsidR="00347F11" w:rsidRDefault="00000000">
      <w:pPr>
        <w:pStyle w:val="ListBullet"/>
        <w:spacing w:after="40"/>
      </w:pPr>
      <w:r>
        <w:rPr>
          <w:color w:val="222222"/>
          <w:sz w:val="21"/>
        </w:rPr>
        <w:t>Agree a realistic target: reduction may take months; complete withdrawal may take longer.</w:t>
      </w:r>
    </w:p>
    <w:p w14:paraId="6B59E857" w14:textId="77777777" w:rsidR="00347F11" w:rsidRDefault="00000000">
      <w:pPr>
        <w:pStyle w:val="ListBullet"/>
        <w:spacing w:after="40"/>
      </w:pPr>
      <w:r>
        <w:rPr>
          <w:color w:val="222222"/>
          <w:sz w:val="21"/>
        </w:rPr>
        <w:t>Avoid enforced withdrawal; it damages trust and usually fails.</w:t>
      </w:r>
    </w:p>
    <w:p w14:paraId="73335195" w14:textId="77777777" w:rsidR="00347F11" w:rsidRDefault="00000000">
      <w:pPr>
        <w:pStyle w:val="ListBullet"/>
        <w:spacing w:after="40"/>
      </w:pPr>
      <w:r>
        <w:rPr>
          <w:color w:val="222222"/>
          <w:sz w:val="21"/>
        </w:rPr>
        <w:t>Warn about rebound anxiety and insomnia so patients do not mistake every symptom for relapse.</w:t>
      </w:r>
    </w:p>
    <w:p w14:paraId="12CDAFCD" w14:textId="77777777" w:rsidR="00347F11" w:rsidRDefault="00000000">
      <w:pPr>
        <w:pStyle w:val="ListBullet"/>
        <w:spacing w:after="40"/>
      </w:pPr>
      <w:r>
        <w:rPr>
          <w:color w:val="222222"/>
          <w:sz w:val="21"/>
        </w:rPr>
        <w:t>Encourage diaries to track sleep, anxiety, triggers and dose changes.</w:t>
      </w:r>
    </w:p>
    <w:p w14:paraId="77DE09E3" w14:textId="77777777" w:rsidR="00347F11" w:rsidRDefault="00000000">
      <w:pPr>
        <w:spacing w:before="160" w:after="80"/>
      </w:pPr>
      <w:r>
        <w:rPr>
          <w:b/>
          <w:color w:val="222222"/>
          <w:sz w:val="26"/>
        </w:rPr>
        <w:t>Method 2 — Convert to diazepam then taper</w:t>
      </w:r>
    </w:p>
    <w:p w14:paraId="1C2E2F12" w14:textId="77777777" w:rsidR="00347F11" w:rsidRDefault="00000000">
      <w:pPr>
        <w:spacing w:after="80"/>
      </w:pPr>
      <w:r>
        <w:rPr>
          <w:color w:val="222222"/>
        </w:rPr>
        <w:t>This is often used when the patient is on a short-acting benzodiazepine, a high dose, or has difficulty with direct reduction. Diazepam's longer half-life can make dose reduction smoother.</w:t>
      </w:r>
    </w:p>
    <w:p w14:paraId="32D084B4" w14:textId="77777777" w:rsidR="00347F11" w:rsidRDefault="00000000">
      <w:pPr>
        <w:pStyle w:val="ListBullet"/>
        <w:spacing w:after="40"/>
      </w:pPr>
      <w:r>
        <w:rPr>
          <w:color w:val="222222"/>
          <w:sz w:val="21"/>
        </w:rPr>
        <w:t>Convert to an approximate equivalent daily diazepam dose, usually given at night or in divided doses if needed.</w:t>
      </w:r>
    </w:p>
    <w:p w14:paraId="047FCBF4" w14:textId="77777777" w:rsidR="00347F11" w:rsidRDefault="00000000">
      <w:pPr>
        <w:pStyle w:val="ListBullet"/>
        <w:spacing w:after="40"/>
      </w:pPr>
      <w:r>
        <w:rPr>
          <w:color w:val="222222"/>
          <w:sz w:val="21"/>
        </w:rPr>
        <w:t>BNF principle: withdraw in steps of about one-eighth of the daily dose every fortnight; practical range is one-tenth to one-quarter depending on response.</w:t>
      </w:r>
    </w:p>
    <w:p w14:paraId="35C00BF5" w14:textId="77777777" w:rsidR="00347F11" w:rsidRDefault="00000000">
      <w:pPr>
        <w:pStyle w:val="ListBullet"/>
        <w:spacing w:after="40"/>
      </w:pPr>
      <w:r>
        <w:rPr>
          <w:color w:val="222222"/>
          <w:sz w:val="21"/>
        </w:rPr>
        <w:t>If using a diazepam protocol, reduce by around 2–2.5 mg every 2 weeks initially; use smaller steps near the end.</w:t>
      </w:r>
    </w:p>
    <w:p w14:paraId="23979850" w14:textId="77777777" w:rsidR="00347F11" w:rsidRDefault="00000000">
      <w:pPr>
        <w:pStyle w:val="ListBullet"/>
        <w:spacing w:after="40"/>
      </w:pPr>
      <w:r>
        <w:rPr>
          <w:color w:val="222222"/>
          <w:sz w:val="21"/>
        </w:rPr>
        <w:t>For very gradual reductions, diazepam liquid may help; check current BNF formulation and dosing details.</w:t>
      </w:r>
    </w:p>
    <w:p w14:paraId="09BAF488" w14:textId="77777777" w:rsidR="00347F11" w:rsidRDefault="00000000">
      <w:pPr>
        <w:pStyle w:val="ListBullet"/>
        <w:spacing w:after="40"/>
      </w:pPr>
      <w:r>
        <w:rPr>
          <w:color w:val="222222"/>
          <w:sz w:val="21"/>
        </w:rPr>
        <w:t>Pause at the current dose if withdrawal symptoms are significant; do not automatically increase unless clinically necessary.</w:t>
      </w:r>
    </w:p>
    <w:p w14:paraId="0938C3FB" w14:textId="77777777" w:rsidR="00776832" w:rsidRDefault="00776832">
      <w:pPr>
        <w:rPr>
          <w:b/>
          <w:color w:val="222222"/>
          <w:sz w:val="26"/>
        </w:rPr>
      </w:pPr>
      <w:r>
        <w:rPr>
          <w:b/>
          <w:color w:val="222222"/>
          <w:sz w:val="26"/>
        </w:rPr>
        <w:br w:type="page"/>
      </w:r>
    </w:p>
    <w:p w14:paraId="6443B31C" w14:textId="7664846A" w:rsidR="00347F11" w:rsidRDefault="00000000">
      <w:pPr>
        <w:spacing w:before="160" w:after="80"/>
      </w:pPr>
      <w:r>
        <w:rPr>
          <w:b/>
          <w:color w:val="222222"/>
          <w:sz w:val="26"/>
        </w:rPr>
        <w:lastRenderedPageBreak/>
        <w:t>Method 3 — Psychological and sleep support</w:t>
      </w:r>
    </w:p>
    <w:p w14:paraId="143B31BC" w14:textId="77777777" w:rsidR="00347F11" w:rsidRDefault="00000000">
      <w:pPr>
        <w:spacing w:after="80"/>
      </w:pPr>
      <w:r>
        <w:rPr>
          <w:color w:val="222222"/>
        </w:rPr>
        <w:t>Withdrawal often unmasks or increases anxiety and insomnia. Support may range from simple explanation and reassurance to formal CBT, CBT-I, social prescribing or mental health input.</w:t>
      </w:r>
    </w:p>
    <w:p w14:paraId="3DEFB6BD" w14:textId="77777777" w:rsidR="00347F11" w:rsidRDefault="00000000">
      <w:pPr>
        <w:pStyle w:val="ListBullet"/>
        <w:spacing w:after="40"/>
      </w:pPr>
      <w:r>
        <w:rPr>
          <w:color w:val="222222"/>
          <w:sz w:val="21"/>
        </w:rPr>
        <w:t>Insomnia: sleep routine, stimulus control, avoiding alcohol/caffeine late, relaxation skills and CBT-I where available.</w:t>
      </w:r>
    </w:p>
    <w:p w14:paraId="30424867" w14:textId="77777777" w:rsidR="00347F11" w:rsidRDefault="00000000">
      <w:pPr>
        <w:pStyle w:val="ListBullet"/>
        <w:spacing w:after="40"/>
      </w:pPr>
      <w:r>
        <w:rPr>
          <w:color w:val="222222"/>
          <w:sz w:val="21"/>
        </w:rPr>
        <w:t>Panic: explanation of symptoms, breathing techniques, graded exposure and avoidance reduction.</w:t>
      </w:r>
    </w:p>
    <w:p w14:paraId="79E065CA" w14:textId="77777777" w:rsidR="00347F11" w:rsidRDefault="00000000">
      <w:pPr>
        <w:pStyle w:val="ListBullet"/>
        <w:spacing w:after="40"/>
      </w:pPr>
      <w:r>
        <w:rPr>
          <w:color w:val="222222"/>
          <w:sz w:val="21"/>
        </w:rPr>
        <w:t>Depression: assess separately and treat according to usual NICE guidance; do not assume all symptoms are withdrawal.</w:t>
      </w:r>
    </w:p>
    <w:p w14:paraId="30ADF670" w14:textId="77777777" w:rsidR="00347F11" w:rsidRDefault="00000000">
      <w:pPr>
        <w:pStyle w:val="ListBullet"/>
        <w:spacing w:after="40"/>
      </w:pPr>
      <w:r>
        <w:rPr>
          <w:color w:val="222222"/>
          <w:sz w:val="21"/>
        </w:rPr>
        <w:t>Alcohol or opioid use: address before or alongside benzodiazepine tapering because overdose risk is higher.</w:t>
      </w:r>
    </w:p>
    <w:p w14:paraId="1CD3EA80" w14:textId="77777777" w:rsidR="00347F11" w:rsidRDefault="00000000">
      <w:pPr>
        <w:spacing w:before="280" w:after="80"/>
      </w:pPr>
      <w:r>
        <w:rPr>
          <w:b/>
          <w:color w:val="E0651F"/>
          <w:sz w:val="32"/>
        </w:rPr>
        <w:t>Approximate equivalent doses</w:t>
      </w:r>
    </w:p>
    <w:p w14:paraId="08D7F2BE" w14:textId="77777777" w:rsidR="00347F11" w:rsidRDefault="00000000">
      <w:pPr>
        <w:spacing w:after="80"/>
      </w:pPr>
      <w:r>
        <w:rPr>
          <w:i/>
          <w:color w:val="222222"/>
        </w:rPr>
        <w:t>These are approximate and vary between individuals. Always check the latest BNF before prescribing or switching.</w:t>
      </w:r>
    </w:p>
    <w:tbl>
      <w:tblPr>
        <w:tblStyle w:val="TableGrid"/>
        <w:tblW w:w="0" w:type="auto"/>
        <w:jc w:val="center"/>
        <w:tblLook w:val="04A0" w:firstRow="1" w:lastRow="0" w:firstColumn="1" w:lastColumn="0" w:noHBand="0" w:noVBand="1"/>
      </w:tblPr>
      <w:tblGrid>
        <w:gridCol w:w="2401"/>
        <w:gridCol w:w="2401"/>
        <w:gridCol w:w="2401"/>
        <w:gridCol w:w="2401"/>
      </w:tblGrid>
      <w:tr w:rsidR="00347F11" w14:paraId="3D432668" w14:textId="77777777">
        <w:trPr>
          <w:jc w:val="center"/>
        </w:trPr>
        <w:tc>
          <w:tcPr>
            <w:tcW w:w="2401" w:type="dxa"/>
            <w:shd w:val="clear" w:color="auto" w:fill="E0651F"/>
          </w:tcPr>
          <w:p w14:paraId="5F880603" w14:textId="77777777" w:rsidR="00347F11" w:rsidRDefault="00000000">
            <w:r>
              <w:rPr>
                <w:b/>
                <w:color w:val="FFFFFF"/>
                <w:sz w:val="19"/>
              </w:rPr>
              <w:t>Medicine</w:t>
            </w:r>
          </w:p>
        </w:tc>
        <w:tc>
          <w:tcPr>
            <w:tcW w:w="2401" w:type="dxa"/>
            <w:shd w:val="clear" w:color="auto" w:fill="E0651F"/>
          </w:tcPr>
          <w:p w14:paraId="005B9AA1" w14:textId="77777777" w:rsidR="00347F11" w:rsidRDefault="00000000">
            <w:r>
              <w:rPr>
                <w:b/>
                <w:color w:val="FFFFFF"/>
                <w:sz w:val="19"/>
              </w:rPr>
              <w:t>Approx. equivalent to diazepam 5 mg</w:t>
            </w:r>
          </w:p>
        </w:tc>
        <w:tc>
          <w:tcPr>
            <w:tcW w:w="2401" w:type="dxa"/>
            <w:shd w:val="clear" w:color="auto" w:fill="E0651F"/>
          </w:tcPr>
          <w:p w14:paraId="5547B76D" w14:textId="77777777" w:rsidR="00347F11" w:rsidRDefault="00000000">
            <w:r>
              <w:rPr>
                <w:b/>
                <w:color w:val="FFFFFF"/>
                <w:sz w:val="19"/>
              </w:rPr>
              <w:t>Approx. equivalent to diazepam 10 mg</w:t>
            </w:r>
          </w:p>
        </w:tc>
        <w:tc>
          <w:tcPr>
            <w:tcW w:w="2401" w:type="dxa"/>
            <w:shd w:val="clear" w:color="auto" w:fill="E0651F"/>
          </w:tcPr>
          <w:p w14:paraId="3B54BF7E" w14:textId="77777777" w:rsidR="00347F11" w:rsidRDefault="00000000">
            <w:r>
              <w:rPr>
                <w:b/>
                <w:color w:val="FFFFFF"/>
                <w:sz w:val="19"/>
              </w:rPr>
              <w:t>Notes</w:t>
            </w:r>
          </w:p>
        </w:tc>
      </w:tr>
      <w:tr w:rsidR="00347F11" w14:paraId="743BC69F" w14:textId="77777777">
        <w:trPr>
          <w:jc w:val="center"/>
        </w:trPr>
        <w:tc>
          <w:tcPr>
            <w:tcW w:w="2401" w:type="dxa"/>
          </w:tcPr>
          <w:p w14:paraId="54253142" w14:textId="77777777" w:rsidR="00347F11" w:rsidRDefault="00000000">
            <w:r>
              <w:rPr>
                <w:color w:val="222222"/>
                <w:sz w:val="18"/>
              </w:rPr>
              <w:t>Chlordiazepoxide</w:t>
            </w:r>
          </w:p>
        </w:tc>
        <w:tc>
          <w:tcPr>
            <w:tcW w:w="2401" w:type="dxa"/>
          </w:tcPr>
          <w:p w14:paraId="31DF83C6" w14:textId="77777777" w:rsidR="00347F11" w:rsidRDefault="00000000">
            <w:r>
              <w:rPr>
                <w:color w:val="222222"/>
                <w:sz w:val="18"/>
              </w:rPr>
              <w:t>15 mg</w:t>
            </w:r>
          </w:p>
        </w:tc>
        <w:tc>
          <w:tcPr>
            <w:tcW w:w="2401" w:type="dxa"/>
          </w:tcPr>
          <w:p w14:paraId="66CF11C1" w14:textId="77777777" w:rsidR="00347F11" w:rsidRDefault="00000000">
            <w:r>
              <w:rPr>
                <w:color w:val="222222"/>
                <w:sz w:val="18"/>
              </w:rPr>
              <w:t>25–30 mg</w:t>
            </w:r>
          </w:p>
        </w:tc>
        <w:tc>
          <w:tcPr>
            <w:tcW w:w="2401" w:type="dxa"/>
          </w:tcPr>
          <w:p w14:paraId="30E8F640" w14:textId="77777777" w:rsidR="00347F11" w:rsidRDefault="00000000">
            <w:r>
              <w:rPr>
                <w:color w:val="222222"/>
                <w:sz w:val="18"/>
              </w:rPr>
              <w:t>Longer acting; active metabolites</w:t>
            </w:r>
          </w:p>
        </w:tc>
      </w:tr>
      <w:tr w:rsidR="00347F11" w14:paraId="0B9A5913" w14:textId="77777777">
        <w:trPr>
          <w:jc w:val="center"/>
        </w:trPr>
        <w:tc>
          <w:tcPr>
            <w:tcW w:w="2401" w:type="dxa"/>
          </w:tcPr>
          <w:p w14:paraId="343FA5A4" w14:textId="77777777" w:rsidR="00347F11" w:rsidRDefault="00000000">
            <w:r>
              <w:rPr>
                <w:color w:val="222222"/>
                <w:sz w:val="18"/>
              </w:rPr>
              <w:t>Lorazepam</w:t>
            </w:r>
          </w:p>
        </w:tc>
        <w:tc>
          <w:tcPr>
            <w:tcW w:w="2401" w:type="dxa"/>
          </w:tcPr>
          <w:p w14:paraId="08C2635E" w14:textId="77777777" w:rsidR="00347F11" w:rsidRDefault="00000000">
            <w:r>
              <w:rPr>
                <w:color w:val="222222"/>
                <w:sz w:val="18"/>
              </w:rPr>
              <w:t>500 micrograms</w:t>
            </w:r>
          </w:p>
        </w:tc>
        <w:tc>
          <w:tcPr>
            <w:tcW w:w="2401" w:type="dxa"/>
          </w:tcPr>
          <w:p w14:paraId="246AB802" w14:textId="77777777" w:rsidR="00347F11" w:rsidRDefault="00000000">
            <w:r>
              <w:rPr>
                <w:color w:val="222222"/>
                <w:sz w:val="18"/>
              </w:rPr>
              <w:t>1 mg</w:t>
            </w:r>
          </w:p>
        </w:tc>
        <w:tc>
          <w:tcPr>
            <w:tcW w:w="2401" w:type="dxa"/>
          </w:tcPr>
          <w:p w14:paraId="2D21FAAC" w14:textId="77777777" w:rsidR="00347F11" w:rsidRDefault="00000000">
            <w:r>
              <w:rPr>
                <w:color w:val="222222"/>
                <w:sz w:val="18"/>
              </w:rPr>
              <w:t>Shorter acting; higher potency</w:t>
            </w:r>
          </w:p>
        </w:tc>
      </w:tr>
      <w:tr w:rsidR="00347F11" w14:paraId="0018AC61" w14:textId="77777777">
        <w:trPr>
          <w:jc w:val="center"/>
        </w:trPr>
        <w:tc>
          <w:tcPr>
            <w:tcW w:w="2401" w:type="dxa"/>
          </w:tcPr>
          <w:p w14:paraId="3B57F768" w14:textId="77777777" w:rsidR="00347F11" w:rsidRDefault="00000000">
            <w:r>
              <w:rPr>
                <w:color w:val="222222"/>
                <w:sz w:val="18"/>
              </w:rPr>
              <w:t>Lormetazepam</w:t>
            </w:r>
          </w:p>
        </w:tc>
        <w:tc>
          <w:tcPr>
            <w:tcW w:w="2401" w:type="dxa"/>
          </w:tcPr>
          <w:p w14:paraId="38BB31E4" w14:textId="77777777" w:rsidR="00347F11" w:rsidRDefault="00000000">
            <w:r>
              <w:rPr>
                <w:color w:val="222222"/>
                <w:sz w:val="18"/>
              </w:rPr>
              <w:t>0.5–1 mg</w:t>
            </w:r>
          </w:p>
        </w:tc>
        <w:tc>
          <w:tcPr>
            <w:tcW w:w="2401" w:type="dxa"/>
          </w:tcPr>
          <w:p w14:paraId="0075BAE5" w14:textId="77777777" w:rsidR="00347F11" w:rsidRDefault="00000000">
            <w:r>
              <w:rPr>
                <w:color w:val="222222"/>
                <w:sz w:val="18"/>
              </w:rPr>
              <w:t>1–2 mg</w:t>
            </w:r>
          </w:p>
        </w:tc>
        <w:tc>
          <w:tcPr>
            <w:tcW w:w="2401" w:type="dxa"/>
          </w:tcPr>
          <w:p w14:paraId="3F8F861C" w14:textId="77777777" w:rsidR="00347F11" w:rsidRDefault="00000000">
            <w:r>
              <w:rPr>
                <w:color w:val="222222"/>
                <w:sz w:val="18"/>
              </w:rPr>
              <w:t>Hypnotic</w:t>
            </w:r>
          </w:p>
        </w:tc>
      </w:tr>
      <w:tr w:rsidR="00347F11" w14:paraId="3160CC5E" w14:textId="77777777">
        <w:trPr>
          <w:jc w:val="center"/>
        </w:trPr>
        <w:tc>
          <w:tcPr>
            <w:tcW w:w="2401" w:type="dxa"/>
          </w:tcPr>
          <w:p w14:paraId="4D99B9C3" w14:textId="77777777" w:rsidR="00347F11" w:rsidRDefault="00000000">
            <w:r>
              <w:rPr>
                <w:color w:val="222222"/>
                <w:sz w:val="18"/>
              </w:rPr>
              <w:t>Nitrazepam</w:t>
            </w:r>
          </w:p>
        </w:tc>
        <w:tc>
          <w:tcPr>
            <w:tcW w:w="2401" w:type="dxa"/>
          </w:tcPr>
          <w:p w14:paraId="1D785458" w14:textId="77777777" w:rsidR="00347F11" w:rsidRDefault="00000000">
            <w:r>
              <w:rPr>
                <w:color w:val="222222"/>
                <w:sz w:val="18"/>
              </w:rPr>
              <w:t>5 mg</w:t>
            </w:r>
          </w:p>
        </w:tc>
        <w:tc>
          <w:tcPr>
            <w:tcW w:w="2401" w:type="dxa"/>
          </w:tcPr>
          <w:p w14:paraId="2C4887AA" w14:textId="77777777" w:rsidR="00347F11" w:rsidRDefault="00000000">
            <w:r>
              <w:rPr>
                <w:color w:val="222222"/>
                <w:sz w:val="18"/>
              </w:rPr>
              <w:t>10 mg</w:t>
            </w:r>
          </w:p>
        </w:tc>
        <w:tc>
          <w:tcPr>
            <w:tcW w:w="2401" w:type="dxa"/>
          </w:tcPr>
          <w:p w14:paraId="75895A79" w14:textId="77777777" w:rsidR="00347F11" w:rsidRDefault="00000000">
            <w:r>
              <w:rPr>
                <w:color w:val="222222"/>
                <w:sz w:val="18"/>
              </w:rPr>
              <w:t>Longer acting hypnotic</w:t>
            </w:r>
          </w:p>
        </w:tc>
      </w:tr>
      <w:tr w:rsidR="00347F11" w14:paraId="69C2240F" w14:textId="77777777">
        <w:trPr>
          <w:jc w:val="center"/>
        </w:trPr>
        <w:tc>
          <w:tcPr>
            <w:tcW w:w="2401" w:type="dxa"/>
          </w:tcPr>
          <w:p w14:paraId="698D0817" w14:textId="77777777" w:rsidR="00347F11" w:rsidRDefault="00000000">
            <w:r>
              <w:rPr>
                <w:color w:val="222222"/>
                <w:sz w:val="18"/>
              </w:rPr>
              <w:t>Oxazepam</w:t>
            </w:r>
          </w:p>
        </w:tc>
        <w:tc>
          <w:tcPr>
            <w:tcW w:w="2401" w:type="dxa"/>
          </w:tcPr>
          <w:p w14:paraId="627C414E" w14:textId="77777777" w:rsidR="00347F11" w:rsidRDefault="00000000">
            <w:r>
              <w:rPr>
                <w:color w:val="222222"/>
                <w:sz w:val="18"/>
              </w:rPr>
              <w:t>15 mg</w:t>
            </w:r>
          </w:p>
        </w:tc>
        <w:tc>
          <w:tcPr>
            <w:tcW w:w="2401" w:type="dxa"/>
          </w:tcPr>
          <w:p w14:paraId="53E23D34" w14:textId="77777777" w:rsidR="00347F11" w:rsidRDefault="00000000">
            <w:r>
              <w:rPr>
                <w:color w:val="222222"/>
                <w:sz w:val="18"/>
              </w:rPr>
              <w:t>20–30 mg</w:t>
            </w:r>
          </w:p>
        </w:tc>
        <w:tc>
          <w:tcPr>
            <w:tcW w:w="2401" w:type="dxa"/>
          </w:tcPr>
          <w:p w14:paraId="2952D500" w14:textId="77777777" w:rsidR="00347F11" w:rsidRDefault="00000000">
            <w:r>
              <w:rPr>
                <w:color w:val="222222"/>
                <w:sz w:val="18"/>
              </w:rPr>
              <w:t>Shorter acting</w:t>
            </w:r>
          </w:p>
        </w:tc>
      </w:tr>
      <w:tr w:rsidR="00347F11" w14:paraId="0514DE7E" w14:textId="77777777">
        <w:trPr>
          <w:jc w:val="center"/>
        </w:trPr>
        <w:tc>
          <w:tcPr>
            <w:tcW w:w="2401" w:type="dxa"/>
          </w:tcPr>
          <w:p w14:paraId="57EE4317" w14:textId="77777777" w:rsidR="00347F11" w:rsidRDefault="00000000">
            <w:r>
              <w:rPr>
                <w:color w:val="222222"/>
                <w:sz w:val="18"/>
              </w:rPr>
              <w:t>Temazepam</w:t>
            </w:r>
          </w:p>
        </w:tc>
        <w:tc>
          <w:tcPr>
            <w:tcW w:w="2401" w:type="dxa"/>
          </w:tcPr>
          <w:p w14:paraId="6A90BBEB" w14:textId="77777777" w:rsidR="00347F11" w:rsidRDefault="00000000">
            <w:r>
              <w:rPr>
                <w:color w:val="222222"/>
                <w:sz w:val="18"/>
              </w:rPr>
              <w:t>10 mg</w:t>
            </w:r>
          </w:p>
        </w:tc>
        <w:tc>
          <w:tcPr>
            <w:tcW w:w="2401" w:type="dxa"/>
          </w:tcPr>
          <w:p w14:paraId="4D861C28" w14:textId="77777777" w:rsidR="00347F11" w:rsidRDefault="00000000">
            <w:r>
              <w:rPr>
                <w:color w:val="222222"/>
                <w:sz w:val="18"/>
              </w:rPr>
              <w:t>20 mg</w:t>
            </w:r>
          </w:p>
        </w:tc>
        <w:tc>
          <w:tcPr>
            <w:tcW w:w="2401" w:type="dxa"/>
          </w:tcPr>
          <w:p w14:paraId="2CF3190D" w14:textId="77777777" w:rsidR="00347F11" w:rsidRDefault="00000000">
            <w:r>
              <w:rPr>
                <w:color w:val="222222"/>
                <w:sz w:val="18"/>
              </w:rPr>
              <w:t>Common hypnotic</w:t>
            </w:r>
          </w:p>
        </w:tc>
      </w:tr>
      <w:tr w:rsidR="00347F11" w14:paraId="2ED5D028" w14:textId="77777777">
        <w:trPr>
          <w:jc w:val="center"/>
        </w:trPr>
        <w:tc>
          <w:tcPr>
            <w:tcW w:w="2401" w:type="dxa"/>
          </w:tcPr>
          <w:p w14:paraId="0CA8484A" w14:textId="77777777" w:rsidR="00347F11" w:rsidRDefault="00000000">
            <w:r>
              <w:rPr>
                <w:color w:val="222222"/>
                <w:sz w:val="18"/>
              </w:rPr>
              <w:t>Zopiclone</w:t>
            </w:r>
          </w:p>
        </w:tc>
        <w:tc>
          <w:tcPr>
            <w:tcW w:w="2401" w:type="dxa"/>
          </w:tcPr>
          <w:p w14:paraId="2EEA016C" w14:textId="77777777" w:rsidR="00347F11" w:rsidRDefault="00000000">
            <w:r>
              <w:rPr>
                <w:color w:val="222222"/>
                <w:sz w:val="18"/>
              </w:rPr>
              <w:t>—</w:t>
            </w:r>
          </w:p>
        </w:tc>
        <w:tc>
          <w:tcPr>
            <w:tcW w:w="2401" w:type="dxa"/>
          </w:tcPr>
          <w:p w14:paraId="62454B19" w14:textId="77777777" w:rsidR="00347F11" w:rsidRDefault="00000000">
            <w:r>
              <w:rPr>
                <w:color w:val="222222"/>
                <w:sz w:val="18"/>
              </w:rPr>
              <w:t>15 mg roughly comparable in legacy equivalence tables</w:t>
            </w:r>
          </w:p>
        </w:tc>
        <w:tc>
          <w:tcPr>
            <w:tcW w:w="2401" w:type="dxa"/>
          </w:tcPr>
          <w:p w14:paraId="175EE722" w14:textId="77777777" w:rsidR="00347F11" w:rsidRDefault="00000000">
            <w:r>
              <w:rPr>
                <w:color w:val="222222"/>
                <w:sz w:val="18"/>
              </w:rPr>
              <w:t>Z-drug; avoid long-term use</w:t>
            </w:r>
          </w:p>
        </w:tc>
      </w:tr>
      <w:tr w:rsidR="00347F11" w14:paraId="5A963DA5" w14:textId="77777777">
        <w:trPr>
          <w:jc w:val="center"/>
        </w:trPr>
        <w:tc>
          <w:tcPr>
            <w:tcW w:w="2401" w:type="dxa"/>
          </w:tcPr>
          <w:p w14:paraId="5B9F48F9" w14:textId="77777777" w:rsidR="00347F11" w:rsidRDefault="00000000">
            <w:r>
              <w:rPr>
                <w:color w:val="222222"/>
                <w:sz w:val="18"/>
              </w:rPr>
              <w:t>Zolpidem</w:t>
            </w:r>
          </w:p>
        </w:tc>
        <w:tc>
          <w:tcPr>
            <w:tcW w:w="2401" w:type="dxa"/>
          </w:tcPr>
          <w:p w14:paraId="08BF6C60" w14:textId="77777777" w:rsidR="00347F11" w:rsidRDefault="00000000">
            <w:r>
              <w:rPr>
                <w:color w:val="222222"/>
                <w:sz w:val="18"/>
              </w:rPr>
              <w:t>—</w:t>
            </w:r>
          </w:p>
        </w:tc>
        <w:tc>
          <w:tcPr>
            <w:tcW w:w="2401" w:type="dxa"/>
          </w:tcPr>
          <w:p w14:paraId="32AD5247" w14:textId="77777777" w:rsidR="00347F11" w:rsidRDefault="00000000">
            <w:r>
              <w:rPr>
                <w:color w:val="222222"/>
                <w:sz w:val="18"/>
              </w:rPr>
              <w:t>20 mg roughly comparable in legacy equivalence tables</w:t>
            </w:r>
          </w:p>
        </w:tc>
        <w:tc>
          <w:tcPr>
            <w:tcW w:w="2401" w:type="dxa"/>
          </w:tcPr>
          <w:p w14:paraId="3E3A387F" w14:textId="77777777" w:rsidR="00347F11" w:rsidRDefault="00000000">
            <w:r>
              <w:rPr>
                <w:color w:val="222222"/>
                <w:sz w:val="18"/>
              </w:rPr>
              <w:t>Z-drug; avoid long-term use</w:t>
            </w:r>
          </w:p>
        </w:tc>
      </w:tr>
    </w:tbl>
    <w:tbl>
      <w:tblPr>
        <w:tblW w:w="0" w:type="auto"/>
        <w:jc w:val="center"/>
        <w:tblLook w:val="04A0" w:firstRow="1" w:lastRow="0" w:firstColumn="1" w:lastColumn="0" w:noHBand="0" w:noVBand="1"/>
      </w:tblPr>
      <w:tblGrid>
        <w:gridCol w:w="9605"/>
      </w:tblGrid>
      <w:tr w:rsidR="00347F11" w14:paraId="1D95E8CF" w14:textId="77777777">
        <w:trPr>
          <w:jc w:val="center"/>
        </w:trPr>
        <w:tc>
          <w:tcPr>
            <w:tcW w:w="9605" w:type="dxa"/>
            <w:tcBorders>
              <w:top w:val="nil"/>
              <w:left w:val="nil"/>
              <w:bottom w:val="nil"/>
              <w:right w:val="nil"/>
            </w:tcBorders>
            <w:shd w:val="clear" w:color="auto" w:fill="F3E5F5"/>
          </w:tcPr>
          <w:p w14:paraId="50C7D728" w14:textId="77777777" w:rsidR="00347F11" w:rsidRDefault="00000000">
            <w:pPr>
              <w:spacing w:before="120" w:after="120"/>
              <w:ind w:left="115"/>
            </w:pPr>
            <w:r>
              <w:rPr>
                <w:b/>
                <w:color w:val="6A1B9A"/>
                <w:sz w:val="21"/>
              </w:rPr>
              <w:t xml:space="preserve">AKT focus  </w:t>
            </w:r>
            <w:r>
              <w:rPr>
                <w:color w:val="222222"/>
                <w:sz w:val="21"/>
              </w:rPr>
              <w:t>Know the harms of long-term benzodiazepines, the need for gradual withdrawal, and approximate equivalence such as diazepam 5 mg ≈ lorazepam 500 micrograms ≈ temazepam 10 mg.</w:t>
            </w:r>
          </w:p>
        </w:tc>
      </w:tr>
    </w:tbl>
    <w:p w14:paraId="1B11076C" w14:textId="77777777" w:rsidR="00347F11" w:rsidRDefault="00347F11"/>
    <w:tbl>
      <w:tblPr>
        <w:tblW w:w="0" w:type="auto"/>
        <w:jc w:val="center"/>
        <w:tblLook w:val="04A0" w:firstRow="1" w:lastRow="0" w:firstColumn="1" w:lastColumn="0" w:noHBand="0" w:noVBand="1"/>
      </w:tblPr>
      <w:tblGrid>
        <w:gridCol w:w="9605"/>
      </w:tblGrid>
      <w:tr w:rsidR="00347F11" w14:paraId="4A8207DD" w14:textId="77777777">
        <w:trPr>
          <w:jc w:val="center"/>
        </w:trPr>
        <w:tc>
          <w:tcPr>
            <w:tcW w:w="9605" w:type="dxa"/>
            <w:tcBorders>
              <w:top w:val="nil"/>
              <w:left w:val="nil"/>
              <w:bottom w:val="nil"/>
              <w:right w:val="nil"/>
            </w:tcBorders>
            <w:shd w:val="clear" w:color="auto" w:fill="E0F7FA"/>
          </w:tcPr>
          <w:p w14:paraId="775672E1" w14:textId="77777777" w:rsidR="00347F11" w:rsidRDefault="00000000">
            <w:pPr>
              <w:spacing w:before="120" w:after="120"/>
              <w:ind w:left="115"/>
            </w:pPr>
            <w:r>
              <w:rPr>
                <w:b/>
                <w:color w:val="00838F"/>
                <w:sz w:val="21"/>
              </w:rPr>
              <w:t xml:space="preserve">SCA focus  </w:t>
            </w:r>
            <w:r>
              <w:rPr>
                <w:color w:val="222222"/>
                <w:sz w:val="21"/>
              </w:rPr>
              <w:t>Explore the patient's beliefs, fears and previous withdrawal experience. Shared planning and motivational interviewing are more important than simply handing over a schedule.</w:t>
            </w:r>
          </w:p>
        </w:tc>
      </w:tr>
    </w:tbl>
    <w:p w14:paraId="7974994D" w14:textId="77777777" w:rsidR="00347F11" w:rsidRDefault="00347F11"/>
    <w:tbl>
      <w:tblPr>
        <w:tblW w:w="0" w:type="auto"/>
        <w:jc w:val="center"/>
        <w:tblLook w:val="04A0" w:firstRow="1" w:lastRow="0" w:firstColumn="1" w:lastColumn="0" w:noHBand="0" w:noVBand="1"/>
      </w:tblPr>
      <w:tblGrid>
        <w:gridCol w:w="9605"/>
      </w:tblGrid>
      <w:tr w:rsidR="00347F11" w14:paraId="2D6890C9" w14:textId="77777777">
        <w:trPr>
          <w:jc w:val="center"/>
        </w:trPr>
        <w:tc>
          <w:tcPr>
            <w:tcW w:w="9605" w:type="dxa"/>
            <w:tcBorders>
              <w:top w:val="nil"/>
              <w:left w:val="nil"/>
              <w:bottom w:val="nil"/>
              <w:right w:val="nil"/>
            </w:tcBorders>
            <w:shd w:val="clear" w:color="auto" w:fill="FFF3E0"/>
          </w:tcPr>
          <w:p w14:paraId="092A0E05" w14:textId="77777777" w:rsidR="00347F11" w:rsidRDefault="00000000">
            <w:pPr>
              <w:spacing w:before="120" w:after="120"/>
              <w:ind w:left="115"/>
            </w:pPr>
            <w:r>
              <w:rPr>
                <w:b/>
                <w:color w:val="F57C00"/>
                <w:sz w:val="21"/>
              </w:rPr>
              <w:t xml:space="preserve">Common pitfall  </w:t>
            </w:r>
            <w:r>
              <w:rPr>
                <w:color w:val="222222"/>
                <w:sz w:val="21"/>
              </w:rPr>
              <w:t>Do not promise a fixed timetable. Withdrawal duration can vary from weeks to a year or more. Plans should be flexible and symptom-guided.</w:t>
            </w:r>
          </w:p>
        </w:tc>
      </w:tr>
    </w:tbl>
    <w:p w14:paraId="1F8746FD" w14:textId="77777777" w:rsidR="00347F11" w:rsidRDefault="00347F11"/>
    <w:p w14:paraId="23BB14D4" w14:textId="77777777" w:rsidR="00347F11" w:rsidRDefault="00000000">
      <w:pPr>
        <w:spacing w:before="280" w:after="80"/>
      </w:pPr>
      <w:r>
        <w:rPr>
          <w:b/>
          <w:color w:val="E0651F"/>
          <w:sz w:val="32"/>
        </w:rPr>
        <w:t>Symptoms during withdrawal</w:t>
      </w:r>
    </w:p>
    <w:p w14:paraId="5B1AD657" w14:textId="77777777" w:rsidR="00347F11" w:rsidRDefault="00000000">
      <w:pPr>
        <w:pStyle w:val="ListBullet"/>
        <w:spacing w:after="40"/>
      </w:pPr>
      <w:r>
        <w:rPr>
          <w:color w:val="222222"/>
          <w:sz w:val="21"/>
        </w:rPr>
        <w:t>Rebound insomnia or anxiety lasting days to weeks.</w:t>
      </w:r>
    </w:p>
    <w:p w14:paraId="2F9DB2D4" w14:textId="77777777" w:rsidR="00347F11" w:rsidRDefault="00000000">
      <w:pPr>
        <w:pStyle w:val="ListBullet"/>
        <w:spacing w:after="40"/>
      </w:pPr>
      <w:r>
        <w:rPr>
          <w:color w:val="222222"/>
          <w:sz w:val="21"/>
        </w:rPr>
        <w:t>Tremor, sweating, abdominal discomfort, tachycardia, tinnitus or perceptual sensitivity.</w:t>
      </w:r>
    </w:p>
    <w:p w14:paraId="4FE24615" w14:textId="77777777" w:rsidR="00347F11" w:rsidRDefault="00000000">
      <w:pPr>
        <w:pStyle w:val="ListBullet"/>
        <w:spacing w:after="40"/>
      </w:pPr>
      <w:r>
        <w:rPr>
          <w:color w:val="222222"/>
          <w:sz w:val="21"/>
        </w:rPr>
        <w:t>Panic attacks, depersonalisation, agitation or low mood.</w:t>
      </w:r>
    </w:p>
    <w:p w14:paraId="36A77004" w14:textId="77777777" w:rsidR="00347F11" w:rsidRDefault="00000000">
      <w:pPr>
        <w:pStyle w:val="ListBullet"/>
        <w:spacing w:after="40"/>
      </w:pPr>
      <w:r>
        <w:rPr>
          <w:color w:val="222222"/>
          <w:sz w:val="21"/>
        </w:rPr>
        <w:t>Symptoms can wax and wane; 'windows' of feeling normal often become longer over time.</w:t>
      </w:r>
    </w:p>
    <w:p w14:paraId="508121DE" w14:textId="77777777" w:rsidR="00347F11" w:rsidRDefault="00000000">
      <w:pPr>
        <w:pStyle w:val="ListBullet"/>
        <w:spacing w:after="40"/>
      </w:pPr>
      <w:r>
        <w:rPr>
          <w:color w:val="222222"/>
          <w:sz w:val="21"/>
        </w:rPr>
        <w:t>Seizures, delirium, confusion or psychosis are urgent red flags.</w:t>
      </w:r>
    </w:p>
    <w:p w14:paraId="1902F6FB" w14:textId="77777777" w:rsidR="00776832" w:rsidRDefault="00776832">
      <w:pPr>
        <w:rPr>
          <w:b/>
          <w:color w:val="E0651F"/>
          <w:sz w:val="32"/>
        </w:rPr>
      </w:pPr>
      <w:r>
        <w:rPr>
          <w:b/>
          <w:color w:val="E0651F"/>
          <w:sz w:val="32"/>
        </w:rPr>
        <w:br w:type="page"/>
      </w:r>
    </w:p>
    <w:p w14:paraId="04FD2861" w14:textId="61C33632" w:rsidR="00347F11" w:rsidRDefault="00000000">
      <w:pPr>
        <w:spacing w:before="280" w:after="80"/>
      </w:pPr>
      <w:r>
        <w:rPr>
          <w:b/>
          <w:color w:val="E0651F"/>
          <w:sz w:val="32"/>
        </w:rPr>
        <w:lastRenderedPageBreak/>
        <w:t>Practice process</w:t>
      </w:r>
    </w:p>
    <w:tbl>
      <w:tblPr>
        <w:tblStyle w:val="TableGrid"/>
        <w:tblW w:w="0" w:type="auto"/>
        <w:jc w:val="center"/>
        <w:tblLook w:val="04A0" w:firstRow="1" w:lastRow="0" w:firstColumn="1" w:lastColumn="0" w:noHBand="0" w:noVBand="1"/>
      </w:tblPr>
      <w:tblGrid>
        <w:gridCol w:w="4802"/>
        <w:gridCol w:w="4802"/>
      </w:tblGrid>
      <w:tr w:rsidR="00347F11" w14:paraId="67E54FFD" w14:textId="77777777">
        <w:trPr>
          <w:jc w:val="center"/>
        </w:trPr>
        <w:tc>
          <w:tcPr>
            <w:tcW w:w="4802" w:type="dxa"/>
            <w:shd w:val="clear" w:color="auto" w:fill="F7F7F7"/>
          </w:tcPr>
          <w:p w14:paraId="7F02C5D6" w14:textId="77777777" w:rsidR="00347F11" w:rsidRDefault="00000000">
            <w:r>
              <w:rPr>
                <w:b/>
                <w:color w:val="E0651F"/>
                <w:sz w:val="20"/>
              </w:rPr>
              <w:t>1. Search</w:t>
            </w:r>
          </w:p>
        </w:tc>
        <w:tc>
          <w:tcPr>
            <w:tcW w:w="4802" w:type="dxa"/>
          </w:tcPr>
          <w:p w14:paraId="286C9037" w14:textId="77777777" w:rsidR="00347F11" w:rsidRDefault="00000000">
            <w:r>
              <w:rPr>
                <w:color w:val="222222"/>
                <w:sz w:val="20"/>
              </w:rPr>
              <w:t>Identify chronic benzodiazepine and Z-drug repeat prescriptions.</w:t>
            </w:r>
          </w:p>
        </w:tc>
      </w:tr>
      <w:tr w:rsidR="00347F11" w14:paraId="680EB238" w14:textId="77777777">
        <w:trPr>
          <w:jc w:val="center"/>
        </w:trPr>
        <w:tc>
          <w:tcPr>
            <w:tcW w:w="4802" w:type="dxa"/>
            <w:shd w:val="clear" w:color="auto" w:fill="F7F7F7"/>
          </w:tcPr>
          <w:p w14:paraId="633A9E16" w14:textId="77777777" w:rsidR="00347F11" w:rsidRDefault="00000000">
            <w:r>
              <w:rPr>
                <w:b/>
                <w:color w:val="E0651F"/>
                <w:sz w:val="20"/>
              </w:rPr>
              <w:t>2. Exclude</w:t>
            </w:r>
          </w:p>
        </w:tc>
        <w:tc>
          <w:tcPr>
            <w:tcW w:w="4802" w:type="dxa"/>
          </w:tcPr>
          <w:p w14:paraId="5ACF9186" w14:textId="77777777" w:rsidR="00347F11" w:rsidRDefault="00000000">
            <w:r>
              <w:rPr>
                <w:color w:val="222222"/>
                <w:sz w:val="20"/>
              </w:rPr>
              <w:t>Check crisis, specialist indications, alcohol dependence, dementia, psychosis and patient preference.</w:t>
            </w:r>
          </w:p>
        </w:tc>
      </w:tr>
      <w:tr w:rsidR="00347F11" w14:paraId="19E81AA4" w14:textId="77777777">
        <w:trPr>
          <w:jc w:val="center"/>
        </w:trPr>
        <w:tc>
          <w:tcPr>
            <w:tcW w:w="4802" w:type="dxa"/>
            <w:shd w:val="clear" w:color="auto" w:fill="F7F7F7"/>
          </w:tcPr>
          <w:p w14:paraId="16D807CE" w14:textId="77777777" w:rsidR="00347F11" w:rsidRDefault="00000000">
            <w:r>
              <w:rPr>
                <w:b/>
                <w:color w:val="E0651F"/>
                <w:sz w:val="20"/>
              </w:rPr>
              <w:t>3. Invite</w:t>
            </w:r>
          </w:p>
        </w:tc>
        <w:tc>
          <w:tcPr>
            <w:tcW w:w="4802" w:type="dxa"/>
          </w:tcPr>
          <w:p w14:paraId="78B02E2B" w14:textId="77777777" w:rsidR="00347F11" w:rsidRDefault="00000000">
            <w:r>
              <w:rPr>
                <w:color w:val="222222"/>
                <w:sz w:val="20"/>
              </w:rPr>
              <w:t>Send supportive letter or discuss at medication review.</w:t>
            </w:r>
          </w:p>
        </w:tc>
      </w:tr>
      <w:tr w:rsidR="00347F11" w14:paraId="178B2114" w14:textId="77777777">
        <w:trPr>
          <w:jc w:val="center"/>
        </w:trPr>
        <w:tc>
          <w:tcPr>
            <w:tcW w:w="4802" w:type="dxa"/>
            <w:shd w:val="clear" w:color="auto" w:fill="F7F7F7"/>
          </w:tcPr>
          <w:p w14:paraId="7852B228" w14:textId="77777777" w:rsidR="00347F11" w:rsidRDefault="00000000">
            <w:r>
              <w:rPr>
                <w:b/>
                <w:color w:val="E0651F"/>
                <w:sz w:val="20"/>
              </w:rPr>
              <w:t>4. Plan</w:t>
            </w:r>
          </w:p>
        </w:tc>
        <w:tc>
          <w:tcPr>
            <w:tcW w:w="4802" w:type="dxa"/>
          </w:tcPr>
          <w:p w14:paraId="1789ABA9" w14:textId="77777777" w:rsidR="00347F11" w:rsidRDefault="00000000">
            <w:r>
              <w:rPr>
                <w:color w:val="222222"/>
                <w:sz w:val="20"/>
              </w:rPr>
              <w:t>Agree direct taper or diazepam conversion with review dates.</w:t>
            </w:r>
          </w:p>
        </w:tc>
      </w:tr>
      <w:tr w:rsidR="00347F11" w14:paraId="593423FA" w14:textId="77777777">
        <w:trPr>
          <w:jc w:val="center"/>
        </w:trPr>
        <w:tc>
          <w:tcPr>
            <w:tcW w:w="4802" w:type="dxa"/>
            <w:shd w:val="clear" w:color="auto" w:fill="F7F7F7"/>
          </w:tcPr>
          <w:p w14:paraId="4F80B5F6" w14:textId="77777777" w:rsidR="00347F11" w:rsidRDefault="00000000">
            <w:r>
              <w:rPr>
                <w:b/>
                <w:color w:val="E0651F"/>
                <w:sz w:val="20"/>
              </w:rPr>
              <w:t>5. Support</w:t>
            </w:r>
          </w:p>
        </w:tc>
        <w:tc>
          <w:tcPr>
            <w:tcW w:w="4802" w:type="dxa"/>
          </w:tcPr>
          <w:p w14:paraId="17D172F7" w14:textId="77777777" w:rsidR="00347F11" w:rsidRDefault="00000000">
            <w:r>
              <w:rPr>
                <w:color w:val="222222"/>
                <w:sz w:val="20"/>
              </w:rPr>
              <w:t>Offer sleep/anxiety support and address alcohol, opioids or other sedatives.</w:t>
            </w:r>
          </w:p>
        </w:tc>
      </w:tr>
      <w:tr w:rsidR="00347F11" w14:paraId="22D9E124" w14:textId="77777777">
        <w:trPr>
          <w:jc w:val="center"/>
        </w:trPr>
        <w:tc>
          <w:tcPr>
            <w:tcW w:w="4802" w:type="dxa"/>
            <w:shd w:val="clear" w:color="auto" w:fill="F7F7F7"/>
          </w:tcPr>
          <w:p w14:paraId="40551B24" w14:textId="77777777" w:rsidR="00347F11" w:rsidRDefault="00000000">
            <w:r>
              <w:rPr>
                <w:b/>
                <w:color w:val="E0651F"/>
                <w:sz w:val="20"/>
              </w:rPr>
              <w:t>6. Review</w:t>
            </w:r>
          </w:p>
        </w:tc>
        <w:tc>
          <w:tcPr>
            <w:tcW w:w="4802" w:type="dxa"/>
          </w:tcPr>
          <w:p w14:paraId="1BFF0E72" w14:textId="77777777" w:rsidR="00347F11" w:rsidRDefault="00000000">
            <w:r>
              <w:rPr>
                <w:color w:val="222222"/>
                <w:sz w:val="20"/>
              </w:rPr>
              <w:t>Pause, slow or adjust taper if symptoms are problematic; document shared decisions.</w:t>
            </w:r>
          </w:p>
        </w:tc>
      </w:tr>
    </w:tbl>
    <w:p w14:paraId="1B9EDE9F" w14:textId="77777777" w:rsidR="00347F11" w:rsidRDefault="00000000">
      <w:pPr>
        <w:spacing w:before="280" w:after="80"/>
      </w:pPr>
      <w:r>
        <w:rPr>
          <w:b/>
          <w:color w:val="E0651F"/>
          <w:sz w:val="32"/>
        </w:rPr>
        <w:t>Example patient letter</w:t>
      </w:r>
    </w:p>
    <w:p w14:paraId="38CF4A9C" w14:textId="77777777" w:rsidR="00347F11" w:rsidRDefault="00000000">
      <w:pPr>
        <w:spacing w:after="80"/>
      </w:pPr>
      <w:r>
        <w:rPr>
          <w:color w:val="222222"/>
        </w:rPr>
        <w:t>Dear [Name],</w:t>
      </w:r>
    </w:p>
    <w:p w14:paraId="036E1C24" w14:textId="77777777" w:rsidR="00347F11" w:rsidRDefault="00000000">
      <w:pPr>
        <w:spacing w:after="80"/>
      </w:pPr>
      <w:r>
        <w:rPr>
          <w:color w:val="222222"/>
        </w:rPr>
        <w:t>I have noticed that you have been taking [medicine] for some time. Medicines such as diazepam, temazepam, lorazepam, zopiclone and similar tablets can be useful for short periods, but when taken long term the body can become used to them and they may cause side effects such as poor memory, daytime sleepiness, falls, and dependence.</w:t>
      </w:r>
    </w:p>
    <w:p w14:paraId="323A3FE9" w14:textId="77777777" w:rsidR="00347F11" w:rsidRDefault="00000000">
      <w:pPr>
        <w:spacing w:after="80"/>
      </w:pPr>
      <w:r>
        <w:rPr>
          <w:color w:val="222222"/>
        </w:rPr>
        <w:t>We are writing to invite you to discuss whether a slow, supported reduction might be right for you. This would not be sudden, and you would not be expected to stop straight away. Any plan would be agreed with you and reviewed regularly.</w:t>
      </w:r>
    </w:p>
    <w:p w14:paraId="7FB29546" w14:textId="77777777" w:rsidR="00347F11" w:rsidRDefault="00000000">
      <w:pPr>
        <w:spacing w:after="80"/>
      </w:pPr>
      <w:r>
        <w:rPr>
          <w:color w:val="222222"/>
        </w:rPr>
        <w:t>If you would like to talk about this, please book an appointment with your GP, practice pharmacist or prescribing clinician.</w:t>
      </w:r>
    </w:p>
    <w:p w14:paraId="01159126" w14:textId="77777777" w:rsidR="00347F11" w:rsidRDefault="00000000">
      <w:pPr>
        <w:spacing w:after="80"/>
      </w:pPr>
      <w:r>
        <w:rPr>
          <w:color w:val="222222"/>
        </w:rPr>
        <w:t>Yours sincerely,</w:t>
      </w:r>
    </w:p>
    <w:p w14:paraId="336E15E1" w14:textId="77777777" w:rsidR="00347F11" w:rsidRDefault="00000000">
      <w:pPr>
        <w:spacing w:after="80"/>
      </w:pPr>
      <w:r>
        <w:rPr>
          <w:color w:val="222222"/>
        </w:rPr>
        <w:t>[Practice team]</w:t>
      </w:r>
    </w:p>
    <w:p w14:paraId="214A1FA0" w14:textId="77777777" w:rsidR="00347F11" w:rsidRDefault="00000000">
      <w:pPr>
        <w:spacing w:before="280" w:after="80"/>
      </w:pPr>
      <w:r>
        <w:rPr>
          <w:b/>
          <w:color w:val="E0651F"/>
          <w:sz w:val="32"/>
        </w:rPr>
        <w:t>References and guidance used</w:t>
      </w:r>
    </w:p>
    <w:p w14:paraId="33ABF5A9" w14:textId="77777777" w:rsidR="00347F11" w:rsidRDefault="00000000">
      <w:pPr>
        <w:pStyle w:val="ListBullet"/>
        <w:spacing w:after="40"/>
      </w:pPr>
      <w:r>
        <w:rPr>
          <w:color w:val="222222"/>
          <w:sz w:val="21"/>
        </w:rPr>
        <w:t>NICE NG215: Medicines associated with dependence or withdrawal symptoms: safe prescribing and withdrawal management for adults (2022).</w:t>
      </w:r>
    </w:p>
    <w:p w14:paraId="66FC1CE3" w14:textId="77777777" w:rsidR="00347F11" w:rsidRDefault="00000000">
      <w:pPr>
        <w:pStyle w:val="ListBullet"/>
        <w:spacing w:after="40"/>
      </w:pPr>
      <w:r>
        <w:rPr>
          <w:color w:val="222222"/>
          <w:sz w:val="21"/>
        </w:rPr>
        <w:t>Current BNF principles for benzodiazepine dependence and withdrawal: gradual tapering, approximate equivalence, and caution with abrupt cessation.</w:t>
      </w:r>
    </w:p>
    <w:p w14:paraId="70ED1368" w14:textId="77777777" w:rsidR="00347F11" w:rsidRDefault="00000000">
      <w:pPr>
        <w:pStyle w:val="ListBullet"/>
        <w:spacing w:after="40"/>
      </w:pPr>
      <w:r>
        <w:rPr>
          <w:color w:val="222222"/>
          <w:sz w:val="21"/>
        </w:rPr>
        <w:t>Original Bradford VTS / North Bradford benzodiazepine withdrawal source documents supplied in the Drugs3 folder.</w:t>
      </w:r>
    </w:p>
    <w:p w14:paraId="520E6455" w14:textId="77777777" w:rsidR="00347F11" w:rsidRPr="00776832" w:rsidRDefault="00000000">
      <w:pPr>
        <w:pStyle w:val="ListBullet"/>
        <w:spacing w:after="40"/>
      </w:pPr>
      <w:r>
        <w:rPr>
          <w:color w:val="222222"/>
          <w:sz w:val="21"/>
        </w:rPr>
        <w:t>Ashton-style withdrawal principles retained only as historical supportive context; dosing must be checked against current BNF before use.</w:t>
      </w:r>
    </w:p>
    <w:p w14:paraId="5218D13D" w14:textId="77777777" w:rsidR="00776832" w:rsidRDefault="00776832" w:rsidP="00776832">
      <w:pPr>
        <w:pStyle w:val="ListBullet"/>
        <w:numPr>
          <w:ilvl w:val="0"/>
          <w:numId w:val="0"/>
        </w:numPr>
        <w:spacing w:after="40"/>
        <w:ind w:left="360" w:hanging="360"/>
        <w:rPr>
          <w:color w:val="222222"/>
          <w:sz w:val="21"/>
        </w:rPr>
      </w:pPr>
    </w:p>
    <w:p w14:paraId="6B847C4F" w14:textId="77777777" w:rsidR="00776832" w:rsidRDefault="00776832" w:rsidP="00776832">
      <w:pPr>
        <w:pStyle w:val="ListBullet"/>
        <w:numPr>
          <w:ilvl w:val="0"/>
          <w:numId w:val="0"/>
        </w:numPr>
        <w:spacing w:after="40"/>
        <w:ind w:left="360" w:hanging="360"/>
      </w:pPr>
    </w:p>
    <w:tbl>
      <w:tblPr>
        <w:tblW w:w="0" w:type="auto"/>
        <w:jc w:val="center"/>
        <w:tblLook w:val="04A0" w:firstRow="1" w:lastRow="0" w:firstColumn="1" w:lastColumn="0" w:noHBand="0" w:noVBand="1"/>
      </w:tblPr>
      <w:tblGrid>
        <w:gridCol w:w="9605"/>
      </w:tblGrid>
      <w:tr w:rsidR="00347F11" w14:paraId="69066472" w14:textId="77777777">
        <w:trPr>
          <w:jc w:val="center"/>
        </w:trPr>
        <w:tc>
          <w:tcPr>
            <w:tcW w:w="9605" w:type="dxa"/>
            <w:tcBorders>
              <w:top w:val="nil"/>
              <w:left w:val="nil"/>
              <w:bottom w:val="nil"/>
              <w:right w:val="nil"/>
            </w:tcBorders>
            <w:shd w:val="clear" w:color="auto" w:fill="FFF8E1"/>
          </w:tcPr>
          <w:p w14:paraId="0D2BEBEC" w14:textId="77777777" w:rsidR="00347F11" w:rsidRDefault="00000000">
            <w:pPr>
              <w:spacing w:before="120" w:after="120"/>
              <w:ind w:left="115"/>
            </w:pPr>
            <w:r>
              <w:rPr>
                <w:b/>
                <w:color w:val="F57C00"/>
                <w:sz w:val="21"/>
              </w:rPr>
              <w:t xml:space="preserve">Educational </w:t>
            </w:r>
            <w:proofErr w:type="gramStart"/>
            <w:r>
              <w:rPr>
                <w:b/>
                <w:color w:val="F57C00"/>
                <w:sz w:val="21"/>
              </w:rPr>
              <w:t xml:space="preserve">disclaimer  </w:t>
            </w:r>
            <w:r>
              <w:rPr>
                <w:color w:val="222222"/>
                <w:sz w:val="21"/>
              </w:rPr>
              <w:t>Always</w:t>
            </w:r>
            <w:proofErr w:type="gramEnd"/>
            <w:r>
              <w:rPr>
                <w:color w:val="222222"/>
                <w:sz w:val="21"/>
              </w:rPr>
              <w:t xml:space="preserve"> double check this advice and drug doses with the latest NICE/BNF guidance. This document is for educational purposes only.</w:t>
            </w:r>
          </w:p>
        </w:tc>
      </w:tr>
    </w:tbl>
    <w:p w14:paraId="35484D98" w14:textId="77777777" w:rsidR="00347F11" w:rsidRDefault="00347F11"/>
    <w:sectPr w:rsidR="00347F11" w:rsidSect="00034616">
      <w:footerReference w:type="default" r:id="rId8"/>
      <w:pgSz w:w="11909" w:h="16834"/>
      <w:pgMar w:top="1008" w:right="1152" w:bottom="1008"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1DE02E" w14:textId="77777777" w:rsidR="00385A9B" w:rsidRDefault="00385A9B">
      <w:pPr>
        <w:spacing w:after="0" w:line="240" w:lineRule="auto"/>
      </w:pPr>
      <w:r>
        <w:separator/>
      </w:r>
    </w:p>
  </w:endnote>
  <w:endnote w:type="continuationSeparator" w:id="0">
    <w:p w14:paraId="0C99A3F7" w14:textId="77777777" w:rsidR="00385A9B" w:rsidRDefault="00385A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C0C85" w14:textId="77777777" w:rsidR="00347F11" w:rsidRDefault="00000000">
    <w:pPr>
      <w:pStyle w:val="Footer"/>
      <w:jc w:val="center"/>
    </w:pPr>
    <w:r>
      <w:rPr>
        <w:color w:val="666666"/>
        <w:sz w:val="16"/>
      </w:rPr>
      <w:t>A free resource provided by www.bradfordvts.co.uk, Dr Ramesh Mehay, revised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9F534E" w14:textId="77777777" w:rsidR="00385A9B" w:rsidRDefault="00385A9B">
      <w:pPr>
        <w:spacing w:after="0" w:line="240" w:lineRule="auto"/>
      </w:pPr>
      <w:r>
        <w:separator/>
      </w:r>
    </w:p>
  </w:footnote>
  <w:footnote w:type="continuationSeparator" w:id="0">
    <w:p w14:paraId="0566903D" w14:textId="77777777" w:rsidR="00385A9B" w:rsidRDefault="00385A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7454001">
    <w:abstractNumId w:val="8"/>
  </w:num>
  <w:num w:numId="2" w16cid:durableId="485779384">
    <w:abstractNumId w:val="6"/>
  </w:num>
  <w:num w:numId="3" w16cid:durableId="1896239187">
    <w:abstractNumId w:val="5"/>
  </w:num>
  <w:num w:numId="4" w16cid:durableId="505480244">
    <w:abstractNumId w:val="4"/>
  </w:num>
  <w:num w:numId="5" w16cid:durableId="874468267">
    <w:abstractNumId w:val="7"/>
  </w:num>
  <w:num w:numId="6" w16cid:durableId="186064353">
    <w:abstractNumId w:val="3"/>
  </w:num>
  <w:num w:numId="7" w16cid:durableId="19282812">
    <w:abstractNumId w:val="2"/>
  </w:num>
  <w:num w:numId="8" w16cid:durableId="1308896580">
    <w:abstractNumId w:val="1"/>
  </w:num>
  <w:num w:numId="9" w16cid:durableId="1791433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47F11"/>
    <w:rsid w:val="00385A9B"/>
    <w:rsid w:val="00776832"/>
    <w:rsid w:val="00AA1D8D"/>
    <w:rsid w:val="00B47730"/>
    <w:rsid w:val="00CB0664"/>
    <w:rsid w:val="00D237E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10E534"/>
  <w14:defaultImageDpi w14:val="300"/>
  <w15:docId w15:val="{585D1AD5-556B-44C7-BCB2-E91CC99D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1300</Words>
  <Characters>7829</Characters>
  <Application>Microsoft Office Word</Application>
  <DocSecurity>0</DocSecurity>
  <Lines>190</Lines>
  <Paragraphs>140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8989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Ramesh Mehay</cp:lastModifiedBy>
  <cp:revision>3</cp:revision>
  <dcterms:created xsi:type="dcterms:W3CDTF">2013-12-23T23:15:00Z</dcterms:created>
  <dcterms:modified xsi:type="dcterms:W3CDTF">2026-06-26T12:06:00Z</dcterms:modified>
  <cp:category/>
</cp:coreProperties>
</file>