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10026"/>
        <w:tblBorders>
          <w:top w:val="none" w:color="FFFFFF" w:sz="0"/>
          <w:left w:val="none" w:color="FFFFFF" w:sz="0"/>
          <w:bottom w:val="none" w:color="FFFFFF" w:sz="0"/>
          <w:right w:val="none" w:color="FFFFFF" w:sz="0"/>
          <w:insideH w:val="none" w:color="FFFFFF" w:sz="0"/>
          <w:insideV w:val="none" w:color="FFFFFF" w:sz="0"/>
        </w:tblBorders>
      </w:tblPr>
      <w:tblGrid>
        <w:gridCol w:w="6617"/>
        <w:gridCol w:w="3409"/>
      </w:tblGrid>
      <w:tr>
        <w:trPr>
          <w:cantSplit/>
        </w:trPr>
        <w:tc>
          <w:tcPr>
            <w:tcW w:type="dxa" w:w="6617"/>
            <w:tcBorders>
              <w:top w:val="none" w:color="FFFFFF" w:sz="0"/>
              <w:left w:val="none" w:color="FFFFFF" w:sz="0"/>
              <w:bottom w:val="none" w:color="FFFFFF" w:sz="0"/>
              <w:right w:val="none" w:color="FFFFFF" w:sz="0"/>
            </w:tcBorders>
            <w:shd w:fill="E2661A" w:color="auto" w:val="clear"/>
            <w:tcMar>
              <w:top w:type="dxa" w:w="150"/>
              <w:left w:type="dxa" w:w="200"/>
              <w:bottom w:type="dxa" w:w="140"/>
              <w:right w:type="dxa" w:w="120"/>
            </w:tcMar>
            <w:vAlign w:val="center"/>
          </w:tcPr>
          <w:p>
            <w:pPr>
              <w:spacing w:after="20" w:line="240"/>
            </w:pPr>
            <w:r>
              <w:rPr>
                <w:rFonts w:ascii="Inter ExtraBold" w:cs="Inter ExtraBold" w:eastAsia="Inter ExtraBold" w:hAnsi="Inter ExtraBold"/>
                <w:b w:val="false"/>
                <w:bCs w:val="false"/>
                <w:i w:val="false"/>
                <w:iCs w:val="false"/>
                <w:caps w:val="false"/>
                <w:color w:val="FFFFFF"/>
                <w:spacing w:val="14"/>
                <w:sz w:val="25"/>
                <w:szCs w:val="25"/>
              </w:rPr>
              <w:t xml:space="preserve">BRADFORD VTS TEACHING AIDS</w:t>
            </w:r>
          </w:p>
          <w:p>
            <w:pPr>
              <w:spacing w:after="0" w:line="220"/>
            </w:pPr>
            <w:r>
              <w:rPr>
                <w:rFonts w:ascii="Inter" w:cs="Inter" w:eastAsia="Inter" w:hAnsi="Inter"/>
                <w:b w:val="false"/>
                <w:bCs w:val="false"/>
                <w:i w:val="false"/>
                <w:iCs w:val="false"/>
                <w:caps w:val="false"/>
                <w:color w:val="FCE4D4"/>
                <w:sz w:val="17"/>
                <w:szCs w:val="17"/>
              </w:rPr>
              <w:t xml:space="preserve">Teaching aid for GP trainees &amp; IMGs</w:t>
            </w:r>
          </w:p>
        </w:tc>
        <w:tc>
          <w:tcPr>
            <w:tcW w:type="dxa" w:w="3409"/>
            <w:tcBorders>
              <w:top w:val="none" w:color="FFFFFF" w:sz="0"/>
              <w:left w:val="none" w:color="FFFFFF" w:sz="0"/>
              <w:bottom w:val="none" w:color="FFFFFF" w:sz="0"/>
              <w:right w:val="none" w:color="FFFFFF" w:sz="0"/>
            </w:tcBorders>
            <w:shd w:fill="B44E10" w:color="auto" w:val="clear"/>
            <w:tcMar>
              <w:top w:type="dxa" w:w="150"/>
              <w:left w:type="dxa" w:w="160"/>
              <w:bottom w:type="dxa" w:w="140"/>
              <w:right w:type="dxa" w:w="200"/>
            </w:tcMar>
            <w:vAlign w:val="center"/>
          </w:tcPr>
          <w:p>
            <w:pPr>
              <w:spacing w:after="14" w:line="200"/>
              <w:jc w:val="right"/>
            </w:pPr>
            <w:r>
              <w:rPr>
                <w:rFonts w:ascii="Inter SemiBold" w:cs="Inter SemiBold" w:eastAsia="Inter SemiBold" w:hAnsi="Inter SemiBold"/>
                <w:b w:val="false"/>
                <w:bCs w:val="false"/>
                <w:i w:val="false"/>
                <w:iCs w:val="false"/>
                <w:caps w:val="false"/>
                <w:color w:val="FCE4D4"/>
                <w:spacing w:val="18"/>
                <w:sz w:val="14"/>
                <w:szCs w:val="14"/>
              </w:rPr>
              <w:t xml:space="preserve">UPDATED</w:t>
            </w:r>
          </w:p>
          <w:p>
            <w:pPr>
              <w:spacing w:after="0" w:line="230"/>
              <w:jc w:val="right"/>
            </w:pPr>
            <w:r>
              <w:rPr>
                <w:rFonts w:ascii="Fraunces SemiBold" w:cs="Fraunces SemiBold" w:eastAsia="Fraunces SemiBold" w:hAnsi="Fraunces SemiBold"/>
                <w:b w:val="false"/>
                <w:bCs w:val="false"/>
                <w:i w:val="false"/>
                <w:iCs w:val="false"/>
                <w:caps w:val="false"/>
                <w:color w:val="FFFFFF"/>
                <w:sz w:val="25"/>
                <w:szCs w:val="25"/>
              </w:rPr>
              <w:t xml:space="preserve">June 2026</w:t>
            </w:r>
          </w:p>
        </w:tc>
      </w:tr>
    </w:tbl>
    <w:p>
      <w:pPr>
        <w:spacing w:after="40" w:before="170" w:line="300"/>
      </w:pPr>
      <w:r>
        <w:rPr>
          <w:rFonts w:ascii="Fraunces Black" w:cs="Fraunces Black" w:eastAsia="Fraunces Black" w:hAnsi="Fraunces Black"/>
          <w:b w:val="false"/>
          <w:bCs w:val="false"/>
          <w:i w:val="false"/>
          <w:iCs w:val="false"/>
          <w:caps w:val="false"/>
          <w:color w:val="1F2937"/>
          <w:sz w:val="40"/>
          <w:szCs w:val="40"/>
        </w:rPr>
        <w:t xml:space="preserve">Helping Patients Stop Smoking</w:t>
      </w:r>
    </w:p>
    <w:p>
      <w:pPr>
        <w:spacing w:after="60" w:line="268"/>
      </w:pPr>
      <w:r>
        <w:rPr>
          <w:rFonts w:ascii="Fraunces" w:cs="Fraunces" w:eastAsia="Fraunces" w:hAnsi="Fraunces"/>
          <w:b/>
          <w:bCs/>
          <w:i w:val="false"/>
          <w:iCs w:val="false"/>
          <w:caps w:val="false"/>
          <w:color w:val="E2661A"/>
          <w:sz w:val="23"/>
          <w:szCs w:val="23"/>
        </w:rPr>
        <w:t xml:space="preserve">Behavioural interventions you can use in everyday GP consultations</w:t>
      </w:r>
    </w:p>
    <w:tbl>
      <w:tblPr>
        <w:tblW w:type="dxa" w:w="10026"/>
        <w:tblBorders>
          <w:top w:val="none" w:color="FFFFFF" w:sz="0"/>
          <w:left w:val="none" w:color="FFFFFF" w:sz="0"/>
          <w:bottom w:val="none" w:color="FFFFFF" w:sz="0"/>
          <w:right w:val="none" w:color="FFFFFF" w:sz="0"/>
          <w:insideH w:val="none" w:color="FFFFFF" w:sz="0"/>
          <w:insideV w:val="none" w:color="FFFFFF" w:sz="0"/>
        </w:tblBorders>
      </w:tblPr>
      <w:tblGrid>
        <w:gridCol w:w="10026"/>
      </w:tblGrid>
      <w:tr>
        <w:trPr>
          <w:cantSplit/>
        </w:trPr>
        <w:tc>
          <w:tcPr>
            <w:tcW w:type="dxa" w:w="10026"/>
            <w:tcBorders>
              <w:top w:val="none" w:color="FFFFFF" w:sz="0"/>
              <w:left w:val="single" w:color="1B8A5A" w:sz="30" w:space="0"/>
              <w:bottom w:val="none" w:color="FFFFFF" w:sz="0"/>
              <w:right w:val="none" w:color="FFFFFF" w:sz="0"/>
            </w:tcBorders>
            <w:shd w:fill="E7F4EC" w:color="auto" w:val="clear"/>
            <w:tcMar>
              <w:top w:type="dxa" w:w="130"/>
              <w:left w:type="dxa" w:w="200"/>
              <w:bottom w:type="dxa" w:w="130"/>
              <w:right w:type="dxa" w:w="170"/>
            </w:tcMar>
          </w:tcPr>
          <w:p>
            <w:pPr>
              <w:spacing w:after="70" w:line="248"/>
            </w:pPr>
            <w:r>
              <w:rPr>
                <w:rFonts w:ascii="Inter" w:cs="Inter" w:eastAsia="Inter" w:hAnsi="Inter"/>
                <w:b/>
                <w:bCs/>
                <w:i w:val="false"/>
                <w:iCs w:val="false"/>
                <w:caps w:val="false"/>
                <w:color w:val="1B8A5A"/>
                <w:sz w:val="21"/>
                <w:szCs w:val="21"/>
              </w:rPr>
              <w:t xml:space="preserve">◆  </w:t>
            </w:r>
            <w:r>
              <w:rPr>
                <w:rFonts w:ascii="Inter ExtraBold" w:cs="Inter ExtraBold" w:eastAsia="Inter ExtraBold" w:hAnsi="Inter ExtraBold"/>
                <w:b w:val="false"/>
                <w:bCs w:val="false"/>
                <w:i w:val="false"/>
                <w:iCs w:val="false"/>
                <w:caps w:val="false"/>
                <w:color w:val="1B8A5A"/>
                <w:sz w:val="21"/>
                <w:szCs w:val="21"/>
              </w:rPr>
              <w:t xml:space="preserve">The big idea</w:t>
            </w:r>
          </w:p>
          <w:p>
            <w:pPr>
              <w:spacing w:after="60" w:line="256"/>
            </w:pPr>
            <w:r>
              <w:rPr>
                <w:rFonts w:ascii="Inter SemiBold" w:cs="Inter SemiBold" w:eastAsia="Inter SemiBold" w:hAnsi="Inter SemiBold"/>
                <w:b/>
                <w:bCs/>
                <w:i w:val="false"/>
                <w:iCs w:val="false"/>
                <w:caps w:val="false"/>
                <w:color w:val="1F2937"/>
                <w:sz w:val="21"/>
                <w:szCs w:val="21"/>
              </w:rPr>
              <w:t xml:space="preserve">You don’t need a long session to make a difference. </w:t>
            </w:r>
            <w:r>
              <w:rPr>
                <w:rFonts w:ascii="Inter" w:cs="Inter" w:eastAsia="Inter" w:hAnsi="Inter"/>
                <w:b w:val="false"/>
                <w:bCs w:val="false"/>
                <w:i w:val="false"/>
                <w:iCs w:val="false"/>
                <w:caps w:val="false"/>
                <w:color w:val="303A46"/>
                <w:sz w:val="21"/>
                <w:szCs w:val="21"/>
              </w:rPr>
              <w:t xml:space="preserve">A 30-second prompt plus an offer of help is one of the most powerful, lowest-cost things you can do in medicine.</w:t>
            </w:r>
          </w:p>
          <w:p>
            <w:pPr>
              <w:spacing w:after="0" w:line="256"/>
            </w:pPr>
            <w:r>
              <w:rPr>
                <w:rFonts w:ascii="Inter" w:cs="Inter" w:eastAsia="Inter" w:hAnsi="Inter"/>
                <w:b w:val="false"/>
                <w:bCs w:val="false"/>
                <w:i w:val="false"/>
                <w:iCs w:val="false"/>
                <w:caps w:val="false"/>
                <w:color w:val="303A46"/>
                <w:sz w:val="21"/>
                <w:szCs w:val="21"/>
              </w:rPr>
              <w:t xml:space="preserve">Your job is not to </w:t>
            </w:r>
            <w:r>
              <w:rPr>
                <w:rFonts w:ascii="Inter" w:cs="Inter" w:eastAsia="Inter" w:hAnsi="Inter"/>
                <w:b w:val="false"/>
                <w:bCs w:val="false"/>
                <w:i/>
                <w:iCs/>
                <w:caps w:val="false"/>
                <w:color w:val="303A46"/>
                <w:sz w:val="21"/>
                <w:szCs w:val="21"/>
              </w:rPr>
              <w:t xml:space="preserve">win the argument</w:t>
            </w:r>
            <w:r>
              <w:rPr>
                <w:rFonts w:ascii="Inter" w:cs="Inter" w:eastAsia="Inter" w:hAnsi="Inter"/>
                <w:b w:val="false"/>
                <w:bCs w:val="false"/>
                <w:i w:val="false"/>
                <w:iCs w:val="false"/>
                <w:caps w:val="false"/>
                <w:color w:val="303A46"/>
                <w:sz w:val="21"/>
                <w:szCs w:val="21"/>
              </w:rPr>
              <w:t xml:space="preserve"> in one visit — it is to </w:t>
            </w:r>
            <w:r>
              <w:rPr>
                <w:rFonts w:ascii="Inter SemiBold" w:cs="Inter SemiBold" w:eastAsia="Inter SemiBold" w:hAnsi="Inter SemiBold"/>
                <w:b/>
                <w:bCs/>
                <w:i w:val="false"/>
                <w:iCs w:val="false"/>
                <w:caps w:val="false"/>
                <w:color w:val="1B8A5A"/>
                <w:sz w:val="21"/>
                <w:szCs w:val="21"/>
              </w:rPr>
              <w:t xml:space="preserve">plant the seed and hand over the map.</w:t>
            </w:r>
          </w:p>
        </w:tc>
      </w:tr>
    </w:tbl>
    <w:p>
      <w:pPr>
        <w:spacing w:after="120"/>
      </w:pPr>
      <w:r>
        <w:rPr>
          <w:rFonts w:ascii="Inter" w:cs="Inter" w:eastAsia="Inter" w:hAnsi="Inter"/>
          <w:b w:val="false"/>
          <w:bCs w:val="false"/>
          <w:i w:val="false"/>
          <w:iCs w:val="false"/>
          <w:caps w:val="false"/>
          <w:color w:val="303A46"/>
          <w:sz w:val="2"/>
          <w:szCs w:val="2"/>
        </w:rPr>
        <w:t xml:space="preserve"/>
      </w:r>
    </w:p>
    <w:tbl>
      <w:tblPr>
        <w:tblW w:type="dxa" w:w="10026"/>
        <w:tblBorders>
          <w:top w:val="none" w:color="FFFFFF" w:sz="0"/>
          <w:left w:val="none" w:color="FFFFFF" w:sz="0"/>
          <w:bottom w:val="none" w:color="FFFFFF" w:sz="0"/>
          <w:right w:val="none" w:color="FFFFFF" w:sz="0"/>
          <w:insideH w:val="none" w:color="FFFFFF" w:sz="0"/>
          <w:insideV w:val="none" w:color="FFFFFF" w:sz="0"/>
        </w:tblBorders>
      </w:tblPr>
      <w:tblGrid>
        <w:gridCol w:w="3342"/>
        <w:gridCol w:w="3342"/>
        <w:gridCol w:w="3342"/>
      </w:tblGrid>
      <w:tr>
        <w:trPr>
          <w:cantSplit/>
        </w:trPr>
        <w:tc>
          <w:tcPr>
            <w:tcW w:type="dxa" w:w="3342"/>
            <w:tcBorders>
              <w:top w:val="none" w:color="FFFFFF" w:sz="0"/>
              <w:left w:val="single" w:color="FFFFFF" w:sz="8"/>
              <w:bottom w:val="none" w:color="FFFFFF" w:sz="0"/>
              <w:right w:val="single" w:color="FFFFFF" w:sz="8"/>
            </w:tcBorders>
            <w:shd w:fill="E1F0F3" w:color="auto" w:val="clear"/>
            <w:tcMar>
              <w:top w:type="dxa" w:w="120"/>
              <w:left w:type="dxa" w:w="120"/>
              <w:bottom w:type="dxa" w:w="120"/>
              <w:right w:type="dxa" w:w="120"/>
            </w:tcMar>
            <w:vAlign w:val="center"/>
          </w:tcPr>
          <w:p>
            <w:pPr>
              <w:spacing w:after="30" w:line="240"/>
              <w:jc w:val="center"/>
            </w:pPr>
            <w:r>
              <w:rPr>
                <w:rFonts w:ascii="Fraunces Black" w:cs="Fraunces Black" w:eastAsia="Fraunces Black" w:hAnsi="Fraunces Black"/>
                <w:b w:val="false"/>
                <w:bCs w:val="false"/>
                <w:i w:val="false"/>
                <w:iCs w:val="false"/>
                <w:caps w:val="false"/>
                <w:color w:val="157A8E"/>
                <w:sz w:val="34"/>
                <w:szCs w:val="34"/>
              </w:rPr>
              <w:t xml:space="preserve">~30 sec</w:t>
            </w:r>
          </w:p>
          <w:p>
            <w:pPr>
              <w:spacing w:after="0" w:line="220"/>
              <w:jc w:val="center"/>
            </w:pPr>
            <w:r>
              <w:rPr>
                <w:rFonts w:ascii="Inter SemiBold" w:cs="Inter SemiBold" w:eastAsia="Inter SemiBold" w:hAnsi="Inter SemiBold"/>
                <w:b w:val="false"/>
                <w:bCs w:val="false"/>
                <w:i w:val="false"/>
                <w:iCs w:val="false"/>
                <w:caps w:val="false"/>
                <w:color w:val="1F2937"/>
                <w:sz w:val="17"/>
                <w:szCs w:val="17"/>
              </w:rPr>
              <w:t xml:space="preserve">to deliver brief advice</w:t>
            </w:r>
          </w:p>
        </w:tc>
        <w:tc>
          <w:tcPr>
            <w:tcW w:type="dxa" w:w="3342"/>
            <w:tcBorders>
              <w:top w:val="none" w:color="FFFFFF" w:sz="0"/>
              <w:left w:val="single" w:color="FFFFFF" w:sz="8"/>
              <w:bottom w:val="none" w:color="FFFFFF" w:sz="0"/>
              <w:right w:val="single" w:color="FFFFFF" w:sz="8"/>
            </w:tcBorders>
            <w:shd w:fill="E7F4EC" w:color="auto" w:val="clear"/>
            <w:tcMar>
              <w:top w:type="dxa" w:w="120"/>
              <w:left w:type="dxa" w:w="120"/>
              <w:bottom w:type="dxa" w:w="120"/>
              <w:right w:type="dxa" w:w="120"/>
            </w:tcMar>
            <w:vAlign w:val="center"/>
          </w:tcPr>
          <w:p>
            <w:pPr>
              <w:spacing w:after="30" w:line="240"/>
              <w:jc w:val="center"/>
            </w:pPr>
            <w:r>
              <w:rPr>
                <w:rFonts w:ascii="Fraunces Black" w:cs="Fraunces Black" w:eastAsia="Fraunces Black" w:hAnsi="Fraunces Black"/>
                <w:b w:val="false"/>
                <w:bCs w:val="false"/>
                <w:i w:val="false"/>
                <w:iCs w:val="false"/>
                <w:caps w:val="false"/>
                <w:color w:val="1B8A5A"/>
                <w:sz w:val="34"/>
                <w:szCs w:val="34"/>
              </w:rPr>
              <w:t xml:space="preserve">≈ 40%</w:t>
            </w:r>
          </w:p>
          <w:p>
            <w:pPr>
              <w:spacing w:after="0" w:line="220"/>
              <w:jc w:val="center"/>
            </w:pPr>
            <w:r>
              <w:rPr>
                <w:rFonts w:ascii="Inter SemiBold" w:cs="Inter SemiBold" w:eastAsia="Inter SemiBold" w:hAnsi="Inter SemiBold"/>
                <w:b w:val="false"/>
                <w:bCs w:val="false"/>
                <w:i w:val="false"/>
                <w:iCs w:val="false"/>
                <w:caps w:val="false"/>
                <w:color w:val="1F2937"/>
                <w:sz w:val="17"/>
                <w:szCs w:val="17"/>
              </w:rPr>
              <w:t xml:space="preserve">higher odds of quitting
with counselling</w:t>
            </w:r>
          </w:p>
        </w:tc>
        <w:tc>
          <w:tcPr>
            <w:tcW w:type="dxa" w:w="3342"/>
            <w:tcBorders>
              <w:top w:val="none" w:color="FFFFFF" w:sz="0"/>
              <w:left w:val="single" w:color="FFFFFF" w:sz="8"/>
              <w:bottom w:val="none" w:color="FFFFFF" w:sz="0"/>
              <w:right w:val="single" w:color="FFFFFF" w:sz="8"/>
            </w:tcBorders>
            <w:shd w:fill="FBEEDB" w:color="auto" w:val="clear"/>
            <w:tcMar>
              <w:top w:type="dxa" w:w="120"/>
              <w:left w:type="dxa" w:w="120"/>
              <w:bottom w:type="dxa" w:w="120"/>
              <w:right w:type="dxa" w:w="120"/>
            </w:tcMar>
            <w:vAlign w:val="center"/>
          </w:tcPr>
          <w:p>
            <w:pPr>
              <w:spacing w:after="30" w:line="240"/>
              <w:jc w:val="center"/>
            </w:pPr>
            <w:r>
              <w:rPr>
                <w:rFonts w:ascii="Fraunces Black" w:cs="Fraunces Black" w:eastAsia="Fraunces Black" w:hAnsi="Fraunces Black"/>
                <w:b w:val="false"/>
                <w:bCs w:val="false"/>
                <w:i w:val="false"/>
                <w:iCs w:val="false"/>
                <w:caps w:val="false"/>
                <w:color w:val="B8761A"/>
                <w:sz w:val="34"/>
                <w:szCs w:val="34"/>
              </w:rPr>
              <w:t xml:space="preserve">No extra harm</w:t>
            </w:r>
          </w:p>
          <w:p>
            <w:pPr>
              <w:spacing w:after="0" w:line="220"/>
              <w:jc w:val="center"/>
            </w:pPr>
            <w:r>
              <w:rPr>
                <w:rFonts w:ascii="Inter SemiBold" w:cs="Inter SemiBold" w:eastAsia="Inter SemiBold" w:hAnsi="Inter SemiBold"/>
                <w:b w:val="false"/>
                <w:bCs w:val="false"/>
                <w:i w:val="false"/>
                <w:iCs w:val="false"/>
                <w:caps w:val="false"/>
                <w:color w:val="1F2937"/>
                <w:sz w:val="17"/>
                <w:szCs w:val="17"/>
              </w:rPr>
              <w:t xml:space="preserve">behavioural support is safe</w:t>
            </w:r>
          </w:p>
        </w:tc>
      </w:tr>
    </w:tbl>
    <w:p>
      <w:pPr>
        <w:spacing w:after="60"/>
      </w:pPr>
      <w:r>
        <w:rPr>
          <w:rFonts w:ascii="Inter" w:cs="Inter" w:eastAsia="Inter" w:hAnsi="Inter"/>
          <w:b w:val="false"/>
          <w:bCs w:val="false"/>
          <w:i w:val="false"/>
          <w:iCs w:val="false"/>
          <w:caps w:val="false"/>
          <w:color w:val="303A46"/>
          <w:sz w:val="2"/>
          <w:szCs w:val="2"/>
        </w:rPr>
        <w:t xml:space="preserve"/>
      </w:r>
    </w:p>
    <w:p>
      <w:pPr>
        <w:keepNext/>
        <w:pBdr>
          <w:bottom w:val="single" w:color="E2661A" w:sz="10" w:space="4"/>
        </w:pBdr>
        <w:spacing w:after="140" w:before="260" w:line="280"/>
      </w:pPr>
      <w:r>
        <w:rPr>
          <w:rFonts w:ascii="Fraunces SemiBold" w:cs="Fraunces SemiBold" w:eastAsia="Fraunces SemiBold" w:hAnsi="Fraunces SemiBold"/>
          <w:b w:val="false"/>
          <w:bCs w:val="false"/>
          <w:i w:val="false"/>
          <w:iCs w:val="false"/>
          <w:caps w:val="false"/>
          <w:color w:val="157A8E"/>
          <w:sz w:val="27"/>
          <w:szCs w:val="27"/>
        </w:rPr>
        <w:t xml:space="preserve">Why bother in a busy clinic?</w:t>
      </w:r>
    </w:p>
    <w:p>
      <w:pPr>
        <w:pStyle w:val="ListParagraph"/>
        <w:numPr>
          <w:ilvl w:val="0"/>
          <w:numId w:val="2"/>
        </w:numPr>
        <w:spacing w:after="70" w:line="258"/>
      </w:pPr>
      <w:r>
        <w:rPr>
          <w:rFonts w:ascii="Inter" w:cs="Inter" w:eastAsia="Inter" w:hAnsi="Inter"/>
          <w:b w:val="false"/>
          <w:bCs w:val="false"/>
          <w:i w:val="false"/>
          <w:iCs w:val="false"/>
          <w:caps w:val="false"/>
          <w:color w:val="303A46"/>
          <w:sz w:val="21"/>
          <w:szCs w:val="21"/>
        </w:rPr>
        <w:t xml:space="preserve">Smoking is the single biggest preventable cause of illness and early death in the UK.</w:t>
      </w:r>
      <w:r>
        <w:rPr>
          <w:rFonts w:ascii="Inter" w:cs="Inter" w:eastAsia="Inter" w:hAnsi="Inter"/>
          <w:b w:val="false"/>
          <w:bCs w:val="false"/>
          <w:i/>
          <w:iCs/>
          <w:caps w:val="false"/>
          <w:color w:val="5B6573"/>
          <w:sz w:val="16"/>
          <w:szCs w:val="16"/>
        </w:rPr>
        <w:t xml:space="preserve">  NICE NG209</w:t>
      </w:r>
    </w:p>
    <w:p>
      <w:pPr>
        <w:pStyle w:val="ListParagraph"/>
        <w:numPr>
          <w:ilvl w:val="0"/>
          <w:numId w:val="2"/>
        </w:numPr>
        <w:spacing w:after="70" w:line="258"/>
      </w:pPr>
      <w:r>
        <w:rPr>
          <w:rFonts w:ascii="Inter" w:cs="Inter" w:eastAsia="Inter" w:hAnsi="Inter"/>
          <w:b w:val="false"/>
          <w:bCs w:val="false"/>
          <w:i w:val="false"/>
          <w:iCs w:val="false"/>
          <w:caps w:val="false"/>
          <w:color w:val="303A46"/>
          <w:sz w:val="21"/>
          <w:szCs w:val="21"/>
        </w:rPr>
        <w:t xml:space="preserve">Stopping smoking </w:t>
      </w:r>
      <w:r>
        <w:rPr>
          <w:rFonts w:ascii="Inter SemiBold" w:cs="Inter SemiBold" w:eastAsia="Inter SemiBold" w:hAnsi="Inter SemiBold"/>
          <w:b/>
          <w:bCs/>
          <w:i w:val="false"/>
          <w:iCs w:val="false"/>
          <w:caps w:val="false"/>
          <w:color w:val="1F2937"/>
          <w:sz w:val="21"/>
          <w:szCs w:val="21"/>
        </w:rPr>
        <w:t xml:space="preserve">at any age</w:t>
      </w:r>
      <w:r>
        <w:rPr>
          <w:rFonts w:ascii="Inter" w:cs="Inter" w:eastAsia="Inter" w:hAnsi="Inter"/>
          <w:b w:val="false"/>
          <w:bCs w:val="false"/>
          <w:i w:val="false"/>
          <w:iCs w:val="false"/>
          <w:caps w:val="false"/>
          <w:color w:val="303A46"/>
          <w:sz w:val="21"/>
          <w:szCs w:val="21"/>
        </w:rPr>
        <w:t xml:space="preserve"> reverses much of the damage — the body starts to recover within days.</w:t>
      </w:r>
    </w:p>
    <w:p>
      <w:pPr>
        <w:pStyle w:val="ListParagraph"/>
        <w:numPr>
          <w:ilvl w:val="0"/>
          <w:numId w:val="2"/>
        </w:numPr>
        <w:spacing w:after="70" w:line="258"/>
      </w:pPr>
      <w:r>
        <w:rPr>
          <w:rFonts w:ascii="Inter" w:cs="Inter" w:eastAsia="Inter" w:hAnsi="Inter"/>
          <w:b w:val="false"/>
          <w:bCs w:val="false"/>
          <w:i w:val="false"/>
          <w:iCs w:val="false"/>
          <w:caps w:val="false"/>
          <w:color w:val="303A46"/>
          <w:sz w:val="21"/>
          <w:szCs w:val="21"/>
        </w:rPr>
        <w:t xml:space="preserve">Brief, opportunistic advice from a clinician reliably increases quit attempts — and it costs almost nothing.</w:t>
      </w:r>
      <w:r>
        <w:rPr>
          <w:rFonts w:ascii="Inter" w:cs="Inter" w:eastAsia="Inter" w:hAnsi="Inter"/>
          <w:b w:val="false"/>
          <w:bCs w:val="false"/>
          <w:i/>
          <w:iCs/>
          <w:caps w:val="false"/>
          <w:color w:val="5B6573"/>
          <w:sz w:val="16"/>
          <w:szCs w:val="16"/>
        </w:rPr>
        <w:t xml:space="preserve">  NCSCT; Cochrane 2021</w:t>
      </w:r>
    </w:p>
    <w:p>
      <w:pPr>
        <w:keepNext/>
        <w:pBdr>
          <w:bottom w:val="single" w:color="E2661A" w:sz="10" w:space="4"/>
        </w:pBdr>
        <w:spacing w:after="140" w:before="260" w:line="280"/>
      </w:pPr>
      <w:r>
        <w:rPr>
          <w:rFonts w:ascii="Fraunces SemiBold" w:cs="Fraunces SemiBold" w:eastAsia="Fraunces SemiBold" w:hAnsi="Fraunces SemiBold"/>
          <w:b w:val="false"/>
          <w:bCs w:val="false"/>
          <w:i w:val="false"/>
          <w:iCs w:val="false"/>
          <w:caps w:val="false"/>
          <w:color w:val="157A8E"/>
          <w:sz w:val="27"/>
          <w:szCs w:val="27"/>
        </w:rPr>
        <w:t xml:space="preserve">Your core tool: the 3 A’s</w:t>
      </w:r>
    </w:p>
    <w:p>
      <w:pPr>
        <w:spacing w:after="80" w:before="0" w:line="264"/>
      </w:pPr>
      <w:r>
        <w:rPr>
          <w:rFonts w:ascii="Inter" w:cs="Inter" w:eastAsia="Inter" w:hAnsi="Inter"/>
          <w:b w:val="false"/>
          <w:bCs w:val="false"/>
          <w:i w:val="false"/>
          <w:iCs w:val="false"/>
          <w:caps w:val="false"/>
          <w:color w:val="303A46"/>
          <w:sz w:val="21"/>
          <w:szCs w:val="21"/>
        </w:rPr>
        <w:t xml:space="preserve">Almost everything you do for smoking fits into </w:t>
      </w:r>
      <w:r>
        <w:rPr>
          <w:rFonts w:ascii="Inter SemiBold" w:cs="Inter SemiBold" w:eastAsia="Inter SemiBold" w:hAnsi="Inter SemiBold"/>
          <w:b/>
          <w:bCs/>
          <w:i w:val="false"/>
          <w:iCs w:val="false"/>
          <w:caps w:val="false"/>
          <w:color w:val="1F2937"/>
          <w:sz w:val="21"/>
          <w:szCs w:val="21"/>
        </w:rPr>
        <w:t xml:space="preserve">three simple steps</w:t>
      </w:r>
      <w:r>
        <w:rPr>
          <w:rFonts w:ascii="Inter" w:cs="Inter" w:eastAsia="Inter" w:hAnsi="Inter"/>
          <w:b w:val="false"/>
          <w:bCs w:val="false"/>
          <w:i w:val="false"/>
          <w:iCs w:val="false"/>
          <w:caps w:val="false"/>
          <w:color w:val="303A46"/>
          <w:sz w:val="21"/>
          <w:szCs w:val="21"/>
        </w:rPr>
        <w:t xml:space="preserve"> — known as Very Brief Advice (VBA). Memorise these three words and you have the whole model:</w:t>
      </w:r>
    </w:p>
    <w:p>
      <w:pPr>
        <w:spacing w:after="60" w:before="60"/>
        <w:jc w:val="center"/>
      </w:pPr>
      <w:r>
        <w:drawing>
          <wp:inline distT="0" distB="0" distL="0" distR="0">
            <wp:extent cx="6286500" cy="1771650"/>
            <wp:effectExtent t="0" r="0" b="0" l="0"/>
            <wp:docPr id="1" name="diagram" descr="teaching diagram" title="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6286500" cy="1771650"/>
                    </a:xfrm>
                    <a:prstGeom prst="rect">
                      <a:avLst/>
                    </a:prstGeom>
                  </pic:spPr>
                </pic:pic>
              </a:graphicData>
            </a:graphic>
          </wp:inline>
        </w:drawing>
      </w:r>
    </w:p>
    <w:p>
      <w:pPr>
        <w:spacing w:after="140" w:before="60" w:line="240"/>
        <w:jc w:val="center"/>
      </w:pPr>
      <w:r>
        <w:rPr>
          <w:rFonts w:ascii="Inter" w:cs="Inter" w:eastAsia="Inter" w:hAnsi="Inter"/>
          <w:b w:val="false"/>
          <w:bCs w:val="false"/>
          <w:i/>
          <w:iCs/>
          <w:caps w:val="false"/>
          <w:color w:val="5B6573"/>
          <w:sz w:val="18"/>
          <w:szCs w:val="18"/>
        </w:rPr>
        <w:t xml:space="preserve">The 3 A’s — Ask, Advise, Act. A 30-second routine you can repeat in almost any consultation.</w:t>
      </w:r>
    </w:p>
    <w:p>
      <w:pPr>
        <w:keepNext/>
        <w:pBdr>
          <w:bottom w:val="single" w:color="E2661A" w:sz="10" w:space="4"/>
        </w:pBdr>
        <w:spacing w:after="140" w:before="260" w:line="280"/>
      </w:pPr>
      <w:r>
        <w:rPr>
          <w:rFonts w:ascii="Fraunces SemiBold" w:cs="Fraunces SemiBold" w:eastAsia="Fraunces SemiBold" w:hAnsi="Fraunces SemiBold"/>
          <w:b w:val="false"/>
          <w:bCs w:val="false"/>
          <w:i w:val="false"/>
          <w:iCs w:val="false"/>
          <w:caps w:val="false"/>
          <w:color w:val="157A8E"/>
          <w:sz w:val="27"/>
          <w:szCs w:val="27"/>
        </w:rPr>
        <w:t xml:space="preserve">The 3 A’s in practice</w:t>
      </w:r>
    </w:p>
    <w:tbl>
      <w:tblPr>
        <w:tblW w:type="dxa" w:w="10026"/>
        <w:tblBorders>
          <w:top w:val="none" w:color="FFFFFF" w:sz="0"/>
          <w:left w:val="none" w:color="FFFFFF" w:sz="0"/>
          <w:bottom w:val="none" w:color="FFFFFF" w:sz="0"/>
          <w:right w:val="none" w:color="FFFFFF" w:sz="0"/>
          <w:insideH w:val="none" w:color="FFFFFF" w:sz="0"/>
          <w:insideV w:val="none" w:color="FFFFFF" w:sz="0"/>
        </w:tblBorders>
      </w:tblPr>
      <w:tblGrid>
        <w:gridCol w:w="10026"/>
      </w:tblGrid>
      <w:tr>
        <w:trPr>
          <w:cantSplit/>
        </w:trPr>
        <w:tc>
          <w:tcPr>
            <w:tcW w:type="dxa" w:w="10026"/>
            <w:tcBorders>
              <w:top w:val="none" w:color="FFFFFF" w:sz="0"/>
              <w:left w:val="single" w:color="157A8E" w:sz="30" w:space="0"/>
              <w:bottom w:val="none" w:color="FFFFFF" w:sz="0"/>
              <w:right w:val="none" w:color="FFFFFF" w:sz="0"/>
            </w:tcBorders>
            <w:shd w:fill="E1F0F3" w:color="auto" w:val="clear"/>
            <w:tcMar>
              <w:top w:type="dxa" w:w="130"/>
              <w:left w:type="dxa" w:w="200"/>
              <w:bottom w:type="dxa" w:w="130"/>
              <w:right w:type="dxa" w:w="170"/>
            </w:tcMar>
          </w:tcPr>
          <w:p>
            <w:pPr>
              <w:spacing w:after="70" w:line="248"/>
            </w:pPr>
            <w:r>
              <w:rPr>
                <w:rFonts w:ascii="Inter" w:cs="Inter" w:eastAsia="Inter" w:hAnsi="Inter"/>
                <w:b/>
                <w:bCs/>
                <w:i w:val="false"/>
                <w:iCs w:val="false"/>
                <w:caps w:val="false"/>
                <w:color w:val="157A8E"/>
                <w:sz w:val="21"/>
                <w:szCs w:val="21"/>
              </w:rPr>
              <w:t xml:space="preserve"/>
            </w:r>
            <w:r>
              <w:rPr>
                <w:rFonts w:ascii="Inter ExtraBold" w:cs="Inter ExtraBold" w:eastAsia="Inter ExtraBold" w:hAnsi="Inter ExtraBold"/>
                <w:b w:val="false"/>
                <w:bCs w:val="false"/>
                <w:i w:val="false"/>
                <w:iCs w:val="false"/>
                <w:caps w:val="false"/>
                <w:color w:val="157A8E"/>
                <w:sz w:val="21"/>
                <w:szCs w:val="21"/>
              </w:rPr>
              <w:t xml:space="preserve">1 · ASK — and record it</w:t>
            </w:r>
          </w:p>
          <w:p>
            <w:pPr>
              <w:spacing w:after="60" w:line="256"/>
            </w:pPr>
            <w:r>
              <w:rPr>
                <w:rFonts w:ascii="Inter SemiBold" w:cs="Inter SemiBold" w:eastAsia="Inter SemiBold" w:hAnsi="Inter SemiBold"/>
                <w:b/>
                <w:bCs/>
                <w:i w:val="false"/>
                <w:iCs w:val="false"/>
                <w:caps w:val="false"/>
                <w:color w:val="1F2937"/>
                <w:sz w:val="21"/>
                <w:szCs w:val="21"/>
              </w:rPr>
              <w:t xml:space="preserve">Ask every patient about tobacco, and record the answer. </w:t>
            </w:r>
            <w:r>
              <w:rPr>
                <w:rFonts w:ascii="Inter" w:cs="Inter" w:eastAsia="Inter" w:hAnsi="Inter"/>
                <w:b w:val="false"/>
                <w:bCs w:val="false"/>
                <w:i w:val="false"/>
                <w:iCs w:val="false"/>
                <w:caps w:val="false"/>
                <w:color w:val="303A46"/>
                <w:sz w:val="21"/>
                <w:szCs w:val="21"/>
              </w:rPr>
              <w:t xml:space="preserve">You </w:t>
            </w:r>
            <w:r>
              <w:rPr>
                <w:rFonts w:ascii="Inter" w:cs="Inter" w:eastAsia="Inter" w:hAnsi="Inter"/>
                <w:b/>
                <w:bCs/>
                <w:i/>
                <w:iCs/>
                <w:caps w:val="false"/>
                <w:color w:val="157A8E"/>
                <w:sz w:val="21"/>
                <w:szCs w:val="21"/>
              </w:rPr>
              <w:t xml:space="preserve">must</w:t>
            </w:r>
            <w:r>
              <w:rPr>
                <w:rFonts w:ascii="Inter" w:cs="Inter" w:eastAsia="Inter" w:hAnsi="Inter"/>
                <w:b w:val="false"/>
                <w:bCs w:val="false"/>
                <w:i w:val="false"/>
                <w:iCs w:val="false"/>
                <w:caps w:val="false"/>
                <w:color w:val="303A46"/>
                <w:sz w:val="21"/>
                <w:szCs w:val="21"/>
              </w:rPr>
              <w:t xml:space="preserve"> ask at every suitable opportunity, not just when smoking is the reason for the visit.</w:t>
            </w:r>
          </w:p>
          <w:p>
            <w:pPr>
              <w:spacing w:after="60" w:line="256"/>
            </w:pPr>
            <w:r>
              <w:rPr>
                <w:rFonts w:ascii="Inter" w:cs="Inter" w:eastAsia="Inter" w:hAnsi="Inter"/>
                <w:b w:val="false"/>
                <w:bCs w:val="false"/>
                <w:i w:val="false"/>
                <w:iCs w:val="false"/>
                <w:caps w:val="false"/>
                <w:color w:val="303A46"/>
                <w:sz w:val="21"/>
                <w:szCs w:val="21"/>
              </w:rPr>
              <w:t xml:space="preserve">Try: </w:t>
            </w:r>
            <w:r>
              <w:rPr>
                <w:rFonts w:ascii="Inter" w:cs="Inter" w:eastAsia="Inter" w:hAnsi="Inter"/>
                <w:b w:val="false"/>
                <w:bCs w:val="false"/>
                <w:i/>
                <w:iCs/>
                <w:caps w:val="false"/>
                <w:color w:val="1F2937"/>
                <w:sz w:val="21"/>
                <w:szCs w:val="21"/>
              </w:rPr>
              <w:t xml:space="preserve">“Do you smoke at all?”</w:t>
            </w:r>
            <w:r>
              <w:rPr>
                <w:rFonts w:ascii="Inter" w:cs="Inter" w:eastAsia="Inter" w:hAnsi="Inter"/>
                <w:b w:val="false"/>
                <w:bCs w:val="false"/>
                <w:i w:val="false"/>
                <w:iCs w:val="false"/>
                <w:caps w:val="false"/>
                <w:color w:val="303A46"/>
                <w:sz w:val="21"/>
                <w:szCs w:val="21"/>
              </w:rPr>
              <w:t xml:space="preserve">  or  </w:t>
            </w:r>
            <w:r>
              <w:rPr>
                <w:rFonts w:ascii="Inter" w:cs="Inter" w:eastAsia="Inter" w:hAnsi="Inter"/>
                <w:b w:val="false"/>
                <w:bCs w:val="false"/>
                <w:i/>
                <w:iCs/>
                <w:caps w:val="false"/>
                <w:color w:val="1F2937"/>
                <w:sz w:val="21"/>
                <w:szCs w:val="21"/>
              </w:rPr>
              <w:t xml:space="preserve">“Have you used any tobacco in the last year?”</w:t>
            </w:r>
          </w:p>
          <w:p>
            <w:pPr>
              <w:spacing w:after="0" w:line="256"/>
            </w:pPr>
            <w:r>
              <w:rPr>
                <w:rFonts w:ascii="Inter" w:cs="Inter" w:eastAsia="Inter" w:hAnsi="Inter"/>
                <w:b w:val="false"/>
                <w:bCs w:val="false"/>
                <w:i/>
                <w:iCs/>
                <w:caps w:val="false"/>
                <w:color w:val="5B6573"/>
                <w:sz w:val="16"/>
                <w:szCs w:val="16"/>
              </w:rPr>
              <w:t xml:space="preserve">  NICE NG209 rec 1.11.1 &amp; 1.11.6</w:t>
            </w:r>
          </w:p>
        </w:tc>
      </w:tr>
    </w:tbl>
    <w:p>
      <w:pPr>
        <w:spacing w:after="90"/>
      </w:pPr>
      <w:r>
        <w:rPr>
          <w:rFonts w:ascii="Inter" w:cs="Inter" w:eastAsia="Inter" w:hAnsi="Inter"/>
          <w:b w:val="false"/>
          <w:bCs w:val="false"/>
          <w:i w:val="false"/>
          <w:iCs w:val="false"/>
          <w:caps w:val="false"/>
          <w:color w:val="303A46"/>
          <w:sz w:val="2"/>
          <w:szCs w:val="2"/>
        </w:rPr>
        <w:t xml:space="preserve"/>
      </w:r>
    </w:p>
    <w:tbl>
      <w:tblPr>
        <w:tblW w:type="dxa" w:w="10026"/>
        <w:tblBorders>
          <w:top w:val="none" w:color="FFFFFF" w:sz="0"/>
          <w:left w:val="none" w:color="FFFFFF" w:sz="0"/>
          <w:bottom w:val="none" w:color="FFFFFF" w:sz="0"/>
          <w:right w:val="none" w:color="FFFFFF" w:sz="0"/>
          <w:insideH w:val="none" w:color="FFFFFF" w:sz="0"/>
          <w:insideV w:val="none" w:color="FFFFFF" w:sz="0"/>
        </w:tblBorders>
      </w:tblPr>
      <w:tblGrid>
        <w:gridCol w:w="10026"/>
      </w:tblGrid>
      <w:tr>
        <w:trPr>
          <w:cantSplit/>
        </w:trPr>
        <w:tc>
          <w:tcPr>
            <w:tcW w:type="dxa" w:w="10026"/>
            <w:tcBorders>
              <w:top w:val="none" w:color="FFFFFF" w:sz="0"/>
              <w:left w:val="single" w:color="E2661A" w:sz="30" w:space="0"/>
              <w:bottom w:val="none" w:color="FFFFFF" w:sz="0"/>
              <w:right w:val="none" w:color="FFFFFF" w:sz="0"/>
            </w:tcBorders>
            <w:shd w:fill="FBEEDB" w:color="auto" w:val="clear"/>
            <w:tcMar>
              <w:top w:type="dxa" w:w="130"/>
              <w:left w:type="dxa" w:w="200"/>
              <w:bottom w:type="dxa" w:w="130"/>
              <w:right w:type="dxa" w:w="170"/>
            </w:tcMar>
          </w:tcPr>
          <w:p>
            <w:pPr>
              <w:spacing w:after="70" w:line="248"/>
            </w:pPr>
            <w:r>
              <w:rPr>
                <w:rFonts w:ascii="Inter" w:cs="Inter" w:eastAsia="Inter" w:hAnsi="Inter"/>
                <w:b/>
                <w:bCs/>
                <w:i w:val="false"/>
                <w:iCs w:val="false"/>
                <w:caps w:val="false"/>
                <w:color w:val="E2661A"/>
                <w:sz w:val="21"/>
                <w:szCs w:val="21"/>
              </w:rPr>
              <w:t xml:space="preserve"/>
            </w:r>
            <w:r>
              <w:rPr>
                <w:rFonts w:ascii="Inter ExtraBold" w:cs="Inter ExtraBold" w:eastAsia="Inter ExtraBold" w:hAnsi="Inter ExtraBold"/>
                <w:b w:val="false"/>
                <w:bCs w:val="false"/>
                <w:i w:val="false"/>
                <w:iCs w:val="false"/>
                <w:caps w:val="false"/>
                <w:color w:val="E2661A"/>
                <w:sz w:val="21"/>
                <w:szCs w:val="21"/>
              </w:rPr>
              <w:t xml:space="preserve">2 · ADVISE — the best route, not a lecture</w:t>
            </w:r>
          </w:p>
          <w:p>
            <w:pPr>
              <w:spacing w:after="60" w:line="256"/>
            </w:pPr>
            <w:r>
              <w:rPr>
                <w:rFonts w:ascii="Inter SemiBold" w:cs="Inter SemiBold" w:eastAsia="Inter SemiBold" w:hAnsi="Inter SemiBold"/>
                <w:b/>
                <w:bCs/>
                <w:i w:val="false"/>
                <w:iCs w:val="false"/>
                <w:caps w:val="false"/>
                <w:color w:val="1F2937"/>
                <w:sz w:val="21"/>
                <w:szCs w:val="21"/>
              </w:rPr>
              <w:t xml:space="preserve">Don’t nag or judge. </w:t>
            </w:r>
            <w:r>
              <w:rPr>
                <w:rFonts w:ascii="Inter" w:cs="Inter" w:eastAsia="Inter" w:hAnsi="Inter"/>
                <w:b w:val="false"/>
                <w:bCs w:val="false"/>
                <w:i w:val="false"/>
                <w:iCs w:val="false"/>
                <w:caps w:val="false"/>
                <w:color w:val="303A46"/>
                <w:sz w:val="21"/>
                <w:szCs w:val="21"/>
              </w:rPr>
              <w:t xml:space="preserve">Calmly advise the </w:t>
            </w:r>
            <w:r>
              <w:rPr>
                <w:rFonts w:ascii="Inter" w:cs="Inter" w:eastAsia="Inter" w:hAnsi="Inter"/>
                <w:b/>
                <w:bCs/>
                <w:i/>
                <w:iCs/>
                <w:caps w:val="false"/>
                <w:color w:val="E2661A"/>
                <w:sz w:val="21"/>
                <w:szCs w:val="21"/>
              </w:rPr>
              <w:t xml:space="preserve">best way</w:t>
            </w:r>
            <w:r>
              <w:rPr>
                <w:rFonts w:ascii="Inter" w:cs="Inter" w:eastAsia="Inter" w:hAnsi="Inter"/>
                <w:b w:val="false"/>
                <w:bCs w:val="false"/>
                <w:i w:val="false"/>
                <w:iCs w:val="false"/>
                <w:caps w:val="false"/>
                <w:color w:val="303A46"/>
                <w:sz w:val="21"/>
                <w:szCs w:val="21"/>
              </w:rPr>
              <w:t xml:space="preserve"> to quit: stopping in one go, using </w:t>
            </w:r>
            <w:r>
              <w:rPr>
                <w:rFonts w:ascii="Inter SemiBold" w:cs="Inter SemiBold" w:eastAsia="Inter SemiBold" w:hAnsi="Inter SemiBold"/>
                <w:b/>
                <w:bCs/>
                <w:i w:val="false"/>
                <w:iCs w:val="false"/>
                <w:caps w:val="false"/>
                <w:color w:val="1F2937"/>
                <w:sz w:val="21"/>
                <w:szCs w:val="21"/>
              </w:rPr>
              <w:t xml:space="preserve">medication plus behavioural support together.</w:t>
            </w:r>
          </w:p>
          <w:p>
            <w:pPr>
              <w:spacing w:after="60" w:line="256"/>
            </w:pPr>
            <w:r>
              <w:rPr>
                <w:rFonts w:ascii="Inter" w:cs="Inter" w:eastAsia="Inter" w:hAnsi="Inter"/>
                <w:b w:val="false"/>
                <w:bCs w:val="false"/>
                <w:i w:val="false"/>
                <w:iCs w:val="false"/>
                <w:caps w:val="false"/>
                <w:color w:val="303A46"/>
                <w:sz w:val="21"/>
                <w:szCs w:val="21"/>
              </w:rPr>
              <w:t xml:space="preserve">Say something like: </w:t>
            </w:r>
            <w:r>
              <w:rPr>
                <w:rFonts w:ascii="Inter" w:cs="Inter" w:eastAsia="Inter" w:hAnsi="Inter"/>
                <w:b w:val="false"/>
                <w:bCs w:val="false"/>
                <w:i/>
                <w:iCs/>
                <w:caps w:val="false"/>
                <w:color w:val="1F2937"/>
                <w:sz w:val="21"/>
                <w:szCs w:val="21"/>
              </w:rPr>
              <w:t xml:space="preserve">“The best way to stop is with a combination of treatment and support — and I can set that up for you today.”</w:t>
            </w:r>
          </w:p>
          <w:p>
            <w:pPr>
              <w:spacing w:after="0" w:line="256"/>
            </w:pPr>
            <w:r>
              <w:rPr>
                <w:rFonts w:ascii="Inter" w:cs="Inter" w:eastAsia="Inter" w:hAnsi="Inter"/>
                <w:b w:val="false"/>
                <w:bCs w:val="false"/>
                <w:i/>
                <w:iCs/>
                <w:caps w:val="false"/>
                <w:color w:val="5B6573"/>
                <w:sz w:val="16"/>
                <w:szCs w:val="16"/>
              </w:rPr>
              <w:t xml:space="preserve">  NICE NG209 rec 1.11.2, 1.12.6 &amp; 1.12.8</w:t>
            </w:r>
          </w:p>
        </w:tc>
      </w:tr>
    </w:tbl>
    <w:p>
      <w:pPr>
        <w:spacing w:after="90"/>
      </w:pPr>
      <w:r>
        <w:rPr>
          <w:rFonts w:ascii="Inter" w:cs="Inter" w:eastAsia="Inter" w:hAnsi="Inter"/>
          <w:b w:val="false"/>
          <w:bCs w:val="false"/>
          <w:i w:val="false"/>
          <w:iCs w:val="false"/>
          <w:caps w:val="false"/>
          <w:color w:val="303A46"/>
          <w:sz w:val="2"/>
          <w:szCs w:val="2"/>
        </w:rPr>
        <w:t xml:space="preserve"/>
      </w:r>
    </w:p>
    <w:tbl>
      <w:tblPr>
        <w:tblW w:type="dxa" w:w="10026"/>
        <w:tblBorders>
          <w:top w:val="none" w:color="FFFFFF" w:sz="0"/>
          <w:left w:val="none" w:color="FFFFFF" w:sz="0"/>
          <w:bottom w:val="none" w:color="FFFFFF" w:sz="0"/>
          <w:right w:val="none" w:color="FFFFFF" w:sz="0"/>
          <w:insideH w:val="none" w:color="FFFFFF" w:sz="0"/>
          <w:insideV w:val="none" w:color="FFFFFF" w:sz="0"/>
        </w:tblBorders>
      </w:tblPr>
      <w:tblGrid>
        <w:gridCol w:w="10026"/>
      </w:tblGrid>
      <w:tr>
        <w:trPr>
          <w:cantSplit/>
        </w:trPr>
        <w:tc>
          <w:tcPr>
            <w:tcW w:type="dxa" w:w="10026"/>
            <w:tcBorders>
              <w:top w:val="none" w:color="FFFFFF" w:sz="0"/>
              <w:left w:val="single" w:color="1B8A5A" w:sz="30" w:space="0"/>
              <w:bottom w:val="none" w:color="FFFFFF" w:sz="0"/>
              <w:right w:val="none" w:color="FFFFFF" w:sz="0"/>
            </w:tcBorders>
            <w:shd w:fill="E7F4EC" w:color="auto" w:val="clear"/>
            <w:tcMar>
              <w:top w:type="dxa" w:w="130"/>
              <w:left w:type="dxa" w:w="200"/>
              <w:bottom w:type="dxa" w:w="130"/>
              <w:right w:type="dxa" w:w="170"/>
            </w:tcMar>
          </w:tcPr>
          <w:p>
            <w:pPr>
              <w:spacing w:after="70" w:line="248"/>
            </w:pPr>
            <w:r>
              <w:rPr>
                <w:rFonts w:ascii="Inter" w:cs="Inter" w:eastAsia="Inter" w:hAnsi="Inter"/>
                <w:b/>
                <w:bCs/>
                <w:i w:val="false"/>
                <w:iCs w:val="false"/>
                <w:caps w:val="false"/>
                <w:color w:val="1B8A5A"/>
                <w:sz w:val="21"/>
                <w:szCs w:val="21"/>
              </w:rPr>
              <w:t xml:space="preserve"/>
            </w:r>
            <w:r>
              <w:rPr>
                <w:rFonts w:ascii="Inter ExtraBold" w:cs="Inter ExtraBold" w:eastAsia="Inter ExtraBold" w:hAnsi="Inter ExtraBold"/>
                <w:b w:val="false"/>
                <w:bCs w:val="false"/>
                <w:i w:val="false"/>
                <w:iCs w:val="false"/>
                <w:caps w:val="false"/>
                <w:color w:val="1B8A5A"/>
                <w:sz w:val="21"/>
                <w:szCs w:val="21"/>
              </w:rPr>
              <w:t xml:space="preserve">3 · ACT — offer help today</w:t>
            </w:r>
          </w:p>
          <w:p>
            <w:pPr>
              <w:spacing w:after="60" w:line="256"/>
            </w:pPr>
            <w:r>
              <w:rPr>
                <w:rFonts w:ascii="Inter" w:cs="Inter" w:eastAsia="Inter" w:hAnsi="Inter"/>
                <w:b w:val="false"/>
                <w:bCs w:val="false"/>
                <w:i w:val="false"/>
                <w:iCs w:val="false"/>
                <w:caps w:val="false"/>
                <w:color w:val="303A46"/>
                <w:sz w:val="21"/>
                <w:szCs w:val="21"/>
              </w:rPr>
              <w:t xml:space="preserve">Make an offer of help to everyone who smokes — </w:t>
            </w:r>
            <w:r>
              <w:rPr>
                <w:rFonts w:ascii="Inter SemiBold" w:cs="Inter SemiBold" w:eastAsia="Inter SemiBold" w:hAnsi="Inter SemiBold"/>
                <w:b/>
                <w:bCs/>
                <w:i w:val="false"/>
                <w:iCs w:val="false"/>
                <w:caps w:val="false"/>
                <w:color w:val="1B8A5A"/>
                <w:sz w:val="21"/>
                <w:szCs w:val="21"/>
              </w:rPr>
              <w:t xml:space="preserve">don’t wait for them to ask.</w:t>
            </w:r>
          </w:p>
          <w:p>
            <w:pPr>
              <w:spacing w:after="60" w:line="256"/>
            </w:pPr>
            <w:r>
              <w:rPr>
                <w:rFonts w:ascii="Inter" w:cs="Inter" w:eastAsia="Inter" w:hAnsi="Inter"/>
                <w:b w:val="false"/>
                <w:bCs w:val="false"/>
                <w:i w:val="false"/>
                <w:iCs w:val="false"/>
                <w:caps w:val="false"/>
                <w:color w:val="303A46"/>
                <w:sz w:val="21"/>
                <w:szCs w:val="21"/>
              </w:rPr>
              <w:t xml:space="preserve">Refer to your local stop-smoking support, start or arrange medication, and </w:t>
            </w:r>
            <w:r>
              <w:rPr>
                <w:rFonts w:ascii="Inter SemiBold" w:cs="Inter SemiBold" w:eastAsia="Inter SemiBold" w:hAnsi="Inter SemiBold"/>
                <w:b/>
                <w:bCs/>
                <w:i w:val="false"/>
                <w:iCs w:val="false"/>
                <w:caps w:val="false"/>
                <w:color w:val="1F2937"/>
                <w:sz w:val="21"/>
                <w:szCs w:val="21"/>
              </w:rPr>
              <w:t xml:space="preserve">book a follow-up.</w:t>
            </w:r>
            <w:r>
              <w:rPr>
                <w:rFonts w:ascii="Inter" w:cs="Inter" w:eastAsia="Inter" w:hAnsi="Inter"/>
                <w:b w:val="false"/>
                <w:bCs w:val="false"/>
                <w:i w:val="false"/>
                <w:iCs w:val="false"/>
                <w:caps w:val="false"/>
                <w:color w:val="303A46"/>
                <w:sz w:val="21"/>
                <w:szCs w:val="21"/>
              </w:rPr>
              <w:t xml:space="preserve"> If they decline, leave the offer open and ask again next time.</w:t>
            </w:r>
          </w:p>
          <w:p>
            <w:pPr>
              <w:spacing w:after="0" w:line="256"/>
            </w:pPr>
            <w:r>
              <w:rPr>
                <w:rFonts w:ascii="Inter" w:cs="Inter" w:eastAsia="Inter" w:hAnsi="Inter"/>
                <w:b w:val="false"/>
                <w:bCs w:val="false"/>
                <w:i/>
                <w:iCs/>
                <w:caps w:val="false"/>
                <w:color w:val="5B6573"/>
                <w:sz w:val="16"/>
                <w:szCs w:val="16"/>
              </w:rPr>
              <w:t xml:space="preserve">  NICE NG209 rec 1.12.1 &amp; 1.12.6; NCSCT VBA+</w:t>
            </w:r>
          </w:p>
        </w:tc>
      </w:tr>
    </w:tbl>
    <w:p>
      <w:pPr>
        <w:spacing w:after="110"/>
      </w:pPr>
      <w:r>
        <w:rPr>
          <w:rFonts w:ascii="Inter" w:cs="Inter" w:eastAsia="Inter" w:hAnsi="Inter"/>
          <w:b w:val="false"/>
          <w:bCs w:val="false"/>
          <w:i w:val="false"/>
          <w:iCs w:val="false"/>
          <w:caps w:val="false"/>
          <w:color w:val="303A46"/>
          <w:sz w:val="2"/>
          <w:szCs w:val="2"/>
        </w:rPr>
        <w:t xml:space="preserve"/>
      </w:r>
    </w:p>
    <w:tbl>
      <w:tblPr>
        <w:tblW w:type="dxa" w:w="10026"/>
        <w:tblBorders>
          <w:top w:val="none" w:color="FFFFFF" w:sz="0"/>
          <w:left w:val="none" w:color="FFFFFF" w:sz="0"/>
          <w:bottom w:val="none" w:color="FFFFFF" w:sz="0"/>
          <w:right w:val="none" w:color="FFFFFF" w:sz="0"/>
          <w:insideH w:val="none" w:color="FFFFFF" w:sz="0"/>
          <w:insideV w:val="none" w:color="FFFFFF" w:sz="0"/>
        </w:tblBorders>
      </w:tblPr>
      <w:tblGrid>
        <w:gridCol w:w="10026"/>
      </w:tblGrid>
      <w:tr>
        <w:trPr>
          <w:cantSplit/>
        </w:trPr>
        <w:tc>
          <w:tcPr>
            <w:tcW w:type="dxa" w:w="10026"/>
            <w:tcBorders>
              <w:top w:val="none" w:color="FFFFFF" w:sz="0"/>
              <w:left w:val="single" w:color="B8761A" w:sz="30" w:space="0"/>
              <w:bottom w:val="none" w:color="FFFFFF" w:sz="0"/>
              <w:right w:val="none" w:color="FFFFFF" w:sz="0"/>
            </w:tcBorders>
            <w:shd w:fill="FBEEDB" w:color="auto" w:val="clear"/>
            <w:tcMar>
              <w:top w:type="dxa" w:w="130"/>
              <w:left w:type="dxa" w:w="200"/>
              <w:bottom w:type="dxa" w:w="130"/>
              <w:right w:type="dxa" w:w="170"/>
            </w:tcMar>
          </w:tcPr>
          <w:p>
            <w:pPr>
              <w:spacing w:after="70" w:line="248"/>
            </w:pPr>
            <w:r>
              <w:rPr>
                <w:rFonts w:ascii="Inter" w:cs="Inter" w:eastAsia="Inter" w:hAnsi="Inter"/>
                <w:b/>
                <w:bCs/>
                <w:i w:val="false"/>
                <w:iCs w:val="false"/>
                <w:caps w:val="false"/>
                <w:color w:val="B8761A"/>
                <w:sz w:val="21"/>
                <w:szCs w:val="21"/>
              </w:rPr>
              <w:t xml:space="preserve">▲  </w:t>
            </w:r>
            <w:r>
              <w:rPr>
                <w:rFonts w:ascii="Inter ExtraBold" w:cs="Inter ExtraBold" w:eastAsia="Inter ExtraBold" w:hAnsi="Inter ExtraBold"/>
                <w:b w:val="false"/>
                <w:bCs w:val="false"/>
                <w:i w:val="false"/>
                <w:iCs w:val="false"/>
                <w:caps w:val="false"/>
                <w:color w:val="B8761A"/>
                <w:sz w:val="21"/>
                <w:szCs w:val="21"/>
              </w:rPr>
              <w:t xml:space="preserve">What’s changed from older teaching</w:t>
            </w:r>
          </w:p>
          <w:p>
            <w:pPr>
              <w:spacing w:after="60" w:line="256"/>
            </w:pPr>
            <w:r>
              <w:rPr>
                <w:rFonts w:ascii="Inter SemiBold" w:cs="Inter SemiBold" w:eastAsia="Inter SemiBold" w:hAnsi="Inter SemiBold"/>
                <w:b/>
                <w:bCs/>
                <w:i w:val="false"/>
                <w:iCs w:val="false"/>
                <w:caps w:val="false"/>
                <w:color w:val="B8761A"/>
                <w:sz w:val="21"/>
                <w:szCs w:val="21"/>
              </w:rPr>
              <w:t xml:space="preserve">Old habit: </w:t>
            </w:r>
            <w:r>
              <w:rPr>
                <w:rFonts w:ascii="Inter" w:cs="Inter" w:eastAsia="Inter" w:hAnsi="Inter"/>
                <w:b w:val="false"/>
                <w:bCs w:val="false"/>
                <w:i w:val="false"/>
                <w:iCs w:val="false"/>
                <w:caps w:val="false"/>
                <w:color w:val="303A46"/>
                <w:sz w:val="21"/>
                <w:szCs w:val="21"/>
              </w:rPr>
              <w:t xml:space="preserve">assess how “ready” or “motivated” the patient is before offering help.</w:t>
            </w:r>
          </w:p>
          <w:p>
            <w:pPr>
              <w:spacing w:after="0" w:line="256"/>
            </w:pPr>
            <w:r>
              <w:rPr>
                <w:rFonts w:ascii="Inter SemiBold" w:cs="Inter SemiBold" w:eastAsia="Inter SemiBold" w:hAnsi="Inter SemiBold"/>
                <w:b/>
                <w:bCs/>
                <w:i w:val="false"/>
                <w:iCs w:val="false"/>
                <w:caps w:val="false"/>
                <w:color w:val="B8761A"/>
                <w:sz w:val="21"/>
                <w:szCs w:val="21"/>
              </w:rPr>
              <w:t xml:space="preserve">Now: </w:t>
            </w:r>
            <w:r>
              <w:rPr>
                <w:rFonts w:ascii="Inter" w:cs="Inter" w:eastAsia="Inter" w:hAnsi="Inter"/>
                <w:b w:val="false"/>
                <w:bCs w:val="false"/>
                <w:i w:val="false"/>
                <w:iCs w:val="false"/>
                <w:caps w:val="false"/>
                <w:color w:val="303A46"/>
                <w:sz w:val="21"/>
                <w:szCs w:val="21"/>
              </w:rPr>
              <w:t xml:space="preserve">offer help to </w:t>
            </w:r>
            <w:r>
              <w:rPr>
                <w:rFonts w:ascii="Inter" w:cs="Inter" w:eastAsia="Inter" w:hAnsi="Inter"/>
                <w:b/>
                <w:bCs/>
                <w:i/>
                <w:iCs/>
                <w:caps w:val="false"/>
                <w:color w:val="1F2937"/>
                <w:sz w:val="21"/>
                <w:szCs w:val="21"/>
              </w:rPr>
              <w:t xml:space="preserve">everyone</w:t>
            </w:r>
            <w:r>
              <w:rPr>
                <w:rFonts w:ascii="Inter" w:cs="Inter" w:eastAsia="Inter" w:hAnsi="Inter"/>
                <w:b w:val="false"/>
                <w:bCs w:val="false"/>
                <w:i w:val="false"/>
                <w:iCs w:val="false"/>
                <w:caps w:val="false"/>
                <w:color w:val="303A46"/>
                <w:sz w:val="21"/>
                <w:szCs w:val="21"/>
              </w:rPr>
              <w:t xml:space="preserve">. Simply </w:t>
            </w:r>
            <w:r>
              <w:rPr>
                <w:rFonts w:ascii="Inter SemiBold" w:cs="Inter SemiBold" w:eastAsia="Inter SemiBold" w:hAnsi="Inter SemiBold"/>
                <w:b/>
                <w:bCs/>
                <w:i w:val="false"/>
                <w:iCs w:val="false"/>
                <w:caps w:val="false"/>
                <w:color w:val="1F2937"/>
                <w:sz w:val="21"/>
                <w:szCs w:val="21"/>
              </w:rPr>
              <w:t xml:space="preserve">offering assistance</w:t>
            </w:r>
            <w:r>
              <w:rPr>
                <w:rFonts w:ascii="Inter" w:cs="Inter" w:eastAsia="Inter" w:hAnsi="Inter"/>
                <w:b w:val="false"/>
                <w:bCs w:val="false"/>
                <w:i w:val="false"/>
                <w:iCs w:val="false"/>
                <w:caps w:val="false"/>
                <w:color w:val="303A46"/>
                <w:sz w:val="21"/>
                <w:szCs w:val="21"/>
              </w:rPr>
              <w:t xml:space="preserve"> triggers more quit attempts than advising people to stop. Do </w:t>
            </w:r>
            <w:r>
              <w:rPr>
                <w:rFonts w:ascii="Inter" w:cs="Inter" w:eastAsia="Inter" w:hAnsi="Inter"/>
                <w:b/>
                <w:bCs/>
                <w:i/>
                <w:iCs/>
                <w:caps w:val="false"/>
                <w:color w:val="C0392B"/>
                <w:sz w:val="21"/>
                <w:szCs w:val="21"/>
              </w:rPr>
              <w:t xml:space="preserve">not</w:t>
            </w:r>
            <w:r>
              <w:rPr>
                <w:rFonts w:ascii="Inter" w:cs="Inter" w:eastAsia="Inter" w:hAnsi="Inter"/>
                <w:b w:val="false"/>
                <w:bCs w:val="false"/>
                <w:i w:val="false"/>
                <w:iCs w:val="false"/>
                <w:caps w:val="false"/>
                <w:color w:val="303A46"/>
                <w:sz w:val="21"/>
                <w:szCs w:val="21"/>
              </w:rPr>
              <w:t xml:space="preserve"> make help conditional on the patient seeming motivated.</w:t>
            </w:r>
          </w:p>
        </w:tc>
      </w:tr>
    </w:tbl>
    <w:p>
      <w:pPr>
        <w:spacing w:after="150"/>
      </w:pPr>
      <w:r>
        <w:rPr>
          <w:rFonts w:ascii="Inter" w:cs="Inter" w:eastAsia="Inter" w:hAnsi="Inter"/>
          <w:b w:val="false"/>
          <w:bCs w:val="false"/>
          <w:i w:val="false"/>
          <w:iCs w:val="false"/>
          <w:caps w:val="false"/>
          <w:color w:val="303A46"/>
          <w:sz w:val="2"/>
          <w:szCs w:val="2"/>
        </w:rPr>
        <w:t xml:space="preserve"/>
      </w:r>
    </w:p>
    <w:p>
      <w:pPr>
        <w:keepNext/>
        <w:pBdr>
          <w:bottom w:val="single" w:color="E2661A" w:sz="10" w:space="4"/>
        </w:pBdr>
        <w:spacing w:after="140" w:before="300" w:line="280"/>
      </w:pPr>
      <w:r>
        <w:rPr>
          <w:rFonts w:ascii="Fraunces SemiBold" w:cs="Fraunces SemiBold" w:eastAsia="Fraunces SemiBold" w:hAnsi="Fraunces SemiBold"/>
          <w:b w:val="false"/>
          <w:bCs w:val="false"/>
          <w:i w:val="false"/>
          <w:iCs w:val="false"/>
          <w:caps w:val="false"/>
          <w:color w:val="157A8E"/>
          <w:sz w:val="27"/>
          <w:szCs w:val="27"/>
        </w:rPr>
        <w:t xml:space="preserve">What actually works — the evidence</w:t>
      </w:r>
    </w:p>
    <w:p>
      <w:pPr>
        <w:spacing w:after="90" w:before="0" w:line="264"/>
      </w:pPr>
      <w:r>
        <w:rPr>
          <w:rFonts w:ascii="Inter" w:cs="Inter" w:eastAsia="Inter" w:hAnsi="Inter"/>
          <w:b w:val="false"/>
          <w:bCs w:val="false"/>
          <w:i w:val="false"/>
          <w:iCs w:val="false"/>
          <w:caps w:val="false"/>
          <w:color w:val="303A46"/>
          <w:sz w:val="21"/>
          <w:szCs w:val="21"/>
        </w:rPr>
        <w:t xml:space="preserve">A large Cochrane review pooled 312 trials in over 250,000 people. </w:t>
      </w:r>
      <w:r>
        <w:rPr>
          <w:rFonts w:ascii="Inter" w:cs="Inter" w:eastAsia="Inter" w:hAnsi="Inter"/>
          <w:b w:val="false"/>
          <w:bCs w:val="false"/>
          <w:i w:val="false"/>
          <w:iCs w:val="false"/>
          <w:caps w:val="false"/>
          <w:color w:val="303A46"/>
          <w:sz w:val="21"/>
          <w:szCs w:val="21"/>
        </w:rPr>
        <w:t xml:space="preserve">Here is what it found, sorted by how strong the evidence is:</w:t>
      </w:r>
      <w:r>
        <w:rPr>
          <w:rFonts w:ascii="Inter" w:cs="Inter" w:eastAsia="Inter" w:hAnsi="Inter"/>
          <w:b w:val="false"/>
          <w:bCs w:val="false"/>
          <w:i/>
          <w:iCs/>
          <w:caps w:val="false"/>
          <w:color w:val="5B6573"/>
          <w:sz w:val="16"/>
          <w:szCs w:val="16"/>
        </w:rPr>
        <w:t xml:space="preserve">  Cochrane 2021, CD013229</w:t>
      </w:r>
    </w:p>
    <w:p>
      <w:pPr>
        <w:spacing w:after="60" w:before="60"/>
        <w:jc w:val="center"/>
      </w:pPr>
      <w:r>
        <w:drawing>
          <wp:inline distT="0" distB="0" distL="0" distR="0">
            <wp:extent cx="6286500" cy="2752725"/>
            <wp:effectExtent t="0" r="0" b="0" l="0"/>
            <wp:docPr id="1" name="diagram" descr="teaching diagram" title="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6286500" cy="2752725"/>
                    </a:xfrm>
                    <a:prstGeom prst="rect">
                      <a:avLst/>
                    </a:prstGeom>
                  </pic:spPr>
                </pic:pic>
              </a:graphicData>
            </a:graphic>
          </wp:inline>
        </w:drawing>
      </w:r>
    </w:p>
    <w:p>
      <w:pPr>
        <w:spacing w:after="140" w:before="60" w:line="240"/>
        <w:jc w:val="center"/>
      </w:pPr>
      <w:r>
        <w:rPr>
          <w:rFonts w:ascii="Inter" w:cs="Inter" w:eastAsia="Inter" w:hAnsi="Inter"/>
          <w:b w:val="false"/>
          <w:bCs w:val="false"/>
          <w:i/>
          <w:iCs/>
          <w:caps w:val="false"/>
          <w:color w:val="5B6573"/>
          <w:sz w:val="18"/>
          <w:szCs w:val="18"/>
        </w:rPr>
        <w:t xml:space="preserve">Strength of evidence for different types of behavioural support (Hartmann-Boyce et al., Cochrane 2021).</w:t>
      </w:r>
    </w:p>
    <w:tbl>
      <w:tblPr>
        <w:tblW w:type="dxa" w:w="10026"/>
        <w:tblBorders>
          <w:top w:val="none" w:color="FFFFFF" w:sz="0"/>
          <w:left w:val="none" w:color="FFFFFF" w:sz="0"/>
          <w:bottom w:val="none" w:color="FFFFFF" w:sz="0"/>
          <w:right w:val="none" w:color="FFFFFF" w:sz="0"/>
          <w:insideH w:val="none" w:color="FFFFFF" w:sz="0"/>
          <w:insideV w:val="none" w:color="FFFFFF" w:sz="0"/>
        </w:tblBorders>
      </w:tblPr>
      <w:tblGrid>
        <w:gridCol w:w="10026"/>
      </w:tblGrid>
      <w:tr>
        <w:trPr>
          <w:cantSplit/>
        </w:trPr>
        <w:tc>
          <w:tcPr>
            <w:tcW w:type="dxa" w:w="10026"/>
            <w:tcBorders>
              <w:top w:val="none" w:color="FFFFFF" w:sz="0"/>
              <w:left w:val="single" w:color="1F6FB2" w:sz="30" w:space="0"/>
              <w:bottom w:val="none" w:color="FFFFFF" w:sz="0"/>
              <w:right w:val="none" w:color="FFFFFF" w:sz="0"/>
            </w:tcBorders>
            <w:shd w:fill="E7F0F9" w:color="auto" w:val="clear"/>
            <w:tcMar>
              <w:top w:type="dxa" w:w="130"/>
              <w:left w:type="dxa" w:w="200"/>
              <w:bottom w:type="dxa" w:w="130"/>
              <w:right w:type="dxa" w:w="170"/>
            </w:tcMar>
          </w:tcPr>
          <w:p>
            <w:pPr>
              <w:spacing w:after="70" w:line="248"/>
            </w:pPr>
            <w:r>
              <w:rPr>
                <w:rFonts w:ascii="Inter" w:cs="Inter" w:eastAsia="Inter" w:hAnsi="Inter"/>
                <w:b/>
                <w:bCs/>
                <w:i w:val="false"/>
                <w:iCs w:val="false"/>
                <w:caps w:val="false"/>
                <w:color w:val="1F6FB2"/>
                <w:sz w:val="21"/>
                <w:szCs w:val="21"/>
              </w:rPr>
              <w:t xml:space="preserve">◎  </w:t>
            </w:r>
            <w:r>
              <w:rPr>
                <w:rFonts w:ascii="Inter ExtraBold" w:cs="Inter ExtraBold" w:eastAsia="Inter ExtraBold" w:hAnsi="Inter ExtraBold"/>
                <w:b w:val="false"/>
                <w:bCs w:val="false"/>
                <w:i w:val="false"/>
                <w:iCs w:val="false"/>
                <w:caps w:val="false"/>
                <w:color w:val="1F6FB2"/>
                <w:sz w:val="21"/>
                <w:szCs w:val="21"/>
              </w:rPr>
              <w:t xml:space="preserve">The headline you can quote</w:t>
            </w:r>
          </w:p>
          <w:p>
            <w:pPr>
              <w:spacing w:after="60" w:line="256"/>
            </w:pPr>
            <w:r>
              <w:rPr>
                <w:rFonts w:ascii="Inter" w:cs="Inter" w:eastAsia="Inter" w:hAnsi="Inter"/>
                <w:b w:val="false"/>
                <w:bCs w:val="false"/>
                <w:i w:val="false"/>
                <w:iCs w:val="false"/>
                <w:caps w:val="false"/>
                <w:color w:val="303A46"/>
                <w:sz w:val="21"/>
                <w:szCs w:val="21"/>
              </w:rPr>
              <w:t xml:space="preserve">Counselling and behavioural support clearly work: they raise the odds of being smoke-free at six months by </w:t>
            </w:r>
            <w:r>
              <w:rPr>
                <w:rFonts w:ascii="Inter SemiBold" w:cs="Inter SemiBold" w:eastAsia="Inter SemiBold" w:hAnsi="Inter SemiBold"/>
                <w:b/>
                <w:bCs/>
                <w:i w:val="false"/>
                <w:iCs w:val="false"/>
                <w:caps w:val="false"/>
                <w:color w:val="1F6FB2"/>
                <w:sz w:val="21"/>
                <w:szCs w:val="21"/>
              </w:rPr>
              <w:t xml:space="preserve">about 40%</w:t>
            </w:r>
            <w:r>
              <w:rPr>
                <w:rFonts w:ascii="Inter" w:cs="Inter" w:eastAsia="Inter" w:hAnsi="Inter"/>
                <w:b w:val="false"/>
                <w:bCs w:val="false"/>
                <w:i w:val="false"/>
                <w:iCs w:val="false"/>
                <w:caps w:val="false"/>
                <w:color w:val="303A46"/>
                <w:sz w:val="21"/>
                <w:szCs w:val="21"/>
              </w:rPr>
              <w:t xml:space="preserve">, with </w:t>
            </w:r>
            <w:r>
              <w:rPr>
                <w:rFonts w:ascii="Inter SemiBold" w:cs="Inter SemiBold" w:eastAsia="Inter SemiBold" w:hAnsi="Inter SemiBold"/>
                <w:b/>
                <w:bCs/>
                <w:i w:val="false"/>
                <w:iCs w:val="false"/>
                <w:caps w:val="false"/>
                <w:color w:val="1F2937"/>
                <w:sz w:val="21"/>
                <w:szCs w:val="21"/>
              </w:rPr>
              <w:t xml:space="preserve">no increase in harm.</w:t>
            </w:r>
          </w:p>
          <w:p>
            <w:pPr>
              <w:spacing w:after="0" w:line="256"/>
            </w:pPr>
            <w:r>
              <w:rPr>
                <w:rFonts w:ascii="Inter" w:cs="Inter" w:eastAsia="Inter" w:hAnsi="Inter"/>
                <w:b w:val="false"/>
                <w:bCs w:val="false"/>
                <w:i w:val="false"/>
                <w:iCs w:val="false"/>
                <w:caps w:val="false"/>
                <w:color w:val="303A46"/>
                <w:sz w:val="21"/>
                <w:szCs w:val="21"/>
              </w:rPr>
              <w:t xml:space="preserve">Support helps </w:t>
            </w:r>
            <w:r>
              <w:rPr>
                <w:rFonts w:ascii="Inter" w:cs="Inter" w:eastAsia="Inter" w:hAnsi="Inter"/>
                <w:b w:val="false"/>
                <w:bCs w:val="false"/>
                <w:i/>
                <w:iCs/>
                <w:caps w:val="false"/>
                <w:color w:val="1F2937"/>
                <w:sz w:val="21"/>
                <w:szCs w:val="21"/>
              </w:rPr>
              <w:t xml:space="preserve">whether or not</w:t>
            </w:r>
            <w:r>
              <w:rPr>
                <w:rFonts w:ascii="Inter" w:cs="Inter" w:eastAsia="Inter" w:hAnsi="Inter"/>
                <w:b w:val="false"/>
                <w:bCs w:val="false"/>
                <w:i w:val="false"/>
                <w:iCs w:val="false"/>
                <w:caps w:val="false"/>
                <w:color w:val="303A46"/>
                <w:sz w:val="21"/>
                <w:szCs w:val="21"/>
              </w:rPr>
              <w:t xml:space="preserve"> the person also takes medication. Combining the two is the most effective approach — so </w:t>
            </w:r>
            <w:r>
              <w:rPr>
                <w:rFonts w:ascii="Inter SemiBold" w:cs="Inter SemiBold" w:eastAsia="Inter SemiBold" w:hAnsi="Inter SemiBold"/>
                <w:b/>
                <w:bCs/>
                <w:i w:val="false"/>
                <w:iCs w:val="false"/>
                <w:caps w:val="false"/>
                <w:color w:val="1F2937"/>
                <w:sz w:val="21"/>
                <w:szCs w:val="21"/>
              </w:rPr>
              <w:t xml:space="preserve">never withhold medication just to “try support first.”</w:t>
            </w:r>
          </w:p>
        </w:tc>
      </w:tr>
    </w:tbl>
    <w:p>
      <w:pPr>
        <w:keepNext/>
        <w:pBdr>
          <w:bottom w:val="single" w:color="E2661A" w:sz="10" w:space="4"/>
        </w:pBdr>
        <w:spacing w:after="140" w:before="260" w:line="280"/>
      </w:pPr>
      <w:r>
        <w:rPr>
          <w:rFonts w:ascii="Fraunces SemiBold" w:cs="Fraunces SemiBold" w:eastAsia="Fraunces SemiBold" w:hAnsi="Fraunces SemiBold"/>
          <w:b w:val="false"/>
          <w:bCs w:val="false"/>
          <w:i w:val="false"/>
          <w:iCs w:val="false"/>
          <w:caps w:val="false"/>
          <w:color w:val="157A8E"/>
          <w:sz w:val="27"/>
          <w:szCs w:val="27"/>
        </w:rPr>
        <w:t xml:space="preserve">Why combine support with medication</w:t>
      </w:r>
    </w:p>
    <w:p>
      <w:pPr>
        <w:spacing w:after="80" w:before="0" w:line="264"/>
      </w:pPr>
      <w:r>
        <w:rPr>
          <w:rFonts w:ascii="Inter" w:cs="Inter" w:eastAsia="Inter" w:hAnsi="Inter"/>
          <w:b w:val="false"/>
          <w:bCs w:val="false"/>
          <w:i w:val="false"/>
          <w:iCs w:val="false"/>
          <w:caps w:val="false"/>
          <w:color w:val="303A46"/>
          <w:sz w:val="21"/>
          <w:szCs w:val="21"/>
        </w:rPr>
        <w:t xml:space="preserve">Think of quitting as a vehicle with </w:t>
      </w:r>
      <w:r>
        <w:rPr>
          <w:rFonts w:ascii="Inter SemiBold" w:cs="Inter SemiBold" w:eastAsia="Inter SemiBold" w:hAnsi="Inter SemiBold"/>
          <w:b/>
          <w:bCs/>
          <w:i w:val="false"/>
          <w:iCs w:val="false"/>
          <w:caps w:val="false"/>
          <w:color w:val="1F2937"/>
          <w:sz w:val="21"/>
          <w:szCs w:val="21"/>
        </w:rPr>
        <w:t xml:space="preserve">two engines</w:t>
      </w:r>
      <w:r>
        <w:rPr>
          <w:rFonts w:ascii="Inter" w:cs="Inter" w:eastAsia="Inter" w:hAnsi="Inter"/>
          <w:b w:val="false"/>
          <w:bCs w:val="false"/>
          <w:i w:val="false"/>
          <w:iCs w:val="false"/>
          <w:caps w:val="false"/>
          <w:color w:val="303A46"/>
          <w:sz w:val="21"/>
          <w:szCs w:val="21"/>
        </w:rPr>
        <w:t xml:space="preserve">. Each does a different job; together they pull much harder than either alone.</w:t>
      </w:r>
    </w:p>
    <w:p>
      <w:pPr>
        <w:spacing w:after="60" w:before="60"/>
        <w:jc w:val="center"/>
      </w:pPr>
      <w:r>
        <w:drawing>
          <wp:inline distT="0" distB="0" distL="0" distR="0">
            <wp:extent cx="6096000" cy="1885950"/>
            <wp:effectExtent t="0" r="0" b="0" l="0"/>
            <wp:docPr id="1" name="diagram" descr="teaching diagram" title="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 cstate="none"/>
                    <a:srcRect/>
                    <a:stretch>
                      <a:fillRect/>
                    </a:stretch>
                  </pic:blipFill>
                  <pic:spPr bwMode="auto">
                    <a:xfrm>
                      <a:off x="0" y="0"/>
                      <a:ext cx="6096000" cy="1885950"/>
                    </a:xfrm>
                    <a:prstGeom prst="rect">
                      <a:avLst/>
                    </a:prstGeom>
                  </pic:spPr>
                </pic:pic>
              </a:graphicData>
            </a:graphic>
          </wp:inline>
        </w:drawing>
      </w:r>
    </w:p>
    <w:p>
      <w:pPr>
        <w:spacing w:after="90" w:before="60" w:line="264"/>
      </w:pPr>
      <w:r>
        <w:rPr>
          <w:rFonts w:ascii="Inter" w:cs="Inter" w:eastAsia="Inter" w:hAnsi="Inter"/>
          <w:b w:val="false"/>
          <w:bCs w:val="false"/>
          <w:i w:val="false"/>
          <w:iCs w:val="false"/>
          <w:caps w:val="false"/>
          <w:color w:val="303A46"/>
          <w:sz w:val="20"/>
          <w:szCs w:val="20"/>
        </w:rPr>
        <w:t xml:space="preserve">Licensed medicines NICE lists include combination NRT (short- and long-acting together), varenicline, cytisinicline, and bupropion; nicotine-containing e-cigarettes are also effective. </w:t>
      </w:r>
      <w:r>
        <w:rPr>
          <w:rFonts w:ascii="Inter SemiBold" w:cs="Inter SemiBold" w:eastAsia="Inter SemiBold" w:hAnsi="Inter SemiBold"/>
          <w:b/>
          <w:bCs/>
          <w:i w:val="false"/>
          <w:iCs w:val="false"/>
          <w:caps w:val="false"/>
          <w:color w:val="1F2937"/>
          <w:sz w:val="20"/>
          <w:szCs w:val="20"/>
        </w:rPr>
        <w:t xml:space="preserve">For every choice, dose and contraindication, follow the BNF and NICE NG209 — do not prescribe from memory.</w:t>
      </w:r>
      <w:r>
        <w:rPr>
          <w:rFonts w:ascii="Inter" w:cs="Inter" w:eastAsia="Inter" w:hAnsi="Inter"/>
          <w:b w:val="false"/>
          <w:bCs w:val="false"/>
          <w:i/>
          <w:iCs/>
          <w:caps w:val="false"/>
          <w:color w:val="5B6573"/>
          <w:sz w:val="16"/>
          <w:szCs w:val="16"/>
        </w:rPr>
        <w:t xml:space="preserve">  NICE NG209 rec 1.12.2 &amp; 1.12.8; BNF</w:t>
      </w:r>
    </w:p>
    <w:tbl>
      <w:tblPr>
        <w:tblW w:type="dxa" w:w="10026"/>
        <w:tblBorders>
          <w:top w:val="none" w:color="FFFFFF" w:sz="0"/>
          <w:left w:val="none" w:color="FFFFFF" w:sz="0"/>
          <w:bottom w:val="none" w:color="FFFFFF" w:sz="0"/>
          <w:right w:val="none" w:color="FFFFFF" w:sz="0"/>
          <w:insideH w:val="none" w:color="FFFFFF" w:sz="0"/>
          <w:insideV w:val="none" w:color="FFFFFF" w:sz="0"/>
        </w:tblBorders>
      </w:tblPr>
      <w:tblGrid>
        <w:gridCol w:w="10026"/>
      </w:tblGrid>
      <w:tr>
        <w:trPr>
          <w:cantSplit/>
        </w:trPr>
        <w:tc>
          <w:tcPr>
            <w:tcW w:type="dxa" w:w="10026"/>
            <w:tcBorders>
              <w:top w:val="none" w:color="FFFFFF" w:sz="0"/>
              <w:left w:val="single" w:color="C0392B" w:sz="30" w:space="0"/>
              <w:bottom w:val="none" w:color="FFFFFF" w:sz="0"/>
              <w:right w:val="none" w:color="FFFFFF" w:sz="0"/>
            </w:tcBorders>
            <w:shd w:fill="FBE9E7" w:color="auto" w:val="clear"/>
            <w:tcMar>
              <w:top w:type="dxa" w:w="130"/>
              <w:left w:type="dxa" w:w="200"/>
              <w:bottom w:type="dxa" w:w="130"/>
              <w:right w:type="dxa" w:w="170"/>
            </w:tcMar>
          </w:tcPr>
          <w:p>
            <w:pPr>
              <w:spacing w:after="70" w:line="248"/>
            </w:pPr>
            <w:r>
              <w:rPr>
                <w:rFonts w:ascii="Inter" w:cs="Inter" w:eastAsia="Inter" w:hAnsi="Inter"/>
                <w:b/>
                <w:bCs/>
                <w:i w:val="false"/>
                <w:iCs w:val="false"/>
                <w:caps w:val="false"/>
                <w:color w:val="C0392B"/>
                <w:sz w:val="21"/>
                <w:szCs w:val="21"/>
              </w:rPr>
              <w:t xml:space="preserve">▲  </w:t>
            </w:r>
            <w:r>
              <w:rPr>
                <w:rFonts w:ascii="Inter ExtraBold" w:cs="Inter ExtraBold" w:eastAsia="Inter ExtraBold" w:hAnsi="Inter ExtraBold"/>
                <w:b w:val="false"/>
                <w:bCs w:val="false"/>
                <w:i w:val="false"/>
                <w:iCs w:val="false"/>
                <w:caps w:val="false"/>
                <w:color w:val="C0392B"/>
                <w:sz w:val="21"/>
                <w:szCs w:val="21"/>
              </w:rPr>
              <w:t xml:space="preserve">Safety — a few absolutes</w:t>
            </w:r>
          </w:p>
          <w:p>
            <w:pPr>
              <w:spacing w:after="60" w:line="256"/>
            </w:pPr>
            <w:r>
              <w:rPr>
                <w:rFonts w:ascii="Inter" w:cs="Inter" w:eastAsia="Inter" w:hAnsi="Inter"/>
                <w:b w:val="false"/>
                <w:bCs w:val="false"/>
                <w:i w:val="false"/>
                <w:iCs w:val="false"/>
                <w:caps w:val="false"/>
                <w:color w:val="303A46"/>
                <w:sz w:val="21"/>
                <w:szCs w:val="21"/>
              </w:rPr>
              <w:t xml:space="preserve">Do </w:t>
            </w:r>
            <w:r>
              <w:rPr>
                <w:rFonts w:ascii="Inter" w:cs="Inter" w:eastAsia="Inter" w:hAnsi="Inter"/>
                <w:b/>
                <w:bCs/>
                <w:i w:val="false"/>
                <w:iCs w:val="false"/>
                <w:caps w:val="false"/>
                <w:color w:val="C0392B"/>
                <w:sz w:val="21"/>
                <w:szCs w:val="21"/>
              </w:rPr>
              <w:t xml:space="preserve">NOT</w:t>
            </w:r>
            <w:r>
              <w:rPr>
                <w:rFonts w:ascii="Inter SemiBold" w:cs="Inter SemiBold" w:eastAsia="Inter SemiBold" w:hAnsi="Inter SemiBold"/>
                <w:b/>
                <w:bCs/>
                <w:i w:val="false"/>
                <w:iCs w:val="false"/>
                <w:caps w:val="false"/>
                <w:color w:val="1F2937"/>
                <w:sz w:val="21"/>
                <w:szCs w:val="21"/>
              </w:rPr>
              <w:t xml:space="preserve"> prescribe cytisinicline, varenicline or bupropion to anyone under 18.</w:t>
            </w:r>
            <w:r>
              <w:rPr>
                <w:rFonts w:ascii="Inter" w:cs="Inter" w:eastAsia="Inter" w:hAnsi="Inter"/>
                <w:b w:val="false"/>
                <w:bCs w:val="false"/>
                <w:i/>
                <w:iCs/>
                <w:caps w:val="false"/>
                <w:color w:val="5B6573"/>
                <w:sz w:val="16"/>
                <w:szCs w:val="16"/>
              </w:rPr>
              <w:t xml:space="preserve">  NICE NG209 rec 1.12.4</w:t>
            </w:r>
          </w:p>
          <w:p>
            <w:pPr>
              <w:spacing w:after="60" w:line="256"/>
            </w:pPr>
            <w:r>
              <w:rPr>
                <w:rFonts w:ascii="Inter" w:cs="Inter" w:eastAsia="Inter" w:hAnsi="Inter"/>
                <w:b w:val="false"/>
                <w:bCs w:val="false"/>
                <w:i w:val="false"/>
                <w:iCs w:val="false"/>
                <w:caps w:val="false"/>
                <w:color w:val="303A46"/>
                <w:sz w:val="21"/>
                <w:szCs w:val="21"/>
              </w:rPr>
              <w:t xml:space="preserve">Do </w:t>
            </w:r>
            <w:r>
              <w:rPr>
                <w:rFonts w:ascii="Inter" w:cs="Inter" w:eastAsia="Inter" w:hAnsi="Inter"/>
                <w:b/>
                <w:bCs/>
                <w:i w:val="false"/>
                <w:iCs w:val="false"/>
                <w:caps w:val="false"/>
                <w:color w:val="C0392B"/>
                <w:sz w:val="21"/>
                <w:szCs w:val="21"/>
              </w:rPr>
              <w:t xml:space="preserve">NOT</w:t>
            </w:r>
            <w:r>
              <w:rPr>
                <w:rFonts w:ascii="Inter SemiBold" w:cs="Inter SemiBold" w:eastAsia="Inter SemiBold" w:hAnsi="Inter SemiBold"/>
                <w:b/>
                <w:bCs/>
                <w:i w:val="false"/>
                <w:iCs w:val="false"/>
                <w:caps w:val="false"/>
                <w:color w:val="1F2937"/>
                <w:sz w:val="21"/>
                <w:szCs w:val="21"/>
              </w:rPr>
              <w:t xml:space="preserve"> offer cytisinicline to people aged 66 or over.</w:t>
            </w:r>
            <w:r>
              <w:rPr>
                <w:rFonts w:ascii="Inter" w:cs="Inter" w:eastAsia="Inter" w:hAnsi="Inter"/>
                <w:b w:val="false"/>
                <w:bCs w:val="false"/>
                <w:i/>
                <w:iCs/>
                <w:caps w:val="false"/>
                <w:color w:val="5B6573"/>
                <w:sz w:val="16"/>
                <w:szCs w:val="16"/>
              </w:rPr>
              <w:t xml:space="preserve">  rec 1.12.5</w:t>
            </w:r>
          </w:p>
          <w:p>
            <w:pPr>
              <w:spacing w:after="0" w:line="256"/>
            </w:pPr>
            <w:r>
              <w:rPr>
                <w:rFonts w:ascii="Inter" w:cs="Inter" w:eastAsia="Inter" w:hAnsi="Inter"/>
                <w:b w:val="false"/>
                <w:bCs w:val="false"/>
                <w:i w:val="false"/>
                <w:iCs w:val="false"/>
                <w:caps w:val="false"/>
                <w:color w:val="303A46"/>
                <w:sz w:val="21"/>
                <w:szCs w:val="21"/>
              </w:rPr>
              <w:t xml:space="preserve">In pregnancy the rules differ: offer behavioural support, and follow the NICE NG209 pregnancy section and the BNF before any prescribing.</w:t>
            </w:r>
          </w:p>
        </w:tc>
      </w:tr>
    </w:tbl>
    <w:p>
      <w:pPr>
        <w:keepNext/>
        <w:pBdr>
          <w:bottom w:val="single" w:color="E2661A" w:sz="10" w:space="4"/>
        </w:pBdr>
        <w:spacing w:after="140" w:before="260" w:line="280"/>
      </w:pPr>
      <w:r>
        <w:rPr>
          <w:rFonts w:ascii="Fraunces SemiBold" w:cs="Fraunces SemiBold" w:eastAsia="Fraunces SemiBold" w:hAnsi="Fraunces SemiBold"/>
          <w:b w:val="false"/>
          <w:bCs w:val="false"/>
          <w:i w:val="false"/>
          <w:iCs w:val="false"/>
          <w:caps w:val="false"/>
          <w:color w:val="157A8E"/>
          <w:sz w:val="27"/>
          <w:szCs w:val="27"/>
        </w:rPr>
        <w:t xml:space="preserve">Make it stick: intensity &amp; follow-up</w:t>
      </w:r>
    </w:p>
    <w:tbl>
      <w:tblPr>
        <w:tblW w:type="dxa" w:w="10026"/>
        <w:tblBorders>
          <w:top w:val="none" w:color="FFFFFF" w:sz="0"/>
          <w:left w:val="none" w:color="FFFFFF" w:sz="0"/>
          <w:bottom w:val="none" w:color="FFFFFF" w:sz="0"/>
          <w:right w:val="none" w:color="FFFFFF" w:sz="0"/>
          <w:insideH w:val="none" w:color="FFFFFF" w:sz="0"/>
          <w:insideV w:val="none" w:color="FFFFFF" w:sz="0"/>
        </w:tblBorders>
      </w:tblPr>
      <w:tblGrid>
        <w:gridCol w:w="10026"/>
      </w:tblGrid>
      <w:tr>
        <w:trPr>
          <w:cantSplit/>
        </w:trPr>
        <w:tc>
          <w:tcPr>
            <w:tcW w:type="dxa" w:w="10026"/>
            <w:tcBorders>
              <w:top w:val="none" w:color="FFFFFF" w:sz="0"/>
              <w:left w:val="single" w:color="1F6FB2" w:sz="30" w:space="0"/>
              <w:bottom w:val="none" w:color="FFFFFF" w:sz="0"/>
              <w:right w:val="none" w:color="FFFFFF" w:sz="0"/>
            </w:tcBorders>
            <w:shd w:fill="E7F0F9" w:color="auto" w:val="clear"/>
            <w:tcMar>
              <w:top w:type="dxa" w:w="130"/>
              <w:left w:type="dxa" w:w="200"/>
              <w:bottom w:type="dxa" w:w="130"/>
              <w:right w:type="dxa" w:w="170"/>
            </w:tcMar>
          </w:tcPr>
          <w:p>
            <w:pPr>
              <w:spacing w:after="70" w:line="248"/>
            </w:pPr>
            <w:r>
              <w:rPr>
                <w:rFonts w:ascii="Inter" w:cs="Inter" w:eastAsia="Inter" w:hAnsi="Inter"/>
                <w:b/>
                <w:bCs/>
                <w:i w:val="false"/>
                <w:iCs w:val="false"/>
                <w:caps w:val="false"/>
                <w:color w:val="1F6FB2"/>
                <w:sz w:val="21"/>
                <w:szCs w:val="21"/>
              </w:rPr>
              <w:t xml:space="preserve"/>
            </w:r>
            <w:r>
              <w:rPr>
                <w:rFonts w:ascii="Inter ExtraBold" w:cs="Inter ExtraBold" w:eastAsia="Inter ExtraBold" w:hAnsi="Inter ExtraBold"/>
                <w:b w:val="false"/>
                <w:bCs w:val="false"/>
                <w:i w:val="false"/>
                <w:iCs w:val="false"/>
                <w:caps w:val="false"/>
                <w:color w:val="1F6FB2"/>
                <w:sz w:val="21"/>
                <w:szCs w:val="21"/>
              </w:rPr>
              <w:t xml:space="preserve">More contact = better results</w:t>
            </w:r>
          </w:p>
          <w:p>
            <w:pPr>
              <w:spacing w:after="60" w:line="256"/>
            </w:pPr>
            <w:r>
              <w:rPr>
                <w:rFonts w:ascii="Inter" w:cs="Inter" w:eastAsia="Inter" w:hAnsi="Inter"/>
                <w:b w:val="false"/>
                <w:bCs w:val="false"/>
                <w:i w:val="false"/>
                <w:iCs w:val="false"/>
                <w:caps w:val="false"/>
                <w:color w:val="303A46"/>
                <w:sz w:val="21"/>
                <w:szCs w:val="21"/>
              </w:rPr>
              <w:t xml:space="preserve">The more support a person gets — </w:t>
            </w:r>
            <w:r>
              <w:rPr>
                <w:rFonts w:ascii="Inter SemiBold" w:cs="Inter SemiBold" w:eastAsia="Inter SemiBold" w:hAnsi="Inter SemiBold"/>
                <w:b/>
                <w:bCs/>
                <w:i w:val="false"/>
                <w:iCs w:val="false"/>
                <w:caps w:val="false"/>
                <w:color w:val="1F2937"/>
                <w:sz w:val="21"/>
                <w:szCs w:val="21"/>
              </w:rPr>
              <w:t xml:space="preserve">more sessions, longer sessions, a longer programme</w:t>
            </w:r>
            <w:r>
              <w:rPr>
                <w:rFonts w:ascii="Inter" w:cs="Inter" w:eastAsia="Inter" w:hAnsi="Inter"/>
                <w:b w:val="false"/>
                <w:bCs w:val="false"/>
                <w:i w:val="false"/>
                <w:iCs w:val="false"/>
                <w:caps w:val="false"/>
                <w:color w:val="303A46"/>
                <w:sz w:val="21"/>
                <w:szCs w:val="21"/>
              </w:rPr>
              <w:t xml:space="preserve"> — the better their chances. So always </w:t>
            </w:r>
            <w:r>
              <w:rPr>
                <w:rFonts w:ascii="Inter SemiBold" w:cs="Inter SemiBold" w:eastAsia="Inter SemiBold" w:hAnsi="Inter SemiBold"/>
                <w:b/>
                <w:bCs/>
                <w:i w:val="false"/>
                <w:iCs w:val="false"/>
                <w:caps w:val="false"/>
                <w:color w:val="1F6FB2"/>
                <w:sz w:val="21"/>
                <w:szCs w:val="21"/>
              </w:rPr>
              <w:t xml:space="preserve">book a follow-up</w:t>
            </w:r>
            <w:r>
              <w:rPr>
                <w:rFonts w:ascii="Inter" w:cs="Inter" w:eastAsia="Inter" w:hAnsi="Inter"/>
                <w:b w:val="false"/>
                <w:bCs w:val="false"/>
                <w:i w:val="false"/>
                <w:iCs w:val="false"/>
                <w:caps w:val="false"/>
                <w:color w:val="303A46"/>
                <w:sz w:val="21"/>
                <w:szCs w:val="21"/>
              </w:rPr>
              <w:t xml:space="preserve"> rather than leaving it as a one-off.</w:t>
            </w:r>
          </w:p>
          <w:p>
            <w:pPr>
              <w:spacing w:after="0" w:line="256"/>
            </w:pPr>
            <w:r>
              <w:rPr>
                <w:rFonts w:ascii="Inter" w:cs="Inter" w:eastAsia="Inter" w:hAnsi="Inter"/>
                <w:b w:val="false"/>
                <w:bCs w:val="false"/>
                <w:i w:val="false"/>
                <w:iCs w:val="false"/>
                <w:caps w:val="false"/>
                <w:color w:val="303A46"/>
                <w:sz w:val="21"/>
                <w:szCs w:val="21"/>
              </w:rPr>
              <w:t xml:space="preserve">Cheap add-ons that probably help: </w:t>
            </w:r>
            <w:r>
              <w:rPr>
                <w:rFonts w:ascii="Inter SemiBold" w:cs="Inter SemiBold" w:eastAsia="Inter SemiBold" w:hAnsi="Inter SemiBold"/>
                <w:b/>
                <w:bCs/>
                <w:i w:val="false"/>
                <w:iCs w:val="false"/>
                <w:caps w:val="false"/>
                <w:color w:val="1F2937"/>
                <w:sz w:val="21"/>
                <w:szCs w:val="21"/>
              </w:rPr>
              <w:t xml:space="preserve">text-message support</w:t>
            </w:r>
            <w:r>
              <w:rPr>
                <w:rFonts w:ascii="Inter" w:cs="Inter" w:eastAsia="Inter" w:hAnsi="Inter"/>
                <w:b w:val="false"/>
                <w:bCs w:val="false"/>
                <w:i w:val="false"/>
                <w:iCs w:val="false"/>
                <w:caps w:val="false"/>
                <w:color w:val="303A46"/>
                <w:sz w:val="21"/>
                <w:szCs w:val="21"/>
              </w:rPr>
              <w:t xml:space="preserve"> and tailoring advice to the individual.</w:t>
            </w:r>
            <w:r>
              <w:rPr>
                <w:rFonts w:ascii="Inter" w:cs="Inter" w:eastAsia="Inter" w:hAnsi="Inter"/>
                <w:b w:val="false"/>
                <w:bCs w:val="false"/>
                <w:i/>
                <w:iCs/>
                <w:caps w:val="false"/>
                <w:color w:val="5B6573"/>
                <w:sz w:val="16"/>
                <w:szCs w:val="16"/>
              </w:rPr>
              <w:t xml:space="preserve">  Cochrane 2021</w:t>
            </w:r>
          </w:p>
        </w:tc>
      </w:tr>
    </w:tbl>
    <w:p>
      <w:pPr>
        <w:keepNext/>
        <w:pBdr>
          <w:bottom w:val="single" w:color="E2661A" w:sz="10" w:space="4"/>
        </w:pBdr>
        <w:spacing w:after="140" w:before="260" w:line="280"/>
      </w:pPr>
      <w:r>
        <w:rPr>
          <w:rFonts w:ascii="Fraunces SemiBold" w:cs="Fraunces SemiBold" w:eastAsia="Fraunces SemiBold" w:hAnsi="Fraunces SemiBold"/>
          <w:b w:val="false"/>
          <w:bCs w:val="false"/>
          <w:i w:val="false"/>
          <w:iCs w:val="false"/>
          <w:caps w:val="false"/>
          <w:color w:val="157A8E"/>
          <w:sz w:val="27"/>
          <w:szCs w:val="27"/>
        </w:rPr>
        <w:t xml:space="preserve">When the patient isn’t ready</w:t>
      </w:r>
    </w:p>
    <w:p>
      <w:pPr>
        <w:spacing w:after="80" w:before="0" w:line="264"/>
      </w:pPr>
      <w:r>
        <w:rPr>
          <w:rFonts w:ascii="Inter" w:cs="Inter" w:eastAsia="Inter" w:hAnsi="Inter"/>
          <w:b w:val="false"/>
          <w:bCs w:val="false"/>
          <w:i w:val="false"/>
          <w:iCs w:val="false"/>
          <w:caps w:val="false"/>
          <w:color w:val="303A46"/>
          <w:sz w:val="21"/>
          <w:szCs w:val="21"/>
        </w:rPr>
        <w:t xml:space="preserve">Some patients won’t want to stop today. Don’t push — </w:t>
      </w:r>
      <w:r>
        <w:rPr>
          <w:rFonts w:ascii="Inter SemiBold" w:cs="Inter SemiBold" w:eastAsia="Inter SemiBold" w:hAnsi="Inter SemiBold"/>
          <w:b/>
          <w:bCs/>
          <w:i w:val="false"/>
          <w:iCs w:val="false"/>
          <w:caps w:val="false"/>
          <w:color w:val="1F2937"/>
          <w:sz w:val="21"/>
          <w:szCs w:val="21"/>
        </w:rPr>
        <w:t xml:space="preserve">keep the door open</w:t>
      </w:r>
      <w:r>
        <w:rPr>
          <w:rFonts w:ascii="Inter" w:cs="Inter" w:eastAsia="Inter" w:hAnsi="Inter"/>
          <w:b w:val="false"/>
          <w:bCs w:val="false"/>
          <w:i w:val="false"/>
          <w:iCs w:val="false"/>
          <w:caps w:val="false"/>
          <w:color w:val="303A46"/>
          <w:sz w:val="21"/>
          <w:szCs w:val="21"/>
        </w:rPr>
        <w:t xml:space="preserve"> and do these four things:</w:t>
      </w:r>
    </w:p>
    <w:p>
      <w:pPr>
        <w:pStyle w:val="ListParagraph"/>
        <w:numPr>
          <w:ilvl w:val="0"/>
          <w:numId w:val="2"/>
        </w:numPr>
        <w:spacing w:after="70" w:line="258"/>
      </w:pPr>
      <w:r>
        <w:rPr>
          <w:rFonts w:ascii="Inter" w:cs="Inter" w:eastAsia="Inter" w:hAnsi="Inter"/>
          <w:b w:val="false"/>
          <w:bCs w:val="false"/>
          <w:i w:val="false"/>
          <w:iCs w:val="false"/>
          <w:caps w:val="false"/>
          <w:color w:val="303A46"/>
          <w:sz w:val="21"/>
          <w:szCs w:val="21"/>
        </w:rPr>
        <w:t xml:space="preserve">Get a quick sense of dependence: </w:t>
      </w:r>
      <w:r>
        <w:rPr>
          <w:rFonts w:ascii="Inter SemiBold" w:cs="Inter SemiBold" w:eastAsia="Inter SemiBold" w:hAnsi="Inter SemiBold"/>
          <w:b/>
          <w:bCs/>
          <w:i w:val="false"/>
          <w:iCs w:val="false"/>
          <w:caps w:val="false"/>
          <w:color w:val="1F2937"/>
          <w:sz w:val="21"/>
          <w:szCs w:val="21"/>
        </w:rPr>
        <w:t xml:space="preserve">how many a day, and how soon after waking</w:t>
      </w:r>
      <w:r>
        <w:rPr>
          <w:rFonts w:ascii="Inter" w:cs="Inter" w:eastAsia="Inter" w:hAnsi="Inter"/>
          <w:b w:val="false"/>
          <w:bCs w:val="false"/>
          <w:i w:val="false"/>
          <w:iCs w:val="false"/>
          <w:caps w:val="false"/>
          <w:color w:val="303A46"/>
          <w:sz w:val="21"/>
          <w:szCs w:val="21"/>
        </w:rPr>
        <w:t xml:space="preserve"> they have the first cigarette.</w:t>
      </w:r>
    </w:p>
    <w:p>
      <w:pPr>
        <w:pStyle w:val="ListParagraph"/>
        <w:numPr>
          <w:ilvl w:val="0"/>
          <w:numId w:val="2"/>
        </w:numPr>
        <w:spacing w:after="70" w:line="258"/>
      </w:pPr>
      <w:r>
        <w:rPr>
          <w:rFonts w:ascii="Inter" w:cs="Inter" w:eastAsia="Inter" w:hAnsi="Inter"/>
          <w:b w:val="false"/>
          <w:bCs w:val="false"/>
          <w:i w:val="false"/>
          <w:iCs w:val="false"/>
          <w:caps w:val="false"/>
          <w:color w:val="303A46"/>
          <w:sz w:val="21"/>
          <w:szCs w:val="21"/>
        </w:rPr>
        <w:t xml:space="preserve">Make sure they understand that stopping cuts their risk of serious illness.</w:t>
      </w:r>
    </w:p>
    <w:p>
      <w:pPr>
        <w:pStyle w:val="ListParagraph"/>
        <w:numPr>
          <w:ilvl w:val="0"/>
          <w:numId w:val="2"/>
        </w:numPr>
        <w:spacing w:after="70" w:line="258"/>
      </w:pPr>
      <w:r>
        <w:rPr>
          <w:rFonts w:ascii="Inter" w:cs="Inter" w:eastAsia="Inter" w:hAnsi="Inter"/>
          <w:b w:val="false"/>
          <w:bCs w:val="false"/>
          <w:i w:val="false"/>
          <w:iCs w:val="false"/>
          <w:caps w:val="false"/>
          <w:color w:val="303A46"/>
          <w:sz w:val="21"/>
          <w:szCs w:val="21"/>
        </w:rPr>
        <w:t xml:space="preserve">Offer a </w:t>
      </w:r>
      <w:r>
        <w:rPr>
          <w:rFonts w:ascii="Inter SemiBold" w:cs="Inter SemiBold" w:eastAsia="Inter SemiBold" w:hAnsi="Inter SemiBold"/>
          <w:b/>
          <w:bCs/>
          <w:i w:val="false"/>
          <w:iCs w:val="false"/>
          <w:caps w:val="false"/>
          <w:color w:val="1F2937"/>
          <w:sz w:val="21"/>
          <w:szCs w:val="21"/>
        </w:rPr>
        <w:t xml:space="preserve">harm-reduction step</w:t>
      </w:r>
      <w:r>
        <w:rPr>
          <w:rFonts w:ascii="Inter" w:cs="Inter" w:eastAsia="Inter" w:hAnsi="Inter"/>
          <w:b w:val="false"/>
          <w:bCs w:val="false"/>
          <w:i w:val="false"/>
          <w:iCs w:val="false"/>
          <w:caps w:val="false"/>
          <w:color w:val="303A46"/>
          <w:sz w:val="21"/>
          <w:szCs w:val="21"/>
        </w:rPr>
        <w:t xml:space="preserve"> — cutting down, often helped by nicotine replacement — as a bridge towards stopping.</w:t>
      </w:r>
    </w:p>
    <w:p>
      <w:pPr>
        <w:pStyle w:val="ListParagraph"/>
        <w:numPr>
          <w:ilvl w:val="0"/>
          <w:numId w:val="2"/>
        </w:numPr>
        <w:spacing w:after="70" w:line="258"/>
      </w:pPr>
      <w:r>
        <w:rPr>
          <w:rFonts w:ascii="Inter" w:cs="Inter" w:eastAsia="Inter" w:hAnsi="Inter"/>
          <w:b w:val="false"/>
          <w:bCs w:val="false"/>
          <w:i w:val="false"/>
          <w:iCs w:val="false"/>
          <w:caps w:val="false"/>
          <w:color w:val="303A46"/>
          <w:sz w:val="21"/>
          <w:szCs w:val="21"/>
        </w:rPr>
        <w:t xml:space="preserve">Leave the offer of help open, record it, and </w:t>
      </w:r>
      <w:r>
        <w:rPr>
          <w:rFonts w:ascii="Inter SemiBold" w:cs="Inter SemiBold" w:eastAsia="Inter SemiBold" w:hAnsi="Inter SemiBold"/>
          <w:b/>
          <w:bCs/>
          <w:i w:val="false"/>
          <w:iCs w:val="false"/>
          <w:caps w:val="false"/>
          <w:color w:val="1F2937"/>
          <w:sz w:val="21"/>
          <w:szCs w:val="21"/>
        </w:rPr>
        <w:t xml:space="preserve">ask again next time.</w:t>
      </w:r>
      <w:r>
        <w:rPr>
          <w:rFonts w:ascii="Inter" w:cs="Inter" w:eastAsia="Inter" w:hAnsi="Inter"/>
          <w:b w:val="false"/>
          <w:bCs w:val="false"/>
          <w:i/>
          <w:iCs/>
          <w:caps w:val="false"/>
          <w:color w:val="5B6573"/>
          <w:sz w:val="16"/>
          <w:szCs w:val="16"/>
        </w:rPr>
        <w:t xml:space="preserve">  NICE NG209 rec 1.11.5</w:t>
      </w:r>
    </w:p>
    <w:p>
      <w:pPr>
        <w:spacing w:after="150"/>
      </w:pPr>
      <w:r>
        <w:rPr>
          <w:rFonts w:ascii="Inter" w:cs="Inter" w:eastAsia="Inter" w:hAnsi="Inter"/>
          <w:b w:val="false"/>
          <w:bCs w:val="false"/>
          <w:i w:val="false"/>
          <w:iCs w:val="false"/>
          <w:caps w:val="false"/>
          <w:color w:val="303A46"/>
          <w:sz w:val="2"/>
          <w:szCs w:val="2"/>
        </w:rPr>
        <w:t xml:space="preserve"/>
      </w:r>
    </w:p>
    <w:p>
      <w:pPr>
        <w:keepNext/>
        <w:pBdr>
          <w:bottom w:val="single" w:color="E2661A" w:sz="10" w:space="4"/>
        </w:pBdr>
        <w:spacing w:after="140" w:before="300" w:line="280"/>
      </w:pPr>
      <w:r>
        <w:rPr>
          <w:rFonts w:ascii="Fraunces SemiBold" w:cs="Fraunces SemiBold" w:eastAsia="Fraunces SemiBold" w:hAnsi="Fraunces SemiBold"/>
          <w:b w:val="false"/>
          <w:bCs w:val="false"/>
          <w:i w:val="false"/>
          <w:iCs w:val="false"/>
          <w:caps w:val="false"/>
          <w:color w:val="157A8E"/>
          <w:sz w:val="27"/>
          <w:szCs w:val="27"/>
        </w:rPr>
        <w:t xml:space="preserve">Quick guide: do and don’t</w:t>
      </w:r>
    </w:p>
    <w:tbl>
      <w:tblPr>
        <w:tblW w:type="dxa" w:w="10026"/>
        <w:tblBorders>
          <w:top w:val="none" w:color="FFFFFF" w:sz="0"/>
          <w:left w:val="none" w:color="FFFFFF" w:sz="0"/>
          <w:bottom w:val="none" w:color="FFFFFF" w:sz="0"/>
          <w:right w:val="none" w:color="FFFFFF" w:sz="0"/>
          <w:insideH w:val="none" w:color="FFFFFF" w:sz="0"/>
          <w:insideV w:val="none" w:color="FFFFFF" w:sz="0"/>
        </w:tblBorders>
      </w:tblPr>
      <w:tblGrid>
        <w:gridCol w:w="5013"/>
        <w:gridCol w:w="5013"/>
      </w:tblGrid>
      <w:tr>
        <w:trPr>
          <w:cantSplit/>
        </w:trPr>
        <w:tc>
          <w:tcPr>
            <w:tcW w:type="dxa" w:w="5013"/>
            <w:tcBorders>
              <w:top w:val="single" w:color="1B8A5A" w:sz="18"/>
              <w:left w:val="none" w:color="FFFFFF" w:sz="0"/>
              <w:bottom w:val="none" w:color="FFFFFF" w:sz="0"/>
              <w:right w:val="single" w:color="FFFFFF" w:sz="18"/>
            </w:tcBorders>
            <w:shd w:fill="E7F4EC" w:color="auto" w:val="clear"/>
            <w:tcMar>
              <w:top w:type="dxa" w:w="130"/>
              <w:left w:type="dxa" w:w="170"/>
              <w:bottom w:type="dxa" w:w="130"/>
              <w:right w:type="dxa" w:w="150"/>
            </w:tcMar>
          </w:tcPr>
          <w:p>
            <w:pPr>
              <w:spacing w:after="80" w:line="248"/>
            </w:pPr>
            <w:r>
              <w:rPr>
                <w:rFonts w:ascii="Inter ExtraBold" w:cs="Inter ExtraBold" w:eastAsia="Inter ExtraBold" w:hAnsi="Inter ExtraBold"/>
                <w:b w:val="false"/>
                <w:bCs w:val="false"/>
                <w:i w:val="false"/>
                <w:iCs w:val="false"/>
                <w:caps w:val="false"/>
                <w:color w:val="1B8A5A"/>
                <w:sz w:val="21"/>
                <w:szCs w:val="21"/>
              </w:rPr>
              <w:t xml:space="preserve">DO</w:t>
            </w:r>
          </w:p>
          <w:p>
            <w:pPr>
              <w:pStyle w:val="ListParagraph"/>
              <w:numPr>
                <w:ilvl w:val="0"/>
                <w:numId w:val="3"/>
              </w:numPr>
              <w:spacing w:after="60" w:line="252"/>
            </w:pPr>
            <w:r>
              <w:rPr>
                <w:rFonts w:ascii="Inter" w:cs="Inter" w:eastAsia="Inter" w:hAnsi="Inter"/>
                <w:b w:val="false"/>
                <w:bCs w:val="false"/>
                <w:i w:val="false"/>
                <w:iCs w:val="false"/>
                <w:caps w:val="false"/>
                <w:color w:val="303A46"/>
                <w:sz w:val="20"/>
                <w:szCs w:val="20"/>
              </w:rPr>
              <w:t xml:space="preserve">Ask and record smoking status at every visit.</w:t>
            </w:r>
          </w:p>
          <w:p>
            <w:pPr>
              <w:pStyle w:val="ListParagraph"/>
              <w:numPr>
                <w:ilvl w:val="0"/>
                <w:numId w:val="3"/>
              </w:numPr>
              <w:spacing w:after="60" w:line="252"/>
            </w:pPr>
            <w:r>
              <w:rPr>
                <w:rFonts w:ascii="Inter" w:cs="Inter" w:eastAsia="Inter" w:hAnsi="Inter"/>
                <w:b w:val="false"/>
                <w:bCs w:val="false"/>
                <w:i w:val="false"/>
                <w:iCs w:val="false"/>
                <w:caps w:val="false"/>
                <w:color w:val="303A46"/>
                <w:sz w:val="20"/>
                <w:szCs w:val="20"/>
              </w:rPr>
              <w:t xml:space="preserve">Offer help proactively to everyone who smokes.</w:t>
            </w:r>
          </w:p>
          <w:p>
            <w:pPr>
              <w:pStyle w:val="ListParagraph"/>
              <w:numPr>
                <w:ilvl w:val="0"/>
                <w:numId w:val="3"/>
              </w:numPr>
              <w:spacing w:after="60" w:line="252"/>
            </w:pPr>
            <w:r>
              <w:rPr>
                <w:rFonts w:ascii="Inter" w:cs="Inter" w:eastAsia="Inter" w:hAnsi="Inter"/>
                <w:b w:val="false"/>
                <w:bCs w:val="false"/>
                <w:i w:val="false"/>
                <w:iCs w:val="false"/>
                <w:caps w:val="false"/>
                <w:color w:val="303A46"/>
                <w:sz w:val="20"/>
                <w:szCs w:val="20"/>
              </w:rPr>
              <w:t xml:space="preserve">Combine behavioural support with medication.</w:t>
            </w:r>
          </w:p>
          <w:p>
            <w:pPr>
              <w:pStyle w:val="ListParagraph"/>
              <w:numPr>
                <w:ilvl w:val="0"/>
                <w:numId w:val="3"/>
              </w:numPr>
              <w:spacing w:after="60" w:line="252"/>
            </w:pPr>
            <w:r>
              <w:rPr>
                <w:rFonts w:ascii="Inter" w:cs="Inter" w:eastAsia="Inter" w:hAnsi="Inter"/>
                <w:b w:val="false"/>
                <w:bCs w:val="false"/>
                <w:i w:val="false"/>
                <w:iCs w:val="false"/>
                <w:caps w:val="false"/>
                <w:color w:val="303A46"/>
                <w:sz w:val="20"/>
                <w:szCs w:val="20"/>
              </w:rPr>
              <w:t xml:space="preserve">Book a follow-up — more contact works better.</w:t>
            </w:r>
          </w:p>
          <w:p>
            <w:pPr>
              <w:pStyle w:val="ListParagraph"/>
              <w:numPr>
                <w:ilvl w:val="0"/>
                <w:numId w:val="3"/>
              </w:numPr>
              <w:spacing w:after="0" w:line="252"/>
            </w:pPr>
            <w:r>
              <w:rPr>
                <w:rFonts w:ascii="Inter" w:cs="Inter" w:eastAsia="Inter" w:hAnsi="Inter"/>
                <w:b w:val="false"/>
                <w:bCs w:val="false"/>
                <w:i w:val="false"/>
                <w:iCs w:val="false"/>
                <w:caps w:val="false"/>
                <w:color w:val="303A46"/>
                <w:sz w:val="20"/>
                <w:szCs w:val="20"/>
              </w:rPr>
              <w:t xml:space="preserve">Refer to your local stop-smoking service.</w:t>
            </w:r>
          </w:p>
        </w:tc>
        <w:tc>
          <w:tcPr>
            <w:tcW w:type="dxa" w:w="5013"/>
            <w:tcBorders>
              <w:top w:val="single" w:color="C0392B" w:sz="18"/>
              <w:left w:val="none" w:color="FFFFFF" w:sz="0"/>
              <w:bottom w:val="none" w:color="FFFFFF" w:sz="0"/>
              <w:right w:val="single" w:color="FFFFFF" w:sz="18"/>
            </w:tcBorders>
            <w:shd w:fill="FBE9E7" w:color="auto" w:val="clear"/>
            <w:tcMar>
              <w:top w:type="dxa" w:w="130"/>
              <w:left w:type="dxa" w:w="170"/>
              <w:bottom w:type="dxa" w:w="130"/>
              <w:right w:type="dxa" w:w="150"/>
            </w:tcMar>
          </w:tcPr>
          <w:p>
            <w:pPr>
              <w:spacing w:after="80" w:line="248"/>
            </w:pPr>
            <w:r>
              <w:rPr>
                <w:rFonts w:ascii="Inter ExtraBold" w:cs="Inter ExtraBold" w:eastAsia="Inter ExtraBold" w:hAnsi="Inter ExtraBold"/>
                <w:b w:val="false"/>
                <w:bCs w:val="false"/>
                <w:i w:val="false"/>
                <w:iCs w:val="false"/>
                <w:caps w:val="false"/>
                <w:color w:val="C0392B"/>
                <w:sz w:val="21"/>
                <w:szCs w:val="21"/>
              </w:rPr>
              <w:t xml:space="preserve">DON’T</w:t>
            </w:r>
          </w:p>
          <w:p>
            <w:pPr>
              <w:pStyle w:val="ListParagraph"/>
              <w:numPr>
                <w:ilvl w:val="0"/>
                <w:numId w:val="4"/>
              </w:numPr>
              <w:spacing w:after="60" w:line="252"/>
            </w:pPr>
            <w:r>
              <w:rPr>
                <w:rFonts w:ascii="Inter" w:cs="Inter" w:eastAsia="Inter" w:hAnsi="Inter"/>
                <w:b w:val="false"/>
                <w:bCs w:val="false"/>
                <w:i w:val="false"/>
                <w:iCs w:val="false"/>
                <w:caps w:val="false"/>
                <w:color w:val="303A46"/>
                <w:sz w:val="20"/>
                <w:szCs w:val="20"/>
              </w:rPr>
              <w:t xml:space="preserve">Don’t lecture, judge or shame the patient.</w:t>
            </w:r>
          </w:p>
          <w:p>
            <w:pPr>
              <w:pStyle w:val="ListParagraph"/>
              <w:numPr>
                <w:ilvl w:val="0"/>
                <w:numId w:val="4"/>
              </w:numPr>
              <w:spacing w:after="60" w:line="252"/>
            </w:pPr>
            <w:r>
              <w:rPr>
                <w:rFonts w:ascii="Inter" w:cs="Inter" w:eastAsia="Inter" w:hAnsi="Inter"/>
                <w:b w:val="false"/>
                <w:bCs w:val="false"/>
                <w:i w:val="false"/>
                <w:iCs w:val="false"/>
                <w:caps w:val="false"/>
                <w:color w:val="303A46"/>
                <w:sz w:val="20"/>
                <w:szCs w:val="20"/>
              </w:rPr>
              <w:t xml:space="preserve">Don’t wait for the patient to raise it first.</w:t>
            </w:r>
          </w:p>
          <w:p>
            <w:pPr>
              <w:pStyle w:val="ListParagraph"/>
              <w:numPr>
                <w:ilvl w:val="0"/>
                <w:numId w:val="4"/>
              </w:numPr>
              <w:spacing w:after="60" w:line="252"/>
            </w:pPr>
            <w:r>
              <w:rPr>
                <w:rFonts w:ascii="Inter" w:cs="Inter" w:eastAsia="Inter" w:hAnsi="Inter"/>
                <w:b w:val="false"/>
                <w:bCs w:val="false"/>
                <w:i w:val="false"/>
                <w:iCs w:val="false"/>
                <w:caps w:val="false"/>
                <w:color w:val="303A46"/>
                <w:sz w:val="20"/>
                <w:szCs w:val="20"/>
              </w:rPr>
              <w:t xml:space="preserve">Don’t make help conditional on “being ready.”</w:t>
            </w:r>
          </w:p>
          <w:p>
            <w:pPr>
              <w:pStyle w:val="ListParagraph"/>
              <w:numPr>
                <w:ilvl w:val="0"/>
                <w:numId w:val="4"/>
              </w:numPr>
              <w:spacing w:after="60" w:line="252"/>
            </w:pPr>
            <w:r>
              <w:rPr>
                <w:rFonts w:ascii="Inter" w:cs="Inter" w:eastAsia="Inter" w:hAnsi="Inter"/>
                <w:b w:val="false"/>
                <w:bCs w:val="false"/>
                <w:i w:val="false"/>
                <w:iCs w:val="false"/>
                <w:caps w:val="false"/>
                <w:color w:val="303A46"/>
                <w:sz w:val="20"/>
                <w:szCs w:val="20"/>
              </w:rPr>
              <w:t xml:space="preserve">Don’t assume light smokers don’t need help.</w:t>
            </w:r>
          </w:p>
          <w:p>
            <w:pPr>
              <w:pStyle w:val="ListParagraph"/>
              <w:numPr>
                <w:ilvl w:val="0"/>
                <w:numId w:val="4"/>
              </w:numPr>
              <w:spacing w:after="0" w:line="252"/>
            </w:pPr>
            <w:r>
              <w:rPr>
                <w:rFonts w:ascii="Inter" w:cs="Inter" w:eastAsia="Inter" w:hAnsi="Inter"/>
                <w:b w:val="false"/>
                <w:bCs w:val="false"/>
                <w:i w:val="false"/>
                <w:iCs w:val="false"/>
                <w:caps w:val="false"/>
                <w:color w:val="303A46"/>
                <w:sz w:val="20"/>
                <w:szCs w:val="20"/>
              </w:rPr>
              <w:t xml:space="preserve">Don’t rely on willpower alone — offer treatment.</w:t>
            </w:r>
          </w:p>
        </w:tc>
      </w:tr>
    </w:tbl>
    <w:p>
      <w:pPr>
        <w:spacing w:after="150"/>
      </w:pPr>
      <w:r>
        <w:rPr>
          <w:rFonts w:ascii="Inter" w:cs="Inter" w:eastAsia="Inter" w:hAnsi="Inter"/>
          <w:b w:val="false"/>
          <w:bCs w:val="false"/>
          <w:i w:val="false"/>
          <w:iCs w:val="false"/>
          <w:caps w:val="false"/>
          <w:color w:val="303A46"/>
          <w:sz w:val="2"/>
          <w:szCs w:val="2"/>
        </w:rPr>
        <w:t xml:space="preserve"/>
      </w:r>
    </w:p>
    <w:tbl>
      <w:tblPr>
        <w:tblW w:type="dxa" w:w="10026"/>
        <w:tblBorders>
          <w:top w:val="none" w:color="FFFFFF" w:sz="0"/>
          <w:left w:val="none" w:color="FFFFFF" w:sz="0"/>
          <w:bottom w:val="none" w:color="FFFFFF" w:sz="0"/>
          <w:right w:val="none" w:color="FFFFFF" w:sz="0"/>
          <w:insideH w:val="none" w:color="FFFFFF" w:sz="0"/>
          <w:insideV w:val="none" w:color="FFFFFF" w:sz="0"/>
        </w:tblBorders>
      </w:tblPr>
      <w:tblGrid>
        <w:gridCol w:w="10026"/>
      </w:tblGrid>
      <w:tr>
        <w:trPr>
          <w:cantSplit/>
        </w:trPr>
        <w:tc>
          <w:tcPr>
            <w:tcW w:type="dxa" w:w="10026"/>
            <w:tcBorders>
              <w:top w:val="none" w:color="FFFFFF" w:sz="0"/>
              <w:left w:val="none" w:color="FFFFFF" w:sz="0"/>
              <w:bottom w:val="none" w:color="FFFFFF" w:sz="0"/>
              <w:right w:val="none" w:color="FFFFFF" w:sz="0"/>
            </w:tcBorders>
            <w:shd w:fill="1F2937" w:color="auto" w:val="clear"/>
            <w:tcMar>
              <w:top w:type="dxa" w:w="200"/>
              <w:left w:type="dxa" w:w="240"/>
              <w:bottom w:type="dxa" w:w="200"/>
              <w:right w:type="dxa" w:w="240"/>
            </w:tcMar>
          </w:tcPr>
          <w:p>
            <w:pPr>
              <w:spacing w:after="120" w:line="280"/>
            </w:pPr>
            <w:r>
              <w:rPr>
                <w:rFonts w:ascii="Fraunces Black" w:cs="Fraunces Black" w:eastAsia="Fraunces Black" w:hAnsi="Fraunces Black"/>
                <w:b w:val="false"/>
                <w:bCs w:val="false"/>
                <w:i w:val="false"/>
                <w:iCs w:val="false"/>
                <w:caps w:val="false"/>
                <w:color w:val="FFFFFF"/>
                <w:sz w:val="28"/>
                <w:szCs w:val="28"/>
              </w:rPr>
              <w:t xml:space="preserve">The 30-second recap</w:t>
            </w:r>
          </w:p>
          <w:p>
            <w:pPr>
              <w:spacing w:after="70" w:line="268"/>
            </w:pPr>
            <w:r>
              <w:rPr>
                <w:rFonts w:ascii="Inter ExtraBold" w:cs="Inter ExtraBold" w:eastAsia="Inter ExtraBold" w:hAnsi="Inter ExtraBold"/>
                <w:b w:val="false"/>
                <w:bCs w:val="false"/>
                <w:i w:val="false"/>
                <w:iCs w:val="false"/>
                <w:caps w:val="false"/>
                <w:color w:val="FCC79E"/>
                <w:sz w:val="22"/>
                <w:szCs w:val="22"/>
              </w:rPr>
              <w:t xml:space="preserve">ASK </w:t>
            </w:r>
            <w:r>
              <w:rPr>
                <w:rFonts w:ascii="Inter" w:cs="Inter" w:eastAsia="Inter" w:hAnsi="Inter"/>
                <w:b w:val="false"/>
                <w:bCs w:val="false"/>
                <w:i w:val="false"/>
                <w:iCs w:val="false"/>
                <w:caps w:val="false"/>
                <w:color w:val="FFFFFF"/>
                <w:sz w:val="21"/>
                <w:szCs w:val="21"/>
              </w:rPr>
              <w:t xml:space="preserve">every patient if they smoke — and record it.</w:t>
            </w:r>
          </w:p>
          <w:p>
            <w:pPr>
              <w:spacing w:after="70" w:line="268"/>
            </w:pPr>
            <w:r>
              <w:rPr>
                <w:rFonts w:ascii="Inter ExtraBold" w:cs="Inter ExtraBold" w:eastAsia="Inter ExtraBold" w:hAnsi="Inter ExtraBold"/>
                <w:b w:val="false"/>
                <w:bCs w:val="false"/>
                <w:i w:val="false"/>
                <w:iCs w:val="false"/>
                <w:caps w:val="false"/>
                <w:color w:val="FCC79E"/>
                <w:sz w:val="22"/>
                <w:szCs w:val="22"/>
              </w:rPr>
              <w:t xml:space="preserve">ADVISE </w:t>
            </w:r>
            <w:r>
              <w:rPr>
                <w:rFonts w:ascii="Inter" w:cs="Inter" w:eastAsia="Inter" w:hAnsi="Inter"/>
                <w:b w:val="false"/>
                <w:bCs w:val="false"/>
                <w:i w:val="false"/>
                <w:iCs w:val="false"/>
                <w:caps w:val="false"/>
                <w:color w:val="FFFFFF"/>
                <w:sz w:val="21"/>
                <w:szCs w:val="21"/>
              </w:rPr>
              <w:t xml:space="preserve">the best route: medication </w:t>
            </w:r>
            <w:r>
              <w:rPr>
                <w:rFonts w:ascii="Inter" w:cs="Inter" w:eastAsia="Inter" w:hAnsi="Inter"/>
                <w:b w:val="false"/>
                <w:bCs w:val="false"/>
                <w:i/>
                <w:iCs/>
                <w:caps w:val="false"/>
                <w:color w:val="FFFFFF"/>
                <w:sz w:val="21"/>
                <w:szCs w:val="21"/>
              </w:rPr>
              <w:t xml:space="preserve">plus</w:t>
            </w:r>
            <w:r>
              <w:rPr>
                <w:rFonts w:ascii="Inter" w:cs="Inter" w:eastAsia="Inter" w:hAnsi="Inter"/>
                <w:b w:val="false"/>
                <w:bCs w:val="false"/>
                <w:i w:val="false"/>
                <w:iCs w:val="false"/>
                <w:caps w:val="false"/>
                <w:color w:val="FFFFFF"/>
                <w:sz w:val="21"/>
                <w:szCs w:val="21"/>
              </w:rPr>
              <w:t xml:space="preserve"> behavioural support.</w:t>
            </w:r>
          </w:p>
          <w:p>
            <w:pPr>
              <w:spacing w:after="120" w:line="268"/>
            </w:pPr>
            <w:r>
              <w:rPr>
                <w:rFonts w:ascii="Inter ExtraBold" w:cs="Inter ExtraBold" w:eastAsia="Inter ExtraBold" w:hAnsi="Inter ExtraBold"/>
                <w:b w:val="false"/>
                <w:bCs w:val="false"/>
                <w:i w:val="false"/>
                <w:iCs w:val="false"/>
                <w:caps w:val="false"/>
                <w:color w:val="FCC79E"/>
                <w:sz w:val="22"/>
                <w:szCs w:val="22"/>
              </w:rPr>
              <w:t xml:space="preserve">ACT </w:t>
            </w:r>
            <w:r>
              <w:rPr>
                <w:rFonts w:ascii="Inter" w:cs="Inter" w:eastAsia="Inter" w:hAnsi="Inter"/>
                <w:b w:val="false"/>
                <w:bCs w:val="false"/>
                <w:i w:val="false"/>
                <w:iCs w:val="false"/>
                <w:caps w:val="false"/>
                <w:color w:val="FFFFFF"/>
                <w:sz w:val="21"/>
                <w:szCs w:val="21"/>
              </w:rPr>
              <w:t xml:space="preserve">now — refer, treat, and book a follow-up.</w:t>
            </w:r>
          </w:p>
          <w:p>
            <w:pPr>
              <w:spacing w:after="0" w:line="264"/>
            </w:pPr>
            <w:r>
              <w:rPr>
                <w:rFonts w:ascii="Inter SemiBold" w:cs="Inter SemiBold" w:eastAsia="Inter SemiBold" w:hAnsi="Inter SemiBold"/>
                <w:b w:val="false"/>
                <w:bCs w:val="false"/>
                <w:i w:val="false"/>
                <w:iCs w:val="false"/>
                <w:caps w:val="false"/>
                <w:color w:val="FCC79E"/>
                <w:sz w:val="21"/>
                <w:szCs w:val="21"/>
              </w:rPr>
              <w:t xml:space="preserve">Every contact counts. </w:t>
            </w:r>
            <w:r>
              <w:rPr>
                <w:rFonts w:ascii="Inter" w:cs="Inter" w:eastAsia="Inter" w:hAnsi="Inter"/>
                <w:b w:val="false"/>
                <w:bCs w:val="false"/>
                <w:i/>
                <w:iCs/>
                <w:caps w:val="false"/>
                <w:color w:val="E9ECEF"/>
                <w:sz w:val="21"/>
                <w:szCs w:val="21"/>
              </w:rPr>
              <w:t xml:space="preserve">You are planting seeds — each prompt brings the next quit attempt closer.</w:t>
            </w:r>
          </w:p>
        </w:tc>
      </w:tr>
    </w:tbl>
    <w:p>
      <w:pPr>
        <w:keepNext/>
        <w:pBdr>
          <w:bottom w:val="single" w:color="E2661A" w:sz="10" w:space="4"/>
        </w:pBdr>
        <w:spacing w:after="140" w:before="300" w:line="280"/>
      </w:pPr>
      <w:r>
        <w:rPr>
          <w:rFonts w:ascii="Fraunces SemiBold" w:cs="Fraunces SemiBold" w:eastAsia="Fraunces SemiBold" w:hAnsi="Fraunces SemiBold"/>
          <w:b w:val="false"/>
          <w:bCs w:val="false"/>
          <w:i w:val="false"/>
          <w:iCs w:val="false"/>
          <w:caps w:val="false"/>
          <w:color w:val="157A8E"/>
          <w:sz w:val="27"/>
          <w:szCs w:val="27"/>
        </w:rPr>
        <w:t xml:space="preserve">Sources used</w:t>
      </w:r>
    </w:p>
    <w:p>
      <w:pPr>
        <w:pStyle w:val="ListParagraph"/>
        <w:numPr>
          <w:ilvl w:val="0"/>
          <w:numId w:val="2"/>
        </w:numPr>
        <w:spacing w:after="50" w:line="258"/>
      </w:pPr>
      <w:r>
        <w:rPr>
          <w:rFonts w:ascii="Inter" w:cs="Inter" w:eastAsia="Inter" w:hAnsi="Inter"/>
          <w:b w:val="false"/>
          <w:bCs w:val="false"/>
          <w:i w:val="false"/>
          <w:iCs w:val="false"/>
          <w:caps w:val="false"/>
          <w:color w:val="303A46"/>
          <w:sz w:val="19"/>
          <w:szCs w:val="19"/>
        </w:rPr>
        <w:t xml:space="preserve">NICE NG209 — Tobacco: preventing uptake, promoting quitting and treating dependence (2021, updated 2025).</w:t>
      </w:r>
    </w:p>
    <w:p>
      <w:pPr>
        <w:pStyle w:val="ListParagraph"/>
        <w:numPr>
          <w:ilvl w:val="0"/>
          <w:numId w:val="2"/>
        </w:numPr>
        <w:spacing w:after="50" w:line="258"/>
      </w:pPr>
      <w:r>
        <w:rPr>
          <w:rFonts w:ascii="Inter" w:cs="Inter" w:eastAsia="Inter" w:hAnsi="Inter"/>
          <w:b w:val="false"/>
          <w:bCs w:val="false"/>
          <w:i w:val="false"/>
          <w:iCs w:val="false"/>
          <w:caps w:val="false"/>
          <w:color w:val="303A46"/>
          <w:sz w:val="19"/>
          <w:szCs w:val="19"/>
        </w:rPr>
        <w:t xml:space="preserve">Hartmann-Boyce J, et al. Behavioural interventions for smoking cessation: an overview and network meta-analysis. Cochrane Database Syst Rev 2021, CD013229.</w:t>
      </w:r>
    </w:p>
    <w:p>
      <w:pPr>
        <w:pStyle w:val="ListParagraph"/>
        <w:numPr>
          <w:ilvl w:val="0"/>
          <w:numId w:val="2"/>
        </w:numPr>
        <w:spacing w:after="50" w:line="258"/>
      </w:pPr>
      <w:r>
        <w:rPr>
          <w:rFonts w:ascii="Inter" w:cs="Inter" w:eastAsia="Inter" w:hAnsi="Inter"/>
          <w:b w:val="false"/>
          <w:bCs w:val="false"/>
          <w:i w:val="false"/>
          <w:iCs w:val="false"/>
          <w:caps w:val="false"/>
          <w:color w:val="303A46"/>
          <w:sz w:val="19"/>
          <w:szCs w:val="19"/>
        </w:rPr>
        <w:t xml:space="preserve">NCSCT — Very Brief Advice on smoking (VBA+), 2021.</w:t>
      </w:r>
    </w:p>
    <w:p>
      <w:pPr>
        <w:pStyle w:val="ListParagraph"/>
        <w:numPr>
          <w:ilvl w:val="0"/>
          <w:numId w:val="2"/>
        </w:numPr>
        <w:spacing w:after="50" w:line="258"/>
      </w:pPr>
      <w:r>
        <w:rPr>
          <w:rFonts w:ascii="Inter" w:cs="Inter" w:eastAsia="Inter" w:hAnsi="Inter"/>
          <w:b w:val="false"/>
          <w:bCs w:val="false"/>
          <w:i w:val="false"/>
          <w:iCs w:val="false"/>
          <w:caps w:val="false"/>
          <w:color w:val="303A46"/>
          <w:sz w:val="19"/>
          <w:szCs w:val="19"/>
        </w:rPr>
        <w:t xml:space="preserve">BNF — for all drug doses, choices and contraindications.</w:t>
      </w:r>
    </w:p>
    <w:p>
      <w:pPr>
        <w:spacing w:after="120"/>
      </w:pPr>
      <w:r>
        <w:rPr>
          <w:rFonts w:ascii="Inter" w:cs="Inter" w:eastAsia="Inter" w:hAnsi="Inter"/>
          <w:b w:val="false"/>
          <w:bCs w:val="false"/>
          <w:i w:val="false"/>
          <w:iCs w:val="false"/>
          <w:caps w:val="false"/>
          <w:color w:val="303A46"/>
          <w:sz w:val="2"/>
          <w:szCs w:val="2"/>
        </w:rPr>
        <w:t xml:space="preserve"/>
      </w:r>
    </w:p>
    <w:tbl>
      <w:tblPr>
        <w:tblW w:type="dxa" w:w="10026"/>
        <w:tblBorders>
          <w:top w:val="none" w:color="FFFFFF" w:sz="0"/>
          <w:left w:val="none" w:color="FFFFFF" w:sz="0"/>
          <w:bottom w:val="none" w:color="FFFFFF" w:sz="0"/>
          <w:right w:val="none" w:color="FFFFFF" w:sz="0"/>
          <w:insideH w:val="none" w:color="FFFFFF" w:sz="0"/>
          <w:insideV w:val="none" w:color="FFFFFF" w:sz="0"/>
        </w:tblBorders>
      </w:tblPr>
      <w:tblGrid>
        <w:gridCol w:w="10026"/>
      </w:tblGrid>
      <w:tr>
        <w:trPr>
          <w:cantSplit/>
        </w:trPr>
        <w:tc>
          <w:tcPr>
            <w:tcW w:type="dxa" w:w="10026"/>
            <w:tcBorders>
              <w:top w:val="none" w:color="FFFFFF" w:sz="0"/>
              <w:left w:val="single" w:color="6B4E9E" w:sz="30" w:space="0"/>
              <w:bottom w:val="none" w:color="FFFFFF" w:sz="0"/>
              <w:right w:val="none" w:color="FFFFFF" w:sz="0"/>
            </w:tcBorders>
            <w:shd w:fill="EFEAF6" w:color="auto" w:val="clear"/>
            <w:tcMar>
              <w:top w:type="dxa" w:w="130"/>
              <w:left w:type="dxa" w:w="200"/>
              <w:bottom w:type="dxa" w:w="130"/>
              <w:right w:type="dxa" w:w="170"/>
            </w:tcMar>
          </w:tcPr>
          <w:p>
            <w:pPr>
              <w:spacing w:after="70" w:line="248"/>
            </w:pPr>
            <w:r>
              <w:rPr>
                <w:rFonts w:ascii="Inter" w:cs="Inter" w:eastAsia="Inter" w:hAnsi="Inter"/>
                <w:b/>
                <w:bCs/>
                <w:i w:val="false"/>
                <w:iCs w:val="false"/>
                <w:caps w:val="false"/>
                <w:color w:val="6B4E9E"/>
                <w:sz w:val="21"/>
                <w:szCs w:val="21"/>
              </w:rPr>
              <w:t xml:space="preserve">◆  </w:t>
            </w:r>
            <w:r>
              <w:rPr>
                <w:rFonts w:ascii="Inter ExtraBold" w:cs="Inter ExtraBold" w:eastAsia="Inter ExtraBold" w:hAnsi="Inter ExtraBold"/>
                <w:b w:val="false"/>
                <w:bCs w:val="false"/>
                <w:i w:val="false"/>
                <w:iCs w:val="false"/>
                <w:caps w:val="false"/>
                <w:color w:val="6B4E9E"/>
                <w:sz w:val="21"/>
                <w:szCs w:val="21"/>
              </w:rPr>
              <w:t xml:space="preserve">Disclaimer</w:t>
            </w:r>
          </w:p>
          <w:p>
            <w:pPr>
              <w:spacing w:after="0" w:line="256"/>
            </w:pPr>
            <w:r>
              <w:rPr>
                <w:rFonts w:ascii="Inter" w:cs="Inter" w:eastAsia="Inter" w:hAnsi="Inter"/>
                <w:b w:val="false"/>
                <w:bCs w:val="false"/>
                <w:i w:val="false"/>
                <w:iCs w:val="false"/>
                <w:caps w:val="false"/>
                <w:color w:val="303A46"/>
                <w:sz w:val="18"/>
                <w:szCs w:val="18"/>
              </w:rPr>
              <w:t xml:space="preserve">This document is provided exclusively for educational and training purposes as a teaching aid. It does not constitute formal clinical guidance. Clinicians must independently verify all medical information, prescribing guidance, procedural protocols and legal requirements against current national guidance, local policies and the relevant regulatory bodies before applying it in practice.</w:t>
            </w:r>
          </w:p>
        </w:tc>
      </w:tr>
    </w:tbl>
    <w:sectPr>
      <w:footerReference w:type="default" r:id="rId7"/>
      <w:pgSz w:w="11906" w:h="16838" w:orient="portrait"/>
      <w:pgMar w:top="760" w:right="940" w:bottom="1080" w:left="9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E4E7EC" w:sz="6" w:space="6"/>
      </w:pBdr>
      <w:tabs>
        <w:tab w:val="right" w:pos="10026"/>
      </w:tabs>
      <w:spacing w:after="0" w:before="40" w:line="210"/>
    </w:pPr>
    <w:r>
      <w:rPr>
        <w:rFonts w:ascii="Inter" w:cs="Inter" w:eastAsia="Inter" w:hAnsi="Inter"/>
        <w:b w:val="false"/>
        <w:bCs w:val="false"/>
        <w:i w:val="false"/>
        <w:iCs w:val="false"/>
        <w:caps w:val="false"/>
        <w:color w:val="5B6573"/>
        <w:sz w:val="14"/>
        <w:szCs w:val="14"/>
      </w:rPr>
      <w:t xml:space="preserve">Bradford VTS Teaching Aids · Smoking cessation · June 2026 — educational use only; verify against current guidance and local policy.</w:t>
    </w:r>
    <w:r>
      <w:rPr>
        <w:rFonts w:ascii="Inter" w:cs="Inter" w:eastAsia="Inter" w:hAnsi="Inter"/>
        <w:b w:val="false"/>
        <w:bCs w:val="false"/>
        <w:i w:val="false"/>
        <w:iCs w:val="false"/>
        <w:caps w:val="false"/>
        <w:color w:val="303A46"/>
        <w:sz w:val="14"/>
        <w:szCs w:val="14"/>
      </w:rPr>
      <w:t xml:space="preserve">	</w:t>
    </w:r>
    <w:r>
      <w:rPr>
        <w:rFonts w:ascii="Inter" w:cs="Inter" w:eastAsia="Inter" w:hAnsi="Inter"/>
        <w:b w:val="false"/>
        <w:bCs w:val="false"/>
        <w:i w:val="false"/>
        <w:iCs w:val="false"/>
        <w:caps w:val="false"/>
        <w:color w:val="5B6573"/>
        <w:sz w:val="14"/>
        <w:szCs w:val="14"/>
      </w:rPr>
      <w:t xml:space="preserve">Page </w:t>
    </w:r>
    <w:r>
      <w:rPr>
        <w:color w:val="5B6573"/>
        <w:sz w:val="14"/>
        <w:szCs w:val="14"/>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360" w:hanging="230"/>
      </w:pPr>
      <w:rPr>
        <w:color w:val="E2661A"/>
      </w:rPr>
    </w:lvl>
  </w:abstractNum>
  <w:abstractNum w:abstractNumId="3" w15:restartNumberingAfterBreak="0">
    <w:multiLevelType w:val="hybridMultilevel"/>
    <w:lvl w:ilvl="0" w15:tentative="1">
      <w:start w:val="1"/>
      <w:numFmt w:val="bullet"/>
      <w:lvlText w:val="✓"/>
      <w:lvlJc w:val="left"/>
      <w:pPr>
        <w:ind w:left="360" w:hanging="250"/>
      </w:pPr>
      <w:rPr>
        <w:rFonts w:ascii="Inter" w:cs="Inter" w:eastAsia="Inter" w:hAnsi="Inter"/>
        <w:color w:val="1B8A5A"/>
      </w:rPr>
    </w:lvl>
  </w:abstractNum>
  <w:abstractNum w:abstractNumId="4" w15:restartNumberingAfterBreak="0">
    <w:multiLevelType w:val="hybridMultilevel"/>
    <w:lvl w:ilvl="0" w15:tentative="1">
      <w:start w:val="1"/>
      <w:numFmt w:val="bullet"/>
      <w:lvlText w:val="✕"/>
      <w:lvlJc w:val="left"/>
      <w:pPr>
        <w:ind w:left="360" w:hanging="250"/>
      </w:pPr>
      <w:rPr>
        <w:rFonts w:ascii="Inter" w:cs="Inter" w:eastAsia="Inter" w:hAnsi="Inter"/>
        <w:color w:val="C0392B"/>
      </w:r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 w:numId="4">
    <w:abstractNumId w:val="4"/>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Inter" w:cs="Inter" w:eastAsia="Inter" w:hAnsi="Inter"/>
        <w:color w:val="303A46"/>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image" Target="media/f5277cf2aee7ef06f84f1860e457522259bdb9db.png"/><Relationship Id="rId9" Type="http://schemas.openxmlformats.org/officeDocument/2006/relationships/image" Target="media/7a4e4e9a68db864ec1340e2ea6002dc88b48e636.png"/><Relationship Id="rId10" Type="http://schemas.openxmlformats.org/officeDocument/2006/relationships/image" Target="media/4bc6b8ef39e996be4c905451531cc13a4c9b14ba.png"/><Relationship Id="rId11"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Helping Patients Stop Smoking — Behavioural Interventions</dc:title>
  <dc:creator>Bradford VTS Teaching Aids</dc:creator>
  <cp:lastModifiedBy>Un-named</cp:lastModifiedBy>
  <cp:revision>1</cp:revision>
  <dcterms:created xsi:type="dcterms:W3CDTF">2026-06-26T13:46:51.356Z</dcterms:created>
  <dcterms:modified xsi:type="dcterms:W3CDTF">2026-06-26T13:46:51.357Z</dcterms:modified>
</cp:coreProperties>
</file>

<file path=docProps/custom.xml><?xml version="1.0" encoding="utf-8"?>
<Properties xmlns="http://schemas.openxmlformats.org/officeDocument/2006/custom-properties" xmlns:vt="http://schemas.openxmlformats.org/officeDocument/2006/docPropsVTypes"/>
</file>